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979"/>
        <w:jc w:val="center"/>
        <w:tblLayout w:type="fixed"/>
        <w:tblLook w:firstColumn="1" w:firstRow="1" w:lastColumn="0" w:lastRow="0" w:noHBand="0" w:noVBand="1" w:val="04A0"/>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9978"/>
      </w:tblGrid>
      <w:tr>
        <w:trPr>
          <w:cantSplit w:val="true"/>
        </w:trPr>
        <w:tc>
          <w:tcPr>
            <w:tcW w:type="dxa" w:w="9979"/>
            <w:shd w:fill="17324D"/>
            <w:tcMar>
              <w:top w:w="540" w:type="dxa"/>
              <w:start w:w="520" w:type="dxa"/>
              <w:bottom w:w="520" w:type="dxa"/>
              <w:end w:w="520" w:type="dxa"/>
            </w:tcMar>
          </w:tcPr>
          <w:p>
            <w:pPr>
              <w:pStyle w:val="Title"/>
            </w:pPr>
            <w:r>
              <w:rPr>
                <w:color w:val="FFFFFF"/>
              </w:rPr>
              <w:t>CAMBRIDGE</w:t>
              <w:br/>
              <w:t>AS A MATURE STUDENT</w:t>
            </w:r>
          </w:p>
          <w:p>
            <w:pPr>
              <w:pStyle w:val="Subtitle"/>
            </w:pPr>
            <w:r>
              <w:rPr>
                <w:color w:val="BFE9EC"/>
              </w:rPr>
              <w:t>The unofficial guide to getting in, settling in and surviving your first year</w:t>
            </w:r>
          </w:p>
          <w:p>
            <w:pPr>
              <w:spacing w:before="360" w:after="40"/>
            </w:pPr>
            <w:r>
              <w:rPr>
                <w:rFonts w:ascii="Lato" w:hAnsi="Lato"/>
                <w:color w:val="FFFFFF"/>
                <w:sz w:val="20"/>
              </w:rPr>
              <w:t>MASTER REPORT &amp; NEW-STUDENT HANDBOOK</w:t>
              <w:br/>
              <w:t>A consolidated practical dossier for prospective and current mature undergraduates</w:t>
            </w:r>
          </w:p>
          <w:p>
            <w:pPr>
              <w:spacing w:before="480"/>
            </w:pPr>
            <w:r>
              <w:rPr>
                <w:rFonts w:ascii="Lato" w:hAnsi="Lato"/>
                <w:b/>
                <w:color w:val="D5A72E"/>
                <w:sz w:val="15"/>
              </w:rPr>
              <w:t>START HERE  •  COLLEGES  •  ACADEMICS  •  MONEY  •  HOUSING  •  FAMILY  •  FORMALS  •  BALLS  •  SLANG  •  TOWN  •  SURVIVAL</w:t>
            </w:r>
          </w:p>
        </w:tc>
      </w:tr>
    </w:tbl>
    <w:p/>
    <w:p>
      <w:pPr>
        <w:jc w:val="center"/>
      </w:pPr>
      <w:r>
        <w:rPr>
          <w:b/>
          <w:color w:val="0E7C86"/>
          <w:sz w:val="22"/>
        </w:rPr>
        <w:t>Information last checked: 12 July 2026</w:t>
      </w:r>
    </w:p>
    <w:p>
      <w:pPr>
        <w:pStyle w:val="Caption"/>
      </w:pPr>
      <w:r>
        <w:t>Consolidated master edition</w:t>
      </w:r>
    </w:p>
    <w:p>
      <w:pPr>
        <w:jc w:val="center"/>
      </w:pPr>
      <w:r>
        <w:rPr>
          <w:color w:val="5F6B73"/>
          <w:sz w:val="18"/>
        </w:rPr>
        <w:t>University of Cambridge, England</w:t>
      </w:r>
    </w:p>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READ THIS FIRST</w:t>
            </w:r>
          </w:p>
          <w:p>
            <w:pPr>
              <w:spacing w:after="40"/>
            </w:pPr>
            <w:r>
              <w:t>Cambridge is not one institution with one rulebook. Your course is chiefly organised by a Faculty or Department; your accommodation, pastoral support and much of your social life are chiefly organised by your College. Similar-looking Colleges can make very different practical offers.</w:t>
            </w:r>
          </w:p>
          <w:p>
            <w:pPr>
              <w:spacing w:after="0"/>
            </w:pPr>
            <w:r>
              <w:t>Formal Hall calendars, Ball programmes, prices, accommodation charges and named staff change frequently. This guide gives the latest publicly verifiable position at the check date, labels judgement and uncertainty, and tells you what to confirm yourself.</w:t>
            </w:r>
          </w:p>
        </w:tc>
      </w:tr>
    </w:tbl>
    <w:p>
      <w:pPr>
        <w:spacing w:after="20"/>
      </w:pPr>
    </w:p>
    <w:p>
      <w:r>
        <w:br w:type="page"/>
      </w:r>
    </w:p>
    <w:p>
      <w:pPr>
        <w:pStyle w:val="Heading1"/>
        <w:keepNext/>
      </w:pPr>
      <w:r>
        <w:t>Information last checked, scope and evidence</w:t>
      </w:r>
    </w:p>
    <w:p>
      <w:r>
        <w:t>Information in this guide was checked on 12 July 2026. This master edition consolidates the original research dossier, the detailed practical guide, and the later supplementary research into one handbook. The admissions calendar is framed mainly around 2027 entry; financial figures are principally for 2026–27; and Ball listings use the completed 2026 season because most 2027 committees had not yet published dates or prices. Cambridge changes web pages without preserving a public version history, and many operational details sit behind Raven login or College booking systems. A blank in a table means “not publicly verified”, not “does not exist”.</w:t>
      </w:r>
    </w:p>
    <w:p>
      <w:r>
        <w:t>The primary audience is a mature undergraduate: someone who will be aged 21 or over on 1 October in the year they begin their Cambridge course. An older postgraduate is not treated as a mature undergraduate for admissions purposes. Funding bodies, landlords and Colleges can use different age or status tests, so “mature” does not automatically produce the same entitlement everywhere. [U01] [G01]</w:t>
      </w:r>
    </w:p>
    <w:p>
      <w:r>
        <w:t>This is an unofficial practical guide, not a contract, prospectus, immigration opinion, medical instruction or substitute for a College handbook. Where a rule matters to money, visa status, assessment, health or housing, use the linked official page and obtain written confirmation. College-specific examples are labelled; they should not be generalised to all Colleges.</w:t>
      </w:r>
    </w:p>
    <w:p>
      <w:pPr>
        <w:pStyle w:val="Heading2"/>
        <w:keepNext/>
      </w:pPr>
      <w:r>
        <w:t>How to read the labels</w:t>
      </w:r>
    </w:p>
    <w:tbl>
      <w:tblPr>
        <w:tblW w:type="dxa" w:w="9809"/>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984"/>
        <w:gridCol w:w="7824"/>
      </w:tblGrid>
      <w:tr>
        <w:trPr>
          <w:tblHeader w:val="true"/>
          <w:cantSplit w:val="true"/>
        </w:trPr>
        <w:tc>
          <w:tcPr>
            <w:tcW w:type="dxa" w:w="1984"/>
            <w:shd w:fill="17324D"/>
            <w:tcMar>
              <w:top w:w="70" w:type="dxa"/>
              <w:start w:w="80" w:type="dxa"/>
              <w:bottom w:w="70" w:type="dxa"/>
              <w:end w:w="80" w:type="dxa"/>
            </w:tcMar>
            <w:vAlign w:val="center"/>
          </w:tcPr>
          <w:p>
            <w:pPr>
              <w:pStyle w:val="TableText"/>
              <w:jc w:val="left"/>
            </w:pPr>
            <w:r>
              <w:rPr>
                <w:b/>
                <w:color w:val="FFFFFF"/>
                <w:sz w:val="15"/>
              </w:rPr>
              <w:t>Label</w:t>
            </w:r>
          </w:p>
        </w:tc>
        <w:tc>
          <w:tcPr>
            <w:tcW w:type="dxa" w:w="7824"/>
            <w:shd w:fill="17324D"/>
            <w:tcMar>
              <w:top w:w="70" w:type="dxa"/>
              <w:start w:w="80" w:type="dxa"/>
              <w:bottom w:w="70" w:type="dxa"/>
              <w:end w:w="80" w:type="dxa"/>
            </w:tcMar>
            <w:vAlign w:val="center"/>
          </w:tcPr>
          <w:p>
            <w:pPr>
              <w:pStyle w:val="TableText"/>
              <w:jc w:val="left"/>
            </w:pPr>
            <w:r>
              <w:rPr>
                <w:b/>
                <w:color w:val="FFFFFF"/>
                <w:sz w:val="15"/>
              </w:rPr>
              <w:t>Meaning</w:t>
            </w:r>
          </w:p>
        </w:tc>
      </w:tr>
      <w:tr>
        <w:trPr>
          <w:cantSplit w:val="true"/>
        </w:trPr>
        <w:tc>
          <w:tcPr>
            <w:tcW w:type="dxa" w:w="1984"/>
            <w:tcMar>
              <w:top w:w="55" w:type="dxa"/>
              <w:start w:w="70" w:type="dxa"/>
              <w:bottom w:w="55" w:type="dxa"/>
              <w:end w:w="70" w:type="dxa"/>
            </w:tcMar>
            <w:vAlign w:val="top"/>
          </w:tcPr>
          <w:p>
            <w:pPr>
              <w:pStyle w:val="TableText"/>
            </w:pPr>
            <w:r>
              <w:t>UNIVERSITY-WIDE</w:t>
            </w:r>
          </w:p>
        </w:tc>
        <w:tc>
          <w:tcPr>
            <w:tcW w:type="dxa" w:w="7824"/>
            <w:tcMar>
              <w:top w:w="55" w:type="dxa"/>
              <w:start w:w="70" w:type="dxa"/>
              <w:bottom w:w="55" w:type="dxa"/>
              <w:end w:w="70" w:type="dxa"/>
            </w:tcMar>
            <w:vAlign w:val="top"/>
          </w:tcPr>
          <w:p>
            <w:pPr>
              <w:pStyle w:val="TableText"/>
            </w:pPr>
            <w:r>
              <w:t>A central University rule or service intended across Colleges, subject to stated eligibility.</w:t>
            </w:r>
          </w:p>
        </w:tc>
      </w:tr>
      <w:tr>
        <w:trPr>
          <w:cantSplit w:val="true"/>
        </w:trPr>
        <w:tc>
          <w:tcPr>
            <w:tcW w:type="dxa" w:w="1984"/>
            <w:shd w:fill="F5F7F8"/>
            <w:tcMar>
              <w:top w:w="55" w:type="dxa"/>
              <w:start w:w="70" w:type="dxa"/>
              <w:bottom w:w="55" w:type="dxa"/>
              <w:end w:w="70" w:type="dxa"/>
            </w:tcMar>
            <w:vAlign w:val="top"/>
          </w:tcPr>
          <w:p>
            <w:pPr>
              <w:pStyle w:val="TableText"/>
            </w:pPr>
            <w:r>
              <w:t>COLLEGE-SPECIFIC</w:t>
            </w:r>
          </w:p>
        </w:tc>
        <w:tc>
          <w:tcPr>
            <w:tcW w:type="dxa" w:w="7824"/>
            <w:shd w:fill="F5F7F8"/>
            <w:tcMar>
              <w:top w:w="55" w:type="dxa"/>
              <w:start w:w="70" w:type="dxa"/>
              <w:bottom w:w="55" w:type="dxa"/>
              <w:end w:w="70" w:type="dxa"/>
            </w:tcMar>
            <w:vAlign w:val="top"/>
          </w:tcPr>
          <w:p>
            <w:pPr>
              <w:pStyle w:val="TableText"/>
            </w:pPr>
            <w:r>
              <w:t>Your own College sets or administers this; another College may differ.</w:t>
            </w:r>
          </w:p>
        </w:tc>
      </w:tr>
      <w:tr>
        <w:trPr>
          <w:cantSplit w:val="true"/>
        </w:trPr>
        <w:tc>
          <w:tcPr>
            <w:tcW w:type="dxa" w:w="1984"/>
            <w:tcMar>
              <w:top w:w="55" w:type="dxa"/>
              <w:start w:w="70" w:type="dxa"/>
              <w:bottom w:w="55" w:type="dxa"/>
              <w:end w:w="70" w:type="dxa"/>
            </w:tcMar>
            <w:vAlign w:val="top"/>
          </w:tcPr>
          <w:p>
            <w:pPr>
              <w:pStyle w:val="TableText"/>
            </w:pPr>
            <w:r>
              <w:t>FACULTY / DEPARTMENT</w:t>
            </w:r>
          </w:p>
        </w:tc>
        <w:tc>
          <w:tcPr>
            <w:tcW w:type="dxa" w:w="7824"/>
            <w:tcMar>
              <w:top w:w="55" w:type="dxa"/>
              <w:start w:w="70" w:type="dxa"/>
              <w:bottom w:w="55" w:type="dxa"/>
              <w:end w:w="70" w:type="dxa"/>
            </w:tcMar>
            <w:vAlign w:val="top"/>
          </w:tcPr>
          <w:p>
            <w:pPr>
              <w:pStyle w:val="TableText"/>
            </w:pPr>
            <w:r>
              <w:t>Your subject organisation controls the detail.</w:t>
            </w:r>
          </w:p>
        </w:tc>
      </w:tr>
      <w:tr>
        <w:trPr>
          <w:cantSplit w:val="true"/>
        </w:trPr>
        <w:tc>
          <w:tcPr>
            <w:tcW w:type="dxa" w:w="1984"/>
            <w:shd w:fill="F5F7F8"/>
            <w:tcMar>
              <w:top w:w="55" w:type="dxa"/>
              <w:start w:w="70" w:type="dxa"/>
              <w:bottom w:w="55" w:type="dxa"/>
              <w:end w:w="70" w:type="dxa"/>
            </w:tcMar>
            <w:vAlign w:val="top"/>
          </w:tcPr>
          <w:p>
            <w:pPr>
              <w:pStyle w:val="TableText"/>
            </w:pPr>
            <w:r>
              <w:t>COURSE-SPECIFIC</w:t>
            </w:r>
          </w:p>
        </w:tc>
        <w:tc>
          <w:tcPr>
            <w:tcW w:type="dxa" w:w="7824"/>
            <w:shd w:fill="F5F7F8"/>
            <w:tcMar>
              <w:top w:w="55" w:type="dxa"/>
              <w:start w:w="70" w:type="dxa"/>
              <w:bottom w:w="55" w:type="dxa"/>
              <w:end w:w="70" w:type="dxa"/>
            </w:tcMar>
            <w:vAlign w:val="top"/>
          </w:tcPr>
          <w:p>
            <w:pPr>
              <w:pStyle w:val="TableText"/>
            </w:pPr>
            <w:r>
              <w:t>The answer may differ between Triposes, years or professional placements.</w:t>
            </w:r>
          </w:p>
        </w:tc>
      </w:tr>
      <w:tr>
        <w:trPr>
          <w:cantSplit w:val="true"/>
        </w:trPr>
        <w:tc>
          <w:tcPr>
            <w:tcW w:type="dxa" w:w="1984"/>
            <w:tcMar>
              <w:top w:w="55" w:type="dxa"/>
              <w:start w:w="70" w:type="dxa"/>
              <w:bottom w:w="55" w:type="dxa"/>
              <w:end w:w="70" w:type="dxa"/>
            </w:tcMar>
            <w:vAlign w:val="top"/>
          </w:tcPr>
          <w:p>
            <w:pPr>
              <w:pStyle w:val="TableText"/>
            </w:pPr>
            <w:r>
              <w:t>EXTERNAL</w:t>
            </w:r>
          </w:p>
        </w:tc>
        <w:tc>
          <w:tcPr>
            <w:tcW w:type="dxa" w:w="7824"/>
            <w:tcMar>
              <w:top w:w="55" w:type="dxa"/>
              <w:start w:w="70" w:type="dxa"/>
              <w:bottom w:w="55" w:type="dxa"/>
              <w:end w:w="70" w:type="dxa"/>
            </w:tcMar>
            <w:vAlign w:val="top"/>
          </w:tcPr>
          <w:p>
            <w:pPr>
              <w:pStyle w:val="TableText"/>
            </w:pPr>
            <w:r>
              <w:t>Government, NHS, council, landlord, charity or student-run body outside the University hierarchy.</w:t>
            </w:r>
          </w:p>
        </w:tc>
      </w:tr>
      <w:tr>
        <w:trPr>
          <w:cantSplit w:val="true"/>
        </w:trPr>
        <w:tc>
          <w:tcPr>
            <w:tcW w:type="dxa" w:w="1984"/>
            <w:shd w:fill="F5F7F8"/>
            <w:tcMar>
              <w:top w:w="55" w:type="dxa"/>
              <w:start w:w="70" w:type="dxa"/>
              <w:bottom w:w="55" w:type="dxa"/>
              <w:end w:w="70" w:type="dxa"/>
            </w:tcMar>
            <w:vAlign w:val="top"/>
          </w:tcPr>
          <w:p>
            <w:pPr>
              <w:pStyle w:val="TableText"/>
            </w:pPr>
            <w:r>
              <w:t>REPORTED EXPERIENCE</w:t>
            </w:r>
          </w:p>
        </w:tc>
        <w:tc>
          <w:tcPr>
            <w:tcW w:type="dxa" w:w="7824"/>
            <w:shd w:fill="F5F7F8"/>
            <w:tcMar>
              <w:top w:w="55" w:type="dxa"/>
              <w:start w:w="70" w:type="dxa"/>
              <w:bottom w:w="55" w:type="dxa"/>
              <w:end w:w="70" w:type="dxa"/>
            </w:tcMar>
            <w:vAlign w:val="top"/>
          </w:tcPr>
          <w:p>
            <w:pPr>
              <w:pStyle w:val="TableText"/>
            </w:pPr>
            <w:r>
              <w:t>Useful evidence about culture, not proof of policy.</w:t>
            </w:r>
          </w:p>
        </w:tc>
      </w:tr>
      <w:tr>
        <w:trPr>
          <w:cantSplit w:val="true"/>
        </w:trPr>
        <w:tc>
          <w:tcPr>
            <w:tcW w:type="dxa" w:w="1984"/>
            <w:tcMar>
              <w:top w:w="55" w:type="dxa"/>
              <w:start w:w="70" w:type="dxa"/>
              <w:bottom w:w="55" w:type="dxa"/>
              <w:end w:w="70" w:type="dxa"/>
            </w:tcMar>
            <w:vAlign w:val="top"/>
          </w:tcPr>
          <w:p>
            <w:pPr>
              <w:pStyle w:val="TableText"/>
            </w:pPr>
            <w:r>
              <w:t>EDITORIAL GUIDE</w:t>
            </w:r>
          </w:p>
        </w:tc>
        <w:tc>
          <w:tcPr>
            <w:tcW w:type="dxa" w:w="7824"/>
            <w:tcMar>
              <w:top w:w="55" w:type="dxa"/>
              <w:start w:w="70" w:type="dxa"/>
              <w:bottom w:w="55" w:type="dxa"/>
              <w:end w:w="70" w:type="dxa"/>
            </w:tcMar>
            <w:vAlign w:val="top"/>
          </w:tcPr>
          <w:p>
            <w:pPr>
              <w:pStyle w:val="TableText"/>
            </w:pPr>
            <w:r>
              <w:t>A transparent practical judgement, not an official ranking.</w:t>
            </w:r>
          </w:p>
        </w:tc>
      </w:tr>
    </w:tbl>
    <w:p>
      <w:pPr>
        <w:spacing w:after="20"/>
      </w:pPr>
    </w:p>
    <w:p>
      <w:pPr>
        <w:pStyle w:val="Heading2"/>
        <w:keepNext/>
      </w:pPr>
      <w:r>
        <w:t>Evidence method</w:t>
      </w:r>
    </w:p>
    <w:p>
      <w:r>
        <w:t>Policy and service claims were prioritised in this order: central University pages and regulations; College pages and handbooks; Cambridge Students’ Union; UK Government, NHS and local authority pages; institutional histories; established journalism; and cautious use of student accounts for lived experience. Every source code in square brackets maps to a direct link in the bibliography. The Formals and Balls chapters deliberately separate official facts from editorial judgements about atmosphere, value and likely fit.</w:t>
      </w:r>
    </w:p>
    <w:p>
      <w:pPr>
        <w:pStyle w:val="Heading2"/>
        <w:keepNext/>
      </w:pPr>
      <w:r>
        <w:t>How to use this master report</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400"/>
            <w:shd w:fill="17324D" w:val="clear"/>
            <w:vAlign w:val="center"/>
          </w:tcPr>
          <w:p>
            <w:pPr>
              <w:spacing w:after="20"/>
              <w:jc w:val="left"/>
            </w:pPr>
            <w:r>
              <w:rPr>
                <w:rFonts w:ascii="Lato" w:hAnsi="Lato"/>
                <w:b/>
                <w:color w:val="FFFFFF"/>
                <w:sz w:val="15"/>
              </w:rPr>
              <w:t>Your situation</w:t>
            </w:r>
          </w:p>
        </w:tc>
        <w:tc>
          <w:tcPr>
            <w:tcW w:type="dxa" w:w="3700"/>
            <w:shd w:fill="17324D" w:val="clear"/>
            <w:vAlign w:val="center"/>
          </w:tcPr>
          <w:p>
            <w:pPr>
              <w:spacing w:after="20"/>
              <w:jc w:val="left"/>
            </w:pPr>
            <w:r>
              <w:rPr>
                <w:rFonts w:ascii="Lato" w:hAnsi="Lato"/>
                <w:b/>
                <w:color w:val="FFFFFF"/>
                <w:sz w:val="15"/>
              </w:rPr>
              <w:t>Read first</w:t>
            </w:r>
          </w:p>
        </w:tc>
        <w:tc>
          <w:tcPr>
            <w:tcW w:type="dxa" w:w="3936"/>
            <w:shd w:fill="17324D" w:val="clear"/>
            <w:vAlign w:val="center"/>
          </w:tcPr>
          <w:p>
            <w:pPr>
              <w:spacing w:after="20"/>
              <w:jc w:val="left"/>
            </w:pPr>
            <w:r>
              <w:rPr>
                <w:rFonts w:ascii="Lato" w:hAnsi="Lato"/>
                <w:b/>
                <w:color w:val="FFFFFF"/>
                <w:sz w:val="15"/>
              </w:rPr>
              <w:t>Then use</w:t>
            </w:r>
          </w:p>
        </w:tc>
      </w:tr>
      <w:tr>
        <w:trPr>
          <w:cantSplit w:val="true"/>
        </w:trPr>
        <w:tc>
          <w:tcPr>
            <w:tcW w:type="dxa" w:w="2400"/>
            <w:vAlign w:val="top"/>
          </w:tcPr>
          <w:p>
            <w:pPr>
              <w:spacing w:after="24" w:line="240" w:lineRule="auto"/>
            </w:pPr>
            <w:r/>
            <w:r>
              <w:rPr>
                <w:rFonts w:ascii="Lato" w:hAnsi="Lato"/>
                <w:color w:val="222222"/>
                <w:sz w:val="15"/>
              </w:rPr>
              <w:t>You have an offer or are about to arrive</w:t>
            </w:r>
          </w:p>
        </w:tc>
        <w:tc>
          <w:tcPr>
            <w:tcW w:type="dxa" w:w="3700"/>
            <w:vAlign w:val="top"/>
          </w:tcPr>
          <w:p>
            <w:pPr>
              <w:spacing w:after="24" w:line="240" w:lineRule="auto"/>
            </w:pPr>
            <w:r/>
            <w:r>
              <w:rPr>
                <w:rFonts w:ascii="Lato" w:hAnsi="Lato"/>
                <w:color w:val="222222"/>
                <w:sz w:val="15"/>
              </w:rPr>
              <w:t>Start here: the new-student action map; Chapters 4–11; the first-year timeline.</w:t>
            </w:r>
          </w:p>
        </w:tc>
        <w:tc>
          <w:tcPr>
            <w:tcW w:type="dxa" w:w="3936"/>
            <w:vAlign w:val="top"/>
          </w:tcPr>
          <w:p>
            <w:pPr>
              <w:spacing w:after="24" w:line="240" w:lineRule="auto"/>
            </w:pPr>
            <w:r/>
            <w:r>
              <w:rPr>
                <w:rFonts w:ascii="Lato" w:hAnsi="Lato"/>
                <w:color w:val="222222"/>
                <w:sz w:val="15"/>
              </w:rPr>
              <w:t>The Formal, Ball, glossary and tradition chapters as reference rather than homework.</w:t>
            </w:r>
          </w:p>
        </w:tc>
      </w:tr>
      <w:tr>
        <w:trPr>
          <w:cantSplit w:val="true"/>
        </w:trPr>
        <w:tc>
          <w:tcPr>
            <w:tcW w:type="dxa" w:w="2400"/>
            <w:shd w:fill="F5F7F8" w:val="clear"/>
            <w:vAlign w:val="top"/>
          </w:tcPr>
          <w:p>
            <w:pPr>
              <w:spacing w:after="24" w:line="240" w:lineRule="auto"/>
            </w:pPr>
            <w:r/>
            <w:r>
              <w:rPr>
                <w:rFonts w:ascii="Lato" w:hAnsi="Lato"/>
                <w:color w:val="222222"/>
                <w:sz w:val="15"/>
              </w:rPr>
              <w:t>You are still deciding whether to apply</w:t>
            </w:r>
          </w:p>
        </w:tc>
        <w:tc>
          <w:tcPr>
            <w:tcW w:type="dxa" w:w="3700"/>
            <w:shd w:fill="F5F7F8" w:val="clear"/>
            <w:vAlign w:val="top"/>
          </w:tcPr>
          <w:p>
            <w:pPr>
              <w:spacing w:after="24" w:line="240" w:lineRule="auto"/>
            </w:pPr>
            <w:r/>
            <w:r>
              <w:rPr>
                <w:rFonts w:ascii="Lato" w:hAnsi="Lato"/>
                <w:color w:val="222222"/>
                <w:sz w:val="15"/>
              </w:rPr>
              <w:t>Chapters 1–3, 6–8 and Appendix B.</w:t>
            </w:r>
          </w:p>
        </w:tc>
        <w:tc>
          <w:tcPr>
            <w:tcW w:type="dxa" w:w="3936"/>
            <w:shd w:fill="F5F7F8" w:val="clear"/>
            <w:vAlign w:val="top"/>
          </w:tcPr>
          <w:p>
            <w:pPr>
              <w:spacing w:after="24" w:line="240" w:lineRule="auto"/>
            </w:pPr>
            <w:r/>
            <w:r>
              <w:rPr>
                <w:rFonts w:ascii="Lato" w:hAnsi="Lato"/>
                <w:color w:val="222222"/>
                <w:sz w:val="15"/>
              </w:rPr>
              <w:t>College comparison, budgets and questions to test whether the plan is workable.</w:t>
            </w:r>
          </w:p>
        </w:tc>
      </w:tr>
      <w:tr>
        <w:trPr>
          <w:cantSplit w:val="true"/>
        </w:trPr>
        <w:tc>
          <w:tcPr>
            <w:tcW w:type="dxa" w:w="2400"/>
            <w:vAlign w:val="top"/>
          </w:tcPr>
          <w:p>
            <w:pPr>
              <w:spacing w:after="24" w:line="240" w:lineRule="auto"/>
            </w:pPr>
            <w:r/>
            <w:r>
              <w:rPr>
                <w:rFonts w:ascii="Lato" w:hAnsi="Lato"/>
                <w:color w:val="222222"/>
                <w:sz w:val="15"/>
              </w:rPr>
              <w:t>Something has gone wrong</w:t>
            </w:r>
          </w:p>
        </w:tc>
        <w:tc>
          <w:tcPr>
            <w:tcW w:type="dxa" w:w="3700"/>
            <w:vAlign w:val="top"/>
          </w:tcPr>
          <w:p>
            <w:pPr>
              <w:spacing w:after="24" w:line="240" w:lineRule="auto"/>
            </w:pPr>
            <w:r/>
            <w:r>
              <w:rPr>
                <w:rFonts w:ascii="Lato" w:hAnsi="Lato"/>
                <w:color w:val="222222"/>
                <w:sz w:val="15"/>
              </w:rPr>
              <w:t>Chapter 18 scenario playbook and the pocket contact tree.</w:t>
            </w:r>
          </w:p>
        </w:tc>
        <w:tc>
          <w:tcPr>
            <w:tcW w:type="dxa" w:w="3936"/>
            <w:vAlign w:val="top"/>
          </w:tcPr>
          <w:p>
            <w:pPr>
              <w:spacing w:after="24" w:line="240" w:lineRule="auto"/>
            </w:pPr>
            <w:r/>
            <w:r>
              <w:rPr>
                <w:rFonts w:ascii="Lato" w:hAnsi="Lato"/>
                <w:color w:val="222222"/>
                <w:sz w:val="15"/>
              </w:rPr>
              <w:t>The relevant detailed chapter and the independent Student Advice route.</w:t>
            </w:r>
          </w:p>
        </w:tc>
      </w:tr>
      <w:tr>
        <w:trPr>
          <w:cantSplit w:val="true"/>
        </w:trPr>
        <w:tc>
          <w:tcPr>
            <w:tcW w:type="dxa" w:w="2400"/>
            <w:shd w:fill="F5F7F8" w:val="clear"/>
            <w:vAlign w:val="top"/>
          </w:tcPr>
          <w:p>
            <w:pPr>
              <w:spacing w:after="24" w:line="240" w:lineRule="auto"/>
            </w:pPr>
            <w:r/>
            <w:r>
              <w:rPr>
                <w:rFonts w:ascii="Lato" w:hAnsi="Lato"/>
                <w:color w:val="222222"/>
                <w:sz w:val="15"/>
              </w:rPr>
              <w:t>You are puzzled by a custom or word</w:t>
            </w:r>
          </w:p>
        </w:tc>
        <w:tc>
          <w:tcPr>
            <w:tcW w:type="dxa" w:w="3700"/>
            <w:shd w:fill="F5F7F8" w:val="clear"/>
            <w:vAlign w:val="top"/>
          </w:tcPr>
          <w:p>
            <w:pPr>
              <w:spacing w:after="24" w:line="240" w:lineRule="auto"/>
            </w:pPr>
            <w:r/>
            <w:r>
              <w:rPr>
                <w:rFonts w:ascii="Lato" w:hAnsi="Lato"/>
                <w:color w:val="222222"/>
                <w:sz w:val="15"/>
              </w:rPr>
              <w:t>The glossary, traditions, Formal Hall and Balls chapters.</w:t>
            </w:r>
          </w:p>
        </w:tc>
        <w:tc>
          <w:tcPr>
            <w:tcW w:type="dxa" w:w="3936"/>
            <w:shd w:fill="F5F7F8" w:val="clear"/>
            <w:vAlign w:val="top"/>
          </w:tcPr>
          <w:p>
            <w:pPr>
              <w:spacing w:after="24" w:line="240" w:lineRule="auto"/>
            </w:pPr>
            <w:r/>
            <w:r>
              <w:rPr>
                <w:rFonts w:ascii="Lato" w:hAnsi="Lato"/>
                <w:color w:val="222222"/>
                <w:sz w:val="15"/>
              </w:rPr>
              <w:t>Ask your own College where local practice differs.</w:t>
            </w:r>
          </w:p>
        </w:tc>
      </w:tr>
    </w:tbl>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D5A72E" w:val="clear"/>
          </w:tcPr>
          <w:p/>
        </w:tc>
        <w:tc>
          <w:tcPr>
            <w:tcW w:type="dxa" w:w="9877"/>
            <w:tcMar>
              <w:top w:w="80" w:type="dxa"/>
              <w:start w:w="100" w:type="dxa"/>
              <w:bottom w:w="80" w:type="dxa"/>
              <w:end w:w="100" w:type="dxa"/>
            </w:tcMar>
            <w:shd w:fill="FBF6E7" w:val="clear"/>
            <w:vAlign w:val="center"/>
          </w:tcPr>
          <w:p>
            <w:pPr>
              <w:spacing w:after="0"/>
            </w:pPr>
            <w:r>
              <w:rPr>
                <w:rFonts w:ascii="Lato" w:hAnsi="Lato"/>
                <w:b/>
                <w:color w:val="D5A72E"/>
                <w:sz w:val="16"/>
              </w:rPr>
              <w:t>THE OPERATING RULE</w:t>
            </w:r>
            <w:r>
              <w:rPr>
                <w:rFonts w:ascii="Lato" w:hAnsi="Lato"/>
                <w:color w:val="222222"/>
                <w:sz w:val="16"/>
              </w:rPr>
              <w:br/>
              <w:t>Use the front half to make decisions; use the cultural directories to choose what is enjoyable; use the appendices when you need to act. The guide is deliberately repetitive about one point: consequential answers should be checked with your own College and kept in writing.</w:t>
            </w:r>
          </w:p>
        </w:tc>
      </w:tr>
    </w:tbl>
    <w:tbl>
      <w:tblPr>
        <w:tblW w:type="dxa" w:w="10037"/>
        <w:jc w:val="center"/>
        <w:tblLayout w:type="fixed"/>
        <w:tblLook w:firstColumn="1" w:firstRow="1" w:lastColumn="0" w:lastRow="0" w:noHBand="0" w:noVBand="1" w:val="04A0"/>
        <w:tblBorders>
          <w:top w:val="single" w:sz="0" w:space="0" w:color="F9EEEE"/>
          <w:left w:val="single" w:sz="0" w:space="0" w:color="F9EEEE"/>
          <w:bottom w:val="single" w:sz="0" w:space="0" w:color="F9EEEE"/>
          <w:right w:val="single" w:sz="0" w:space="0" w:color="F9EEEE"/>
          <w:insideH w:val="single" w:sz="0" w:space="0" w:color="F9EEEE"/>
          <w:insideV w:val="single" w:sz="0" w:space="0" w:color="F9EEEE"/>
        </w:tblBorders>
      </w:tblPr>
      <w:tblGrid>
        <w:gridCol w:w="159"/>
        <w:gridCol w:w="9877"/>
      </w:tblGrid>
      <w:tr>
        <w:trPr>
          <w:cantSplit w:val="true"/>
        </w:trPr>
        <w:tc>
          <w:tcPr>
            <w:tcW w:type="dxa" w:w="158"/>
            <w:tcMar>
              <w:top w:w="80" w:type="dxa"/>
              <w:start w:w="100" w:type="dxa"/>
              <w:bottom w:w="80" w:type="dxa"/>
              <w:end w:w="100" w:type="dxa"/>
            </w:tcMar>
            <w:shd w:fill="A33A3A"/>
          </w:tcPr>
          <w:p/>
        </w:tc>
        <w:tc>
          <w:tcPr>
            <w:tcW w:type="dxa" w:w="9878"/>
            <w:tcMar>
              <w:top w:w="80" w:type="dxa"/>
              <w:start w:w="100" w:type="dxa"/>
              <w:bottom w:w="80" w:type="dxa"/>
              <w:end w:w="100" w:type="dxa"/>
            </w:tcMar>
            <w:shd w:fill="F9EEEE"/>
            <w:vAlign w:val="center"/>
          </w:tcPr>
          <w:p>
            <w:pPr>
              <w:pStyle w:val="BoxHeading"/>
            </w:pPr>
            <w:r>
              <w:t>A NOTE ABOUT “QUALITY OF FOOD”</w:t>
            </w:r>
          </w:p>
          <w:p>
            <w:pPr>
              <w:spacing w:after="0"/>
            </w:pPr>
            <w:r>
              <w:t>No University-wide, audited, current survey ranks Formal Hall food. Menus and chefs change; dietary execution can matter more than prestige. The guide therefore uses broad descriptors, publicly visible menus and repeated reputation only as a decision aid. Confidence is shown, and “insufficient evidence” is an honest result.</w:t>
            </w:r>
          </w:p>
        </w:tc>
      </w:tr>
    </w:tbl>
    <w:p>
      <w:pPr>
        <w:spacing w:after="20"/>
      </w:pPr>
    </w:p>
    <w:p>
      <w:pPr>
        <w:pStyle w:val="Heading2"/>
        <w:keepNext/>
      </w:pPr>
      <w:r>
        <w:t>Contents</w:t>
      </w:r>
    </w:p>
    <w:p>
      <w:pPr>
        <w:pStyle w:val="ListBullet"/>
        <w:spacing w:after="30" w:line="247" w:lineRule="auto"/>
        <w:ind w:left="312" w:hanging="142"/>
      </w:pPr>
      <w:r>
        <w:t>1. Executive summary and “at a glance”</w:t>
      </w:r>
    </w:p>
    <w:p>
      <w:pPr>
        <w:pStyle w:val="ListBullet"/>
      </w:pPr>
      <w:r>
        <w:t>Start here. New-student action map: offer to Week 4</w:t>
      </w:r>
    </w:p>
    <w:p>
      <w:pPr>
        <w:pStyle w:val="ListBullet"/>
        <w:spacing w:after="30" w:line="247" w:lineRule="auto"/>
        <w:ind w:left="312" w:hanging="142"/>
      </w:pPr>
      <w:r>
        <w:t>2. What mature student means and choosing a College</w:t>
      </w:r>
    </w:p>
    <w:p>
      <w:pPr>
        <w:pStyle w:val="ListBullet"/>
        <w:spacing w:after="30" w:line="247" w:lineRule="auto"/>
        <w:ind w:left="312" w:hanging="142"/>
      </w:pPr>
      <w:r>
        <w:t>3. Applying as a mature student</w:t>
      </w:r>
    </w:p>
    <w:p>
      <w:pPr>
        <w:pStyle w:val="ListBullet"/>
        <w:spacing w:after="30" w:line="247" w:lineRule="auto"/>
        <w:ind w:left="312" w:hanging="142"/>
      </w:pPr>
      <w:r>
        <w:t>4. How Cambridge actually works</w:t>
      </w:r>
    </w:p>
    <w:p>
      <w:pPr>
        <w:pStyle w:val="ListBullet"/>
        <w:spacing w:after="30" w:line="247" w:lineRule="auto"/>
        <w:ind w:left="312" w:hanging="142"/>
      </w:pPr>
      <w:r>
        <w:t>5. Academic life and returning to study</w:t>
      </w:r>
    </w:p>
    <w:p>
      <w:pPr>
        <w:pStyle w:val="ListBullet"/>
        <w:spacing w:after="30" w:line="247" w:lineRule="auto"/>
        <w:ind w:left="312" w:hanging="142"/>
      </w:pPr>
      <w:r>
        <w:t>6. Money, funding and hidden costs</w:t>
      </w:r>
    </w:p>
    <w:p>
      <w:pPr>
        <w:pStyle w:val="ListBullet"/>
        <w:spacing w:after="30" w:line="247" w:lineRule="auto"/>
        <w:ind w:left="312" w:hanging="142"/>
      </w:pPr>
      <w:r>
        <w:t>7. Accommodation and living arrangements</w:t>
      </w:r>
    </w:p>
    <w:p>
      <w:pPr>
        <w:pStyle w:val="ListBullet"/>
        <w:spacing w:after="30" w:line="247" w:lineRule="auto"/>
        <w:ind w:left="312" w:hanging="142"/>
      </w:pPr>
      <w:r>
        <w:t>8. Cambridge the town: schools, childcare, gyms and everyday life</w:t>
      </w:r>
    </w:p>
    <w:p>
      <w:pPr>
        <w:pStyle w:val="ListBullet"/>
        <w:spacing w:after="30" w:line="247" w:lineRule="auto"/>
        <w:ind w:left="312" w:hanging="142"/>
      </w:pPr>
      <w:r>
        <w:t>9. Welfare, health, disability and safeguarding</w:t>
      </w:r>
    </w:p>
    <w:p>
      <w:pPr>
        <w:pStyle w:val="ListBullet"/>
        <w:spacing w:after="30" w:line="247" w:lineRule="auto"/>
        <w:ind w:left="312" w:hanging="142"/>
      </w:pPr>
      <w:r>
        <w:t>10. Family, partners and adult responsibilities</w:t>
      </w:r>
    </w:p>
    <w:p>
      <w:pPr>
        <w:pStyle w:val="ListBullet"/>
        <w:spacing w:after="30" w:line="247" w:lineRule="auto"/>
        <w:ind w:left="312" w:hanging="142"/>
      </w:pPr>
      <w:r>
        <w:t>11. Social life, equality and belonging</w:t>
      </w:r>
    </w:p>
    <w:p>
      <w:pPr>
        <w:pStyle w:val="ListBullet"/>
      </w:pPr>
      <w:r>
        <w:t>11A. What mature students repeatedly say they wish they had known</w:t>
      </w:r>
    </w:p>
    <w:p>
      <w:pPr>
        <w:pStyle w:val="ListBullet"/>
        <w:spacing w:after="30" w:line="247" w:lineRule="auto"/>
        <w:ind w:left="312" w:hanging="142"/>
      </w:pPr>
      <w:r>
        <w:t>12. Formal Hall: college-by-college practical guide</w:t>
      </w:r>
    </w:p>
    <w:p>
      <w:pPr>
        <w:pStyle w:val="ListBullet"/>
        <w:spacing w:after="30" w:line="247" w:lineRule="auto"/>
        <w:ind w:left="312" w:hanging="142"/>
      </w:pPr>
      <w:r>
        <w:t>13. May Balls, June Events and garden parties</w:t>
      </w:r>
    </w:p>
    <w:p>
      <w:pPr>
        <w:pStyle w:val="ListBullet"/>
        <w:spacing w:after="30" w:line="247" w:lineRule="auto"/>
        <w:ind w:left="312" w:hanging="142"/>
      </w:pPr>
      <w:r>
        <w:t>14. Traditions and unwritten rules</w:t>
      </w:r>
    </w:p>
    <w:p>
      <w:pPr>
        <w:pStyle w:val="ListBullet"/>
        <w:spacing w:after="30" w:line="247" w:lineRule="auto"/>
        <w:ind w:left="312" w:hanging="142"/>
      </w:pPr>
      <w:r>
        <w:t>15. Cambridge slang and terminology glossary</w:t>
      </w:r>
    </w:p>
    <w:p>
      <w:pPr>
        <w:pStyle w:val="ListBullet"/>
        <w:spacing w:after="30" w:line="247" w:lineRule="auto"/>
        <w:ind w:left="312" w:hanging="142"/>
      </w:pPr>
      <w:r>
        <w:t>16. A concise social history</w:t>
      </w:r>
    </w:p>
    <w:p>
      <w:pPr>
        <w:pStyle w:val="ListBullet"/>
        <w:spacing w:after="30" w:line="247" w:lineRule="auto"/>
        <w:ind w:left="312" w:hanging="142"/>
      </w:pPr>
      <w:r>
        <w:t>17. Your first year: survival timeline</w:t>
      </w:r>
    </w:p>
    <w:p>
      <w:pPr>
        <w:pStyle w:val="ListBullet"/>
        <w:spacing w:after="30" w:line="247" w:lineRule="auto"/>
        <w:ind w:left="312" w:hanging="142"/>
      </w:pPr>
      <w:r>
        <w:t>18. Things that go wrong</w:t>
      </w:r>
    </w:p>
    <w:p>
      <w:pPr>
        <w:pStyle w:val="ListBullet"/>
        <w:spacing w:after="30" w:line="247" w:lineRule="auto"/>
        <w:ind w:left="312" w:hanging="142"/>
      </w:pPr>
      <w:r>
        <w:t>19. Myths, hard truths and conclusion</w:t>
      </w:r>
    </w:p>
    <w:p>
      <w:pPr>
        <w:pStyle w:val="ListBullet"/>
        <w:spacing w:after="30" w:line="247" w:lineRule="auto"/>
        <w:ind w:left="312" w:hanging="142"/>
      </w:pPr>
      <w:r>
        <w:t>Appendices: checklists, budgets, schedules, contacts, information gaps and bibliography</w:t>
      </w:r>
    </w:p>
    <w:p>
      <w:pPr>
        <w:pStyle w:val="Heading1"/>
        <w:keepNext/>
      </w:pPr>
      <w:r>
        <w:t>1. Executive summary</w:t>
      </w:r>
    </w:p>
    <w:p>
      <w:pPr>
        <w:spacing w:after="160"/>
      </w:pPr>
      <w:r>
        <w:rPr>
          <w:i/>
          <w:color w:val="5F6B73"/>
          <w:sz w:val="20"/>
        </w:rPr>
        <w:t>Cambridge can work extremely well for a mature student, but it rarely works by accident.</w:t>
      </w:r>
    </w:p>
    <w:p>
      <w:r>
        <w:t>Cambridge differs from most British universities because it is a federation. The University sets degrees, examinations and much central teaching; Faculties and Departments run subjects; autonomous Colleges admit students, provide accommodation and community, arrange undergraduate supervisions and operate much of the day-to-day welfare system. The result is exceptional intellectual access but a fragmented support map. You must learn which door to knock on. [U02] [U03]</w:t>
      </w:r>
    </w:p>
    <w:p>
      <w:r>
        <w:t>Mature students can bring clearer motivation, professional judgement, self-knowledge and a willingness to ask why. They may also carry rent obligations, children, caring, disability, visa constraints, an old fear of mathematics, or no spare parent who can transfer money on Friday. None of those facts indicates academic weakness. They do mean that “just ask your family”, “work all night” and “move out for every vacation” are not neutral assumptions.</w:t>
      </w:r>
    </w:p>
    <w:p>
      <w:pPr>
        <w:pStyle w:val="Heading2"/>
        <w:keepNext/>
      </w:pPr>
      <w:r>
        <w:t>The main advantages</w:t>
      </w:r>
    </w:p>
    <w:p>
      <w:pPr>
        <w:pStyle w:val="ListBullet"/>
        <w:spacing w:after="30" w:line="247" w:lineRule="auto"/>
        <w:ind w:left="312" w:hanging="142"/>
      </w:pPr>
      <w:r>
        <w:t>Intellectual density: libraries, museums, laboratories, language learning, supervisors and visiting speakers are unusually concentrated.</w:t>
      </w:r>
    </w:p>
    <w:p>
      <w:pPr>
        <w:pStyle w:val="ListBullet"/>
        <w:spacing w:after="30" w:line="247" w:lineRule="auto"/>
        <w:ind w:left="312" w:hanging="142"/>
      </w:pPr>
      <w:r>
        <w:t>College membership gives a smaller home base inside a large University; mature-only Colleges can add an age-diverse peer group.</w:t>
      </w:r>
    </w:p>
    <w:p>
      <w:pPr>
        <w:pStyle w:val="ListBullet"/>
        <w:spacing w:after="30" w:line="247" w:lineRule="auto"/>
        <w:ind w:left="312" w:hanging="142"/>
      </w:pPr>
      <w:r>
        <w:t>Small-group supervisions can accelerate learning when you use them to test ideas rather than perform certainty.</w:t>
      </w:r>
    </w:p>
    <w:p>
      <w:pPr>
        <w:pStyle w:val="ListBullet"/>
        <w:spacing w:after="30" w:line="247" w:lineRule="auto"/>
        <w:ind w:left="312" w:hanging="142"/>
      </w:pPr>
      <w:r>
        <w:t>Cambridge’s short, intense terms suit some people who prefer clear bursts of focus, provided their vacation responsibilities allow continued work.</w:t>
      </w:r>
    </w:p>
    <w:p>
      <w:pPr>
        <w:pStyle w:val="ListBullet"/>
        <w:spacing w:after="30" w:line="247" w:lineRule="auto"/>
        <w:ind w:left="312" w:hanging="142"/>
      </w:pPr>
      <w:r>
        <w:t>The name, networks and Careers Service can support a career change, but only when translated into experience, relationships and evidence rather than treated as magic.</w:t>
      </w:r>
    </w:p>
    <w:p>
      <w:pPr>
        <w:pStyle w:val="Heading2"/>
        <w:keepNext/>
      </w:pPr>
      <w:r>
        <w:t>The common difficulties</w:t>
      </w:r>
    </w:p>
    <w:p>
      <w:pPr>
        <w:pStyle w:val="ListBullet"/>
        <w:spacing w:after="30" w:line="247" w:lineRule="auto"/>
        <w:ind w:left="312" w:hanging="142"/>
      </w:pPr>
      <w:r>
        <w:t>The eight-week Full Term is compressed. A minor illness, childcare failure or two lost deadlines can become a structural problem quickly.</w:t>
      </w:r>
    </w:p>
    <w:p>
      <w:pPr>
        <w:pStyle w:val="ListBullet"/>
        <w:spacing w:after="30" w:line="247" w:lineRule="auto"/>
        <w:ind w:left="312" w:hanging="142"/>
      </w:pPr>
      <w:r>
        <w:t>College variation creates information inequality: another student’s confident answer may be true only in their College.</w:t>
      </w:r>
    </w:p>
    <w:p>
      <w:pPr>
        <w:pStyle w:val="ListBullet"/>
        <w:spacing w:after="30" w:line="247" w:lineRule="auto"/>
        <w:ind w:left="312" w:hanging="142"/>
      </w:pPr>
      <w:r>
        <w:t>Housing contracts, vacation residence and family accommodation can be poor fits for adult life; private rent is expensive and administratively demanding.</w:t>
      </w:r>
    </w:p>
    <w:p>
      <w:pPr>
        <w:pStyle w:val="ListBullet"/>
        <w:spacing w:after="30" w:line="247" w:lineRule="auto"/>
        <w:ind w:left="312" w:hanging="142"/>
      </w:pPr>
      <w:r>
        <w:t>Many social cues presume free evenings, disposable income and comfort with alcohol. Participation is optional, but disappearing entirely can deepen isolation.</w:t>
      </w:r>
    </w:p>
    <w:p>
      <w:pPr>
        <w:pStyle w:val="ListBullet"/>
        <w:spacing w:after="30" w:line="247" w:lineRule="auto"/>
        <w:ind w:left="312" w:hanging="142"/>
      </w:pPr>
      <w:r>
        <w:t>Cambridge prestige can make capable people interpret ordinary struggle as exposure of a mistake. The correct response is earlier communication, not greater secrecy.</w:t>
      </w:r>
    </w:p>
    <w:p>
      <w:pPr>
        <w:pStyle w:val="Heading2"/>
        <w:keepNext/>
      </w:pPr>
      <w:r>
        <w:t>Five things to understand before accepting</w:t>
      </w:r>
    </w:p>
    <w:p>
      <w:pPr>
        <w:spacing w:after="40"/>
        <w:ind w:left="351" w:hanging="272"/>
      </w:pPr>
      <w:r>
        <w:rPr>
          <w:b/>
        </w:rPr>
        <w:t xml:space="preserve">1.  </w:t>
      </w:r>
      <w:r>
        <w:t>Your College is not cosmetic. It can materially affect room availability, contract length, kitchens, partner or family housing, welfare access, dining culture, location and the presence of other mature undergraduates.</w:t>
      </w:r>
    </w:p>
    <w:p>
      <w:pPr>
        <w:spacing w:after="40"/>
        <w:ind w:left="351" w:hanging="272"/>
      </w:pPr>
      <w:r>
        <w:rPr>
          <w:b/>
        </w:rPr>
        <w:t xml:space="preserve">2.  </w:t>
      </w:r>
      <w:r>
        <w:t>The academic week is not a timetable of lectures alone. Cambridge expects at least the equivalent of a full-time working week, including preparation for supervisions and work outside Full Term. [U03]</w:t>
      </w:r>
    </w:p>
    <w:p>
      <w:pPr>
        <w:spacing w:after="40"/>
        <w:ind w:left="351" w:hanging="272"/>
      </w:pPr>
      <w:r>
        <w:rPr>
          <w:b/>
        </w:rPr>
        <w:t xml:space="preserve">3.  </w:t>
      </w:r>
      <w:r>
        <w:t>Support is not automatic. The system works best when you identify your Tutor, Director of Studies and relevant central service before a problem becomes urgent.</w:t>
      </w:r>
    </w:p>
    <w:p>
      <w:pPr>
        <w:spacing w:after="40"/>
        <w:ind w:left="351" w:hanging="272"/>
      </w:pPr>
      <w:r>
        <w:rPr>
          <w:b/>
        </w:rPr>
        <w:t xml:space="preserve">4.  </w:t>
      </w:r>
      <w:r>
        <w:t>The published living-cost figure is a planning baseline, not a guarantee. Dependants, year-round housing, accessibility, deposits, travel and visa costs can move your budget sharply. [U06]</w:t>
      </w:r>
    </w:p>
    <w:p>
      <w:pPr>
        <w:spacing w:after="40"/>
        <w:ind w:left="351" w:hanging="272"/>
      </w:pPr>
      <w:r>
        <w:rPr>
          <w:b/>
        </w:rPr>
        <w:t xml:space="preserve">5.  </w:t>
      </w:r>
      <w:r>
        <w:t>You are allowed to build an adult version of Cambridge. You can attend a Formal, skip a bop, join a daytime society, keep family dinner, row once, never row again, or leave a Ball before sunrise.</w:t>
      </w:r>
    </w:p>
    <w:p>
      <w:pPr>
        <w:pStyle w:val="Heading2"/>
        <w:keepNext/>
      </w:pPr>
      <w:r>
        <w:t>Five actions immediately after accepting</w:t>
      </w:r>
    </w:p>
    <w:p>
      <w:pPr>
        <w:spacing w:after="40"/>
        <w:ind w:left="351" w:hanging="272"/>
      </w:pPr>
      <w:r>
        <w:rPr>
          <w:b/>
        </w:rPr>
        <w:t xml:space="preserve">1.  </w:t>
      </w:r>
      <w:r>
        <w:t>Ask the College accommodation office—in writing—about total contract length, vacation residence, kitchens, storage, accessibility, guests, partners and children.</w:t>
      </w:r>
    </w:p>
    <w:p>
      <w:pPr>
        <w:spacing w:after="40"/>
        <w:ind w:left="351" w:hanging="272"/>
      </w:pPr>
      <w:r>
        <w:rPr>
          <w:b/>
        </w:rPr>
        <w:t xml:space="preserve">2.  </w:t>
      </w:r>
      <w:r>
        <w:t>Build a twelve-month cash-flow plan, not only a termly budget. Confirm tuition support, maintenance, Cambridge Bursary, College grants, DSA and childcare support.</w:t>
      </w:r>
    </w:p>
    <w:p>
      <w:pPr>
        <w:spacing w:after="40"/>
        <w:ind w:left="351" w:hanging="272"/>
      </w:pPr>
      <w:r>
        <w:rPr>
          <w:b/>
        </w:rPr>
        <w:t xml:space="preserve">3.  </w:t>
      </w:r>
      <w:r>
        <w:t>Disclose disability or a long-term condition to the Accessibility and Disability Resource Centre early enough to arrange evidence, teaching adjustments and examination access. [U12] [G04]</w:t>
      </w:r>
    </w:p>
    <w:p>
      <w:pPr>
        <w:spacing w:after="40"/>
        <w:ind w:left="351" w:hanging="272"/>
      </w:pPr>
      <w:r>
        <w:rPr>
          <w:b/>
        </w:rPr>
        <w:t xml:space="preserve">4.  </w:t>
      </w:r>
      <w:r>
        <w:t>If you have children, join nursery waiting lists and investigate school applications before arrival; neither childcare nor school places are guaranteed by College membership. [U18] [L01]</w:t>
      </w:r>
    </w:p>
    <w:p>
      <w:pPr>
        <w:spacing w:after="40"/>
        <w:ind w:left="351" w:hanging="272"/>
      </w:pPr>
      <w:r>
        <w:rPr>
          <w:b/>
        </w:rPr>
        <w:t xml:space="preserve">5.  </w:t>
      </w:r>
      <w:r>
        <w:t>Ask for the names and first meeting dates of your Tutor and Director of Studies, and store the Porters’ Lodge, NHS 111 and College out-of-hours numbers in your phone.</w:t>
      </w:r>
    </w:p>
    <w:p>
      <w:pPr>
        <w:pStyle w:val="Heading2"/>
        <w:keepNext/>
      </w:pPr>
      <w:r>
        <w:t>Cambridge mature student at a glance</w:t>
      </w:r>
    </w:p>
    <w:tbl>
      <w:tblPr>
        <w:tblW w:type="dxa" w:w="9809"/>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551"/>
        <w:gridCol w:w="7257"/>
      </w:tblGrid>
      <w:tr>
        <w:trPr>
          <w:tblHeader w:val="true"/>
          <w:cantSplit w:val="true"/>
        </w:trPr>
        <w:tc>
          <w:tcPr>
            <w:tcW w:type="dxa" w:w="2551"/>
            <w:shd w:fill="17324D"/>
            <w:tcMar>
              <w:top w:w="70" w:type="dxa"/>
              <w:start w:w="80" w:type="dxa"/>
              <w:bottom w:w="70" w:type="dxa"/>
              <w:end w:w="80" w:type="dxa"/>
            </w:tcMar>
            <w:vAlign w:val="center"/>
          </w:tcPr>
          <w:p>
            <w:pPr>
              <w:pStyle w:val="TableText"/>
              <w:jc w:val="left"/>
            </w:pPr>
            <w:r>
              <w:rPr>
                <w:b/>
                <w:color w:val="FFFFFF"/>
                <w:sz w:val="15"/>
              </w:rPr>
              <w:t>Question</w:t>
            </w:r>
          </w:p>
        </w:tc>
        <w:tc>
          <w:tcPr>
            <w:tcW w:type="dxa" w:w="7257"/>
            <w:shd w:fill="17324D"/>
            <w:tcMar>
              <w:top w:w="70" w:type="dxa"/>
              <w:start w:w="80" w:type="dxa"/>
              <w:bottom w:w="70" w:type="dxa"/>
              <w:end w:w="80" w:type="dxa"/>
            </w:tcMar>
            <w:vAlign w:val="center"/>
          </w:tcPr>
          <w:p>
            <w:pPr>
              <w:pStyle w:val="TableText"/>
              <w:jc w:val="left"/>
            </w:pPr>
            <w:r>
              <w:rPr>
                <w:b/>
                <w:color w:val="FFFFFF"/>
                <w:sz w:val="15"/>
              </w:rPr>
              <w:t>Practical answer</w:t>
            </w:r>
          </w:p>
        </w:tc>
      </w:tr>
      <w:tr>
        <w:trPr>
          <w:cantSplit w:val="true"/>
        </w:trPr>
        <w:tc>
          <w:tcPr>
            <w:tcW w:type="dxa" w:w="2551"/>
            <w:tcMar>
              <w:top w:w="55" w:type="dxa"/>
              <w:start w:w="70" w:type="dxa"/>
              <w:bottom w:w="55" w:type="dxa"/>
              <w:end w:w="70" w:type="dxa"/>
            </w:tcMar>
            <w:vAlign w:val="top"/>
          </w:tcPr>
          <w:p>
            <w:pPr>
              <w:pStyle w:val="TableText"/>
            </w:pPr>
            <w:r>
              <w:t>Who counts as mature?</w:t>
            </w:r>
          </w:p>
        </w:tc>
        <w:tc>
          <w:tcPr>
            <w:tcW w:type="dxa" w:w="7257"/>
            <w:tcMar>
              <w:top w:w="55" w:type="dxa"/>
              <w:start w:w="70" w:type="dxa"/>
              <w:bottom w:w="55" w:type="dxa"/>
              <w:end w:w="70" w:type="dxa"/>
            </w:tcMar>
            <w:vAlign w:val="top"/>
          </w:tcPr>
          <w:p>
            <w:pPr>
              <w:pStyle w:val="TableText"/>
            </w:pPr>
            <w:r>
              <w:t>Aged 21 or over on 1 October in the year the course starts. [U01]</w:t>
            </w:r>
          </w:p>
        </w:tc>
      </w:tr>
      <w:tr>
        <w:trPr>
          <w:cantSplit w:val="true"/>
        </w:trPr>
        <w:tc>
          <w:tcPr>
            <w:tcW w:type="dxa" w:w="2551"/>
            <w:shd w:fill="F5F7F8"/>
            <w:tcMar>
              <w:top w:w="55" w:type="dxa"/>
              <w:start w:w="70" w:type="dxa"/>
              <w:bottom w:w="55" w:type="dxa"/>
              <w:end w:w="70" w:type="dxa"/>
            </w:tcMar>
            <w:vAlign w:val="top"/>
          </w:tcPr>
          <w:p>
            <w:pPr>
              <w:pStyle w:val="TableText"/>
            </w:pPr>
            <w:r>
              <w:t>Must I choose a mature College?</w:t>
            </w:r>
          </w:p>
        </w:tc>
        <w:tc>
          <w:tcPr>
            <w:tcW w:type="dxa" w:w="7257"/>
            <w:shd w:fill="F5F7F8"/>
            <w:tcMar>
              <w:top w:w="55" w:type="dxa"/>
              <w:start w:w="70" w:type="dxa"/>
              <w:bottom w:w="55" w:type="dxa"/>
              <w:end w:w="70" w:type="dxa"/>
            </w:tcMar>
            <w:vAlign w:val="top"/>
          </w:tcPr>
          <w:p>
            <w:pPr>
              <w:pStyle w:val="TableText"/>
            </w:pPr>
            <w:r>
              <w:t>No. You may apply to any undergraduate College accepting your course and circumstances; an open mature application is allocated to a mature College. [U01]</w:t>
            </w:r>
          </w:p>
        </w:tc>
      </w:tr>
      <w:tr>
        <w:trPr>
          <w:cantSplit w:val="true"/>
        </w:trPr>
        <w:tc>
          <w:tcPr>
            <w:tcW w:type="dxa" w:w="2551"/>
            <w:tcMar>
              <w:top w:w="55" w:type="dxa"/>
              <w:start w:w="70" w:type="dxa"/>
              <w:bottom w:w="55" w:type="dxa"/>
              <w:end w:w="70" w:type="dxa"/>
            </w:tcMar>
            <w:vAlign w:val="top"/>
          </w:tcPr>
          <w:p>
            <w:pPr>
              <w:pStyle w:val="TableText"/>
            </w:pPr>
            <w:r>
              <w:t>Mature-only undergraduate Colleges</w:t>
            </w:r>
          </w:p>
        </w:tc>
        <w:tc>
          <w:tcPr>
            <w:tcW w:type="dxa" w:w="7257"/>
            <w:tcMar>
              <w:top w:w="55" w:type="dxa"/>
              <w:start w:w="70" w:type="dxa"/>
              <w:bottom w:w="55" w:type="dxa"/>
              <w:end w:w="70" w:type="dxa"/>
            </w:tcMar>
            <w:vAlign w:val="top"/>
          </w:tcPr>
          <w:p>
            <w:pPr>
              <w:pStyle w:val="TableText"/>
            </w:pPr>
            <w:r>
              <w:t>Hughes Hall, St Edmund’s and Wolfson. Other Colleges admit mature applicants too. [U01]</w:t>
            </w:r>
          </w:p>
        </w:tc>
      </w:tr>
      <w:tr>
        <w:trPr>
          <w:cantSplit w:val="true"/>
        </w:trPr>
        <w:tc>
          <w:tcPr>
            <w:tcW w:type="dxa" w:w="2551"/>
            <w:shd w:fill="F5F7F8"/>
            <w:tcMar>
              <w:top w:w="55" w:type="dxa"/>
              <w:start w:w="70" w:type="dxa"/>
              <w:bottom w:w="55" w:type="dxa"/>
              <w:end w:w="70" w:type="dxa"/>
            </w:tcMar>
            <w:vAlign w:val="top"/>
          </w:tcPr>
          <w:p>
            <w:pPr>
              <w:pStyle w:val="TableText"/>
            </w:pPr>
            <w:r>
              <w:t>How long is term?</w:t>
            </w:r>
          </w:p>
        </w:tc>
        <w:tc>
          <w:tcPr>
            <w:tcW w:type="dxa" w:w="7257"/>
            <w:shd w:fill="F5F7F8"/>
            <w:tcMar>
              <w:top w:w="55" w:type="dxa"/>
              <w:start w:w="70" w:type="dxa"/>
              <w:bottom w:w="55" w:type="dxa"/>
              <w:end w:w="70" w:type="dxa"/>
            </w:tcMar>
            <w:vAlign w:val="top"/>
          </w:tcPr>
          <w:p>
            <w:pPr>
              <w:pStyle w:val="TableText"/>
            </w:pPr>
            <w:r>
              <w:t>Full Term is eight weeks. In 2026–27: 6 Oct–4 Dec; 19 Jan–19 Mar; 27 Apr–18 Jun. [U04]</w:t>
            </w:r>
          </w:p>
        </w:tc>
      </w:tr>
      <w:tr>
        <w:trPr>
          <w:cantSplit w:val="true"/>
        </w:trPr>
        <w:tc>
          <w:tcPr>
            <w:tcW w:type="dxa" w:w="2551"/>
            <w:tcMar>
              <w:top w:w="55" w:type="dxa"/>
              <w:start w:w="70" w:type="dxa"/>
              <w:bottom w:w="55" w:type="dxa"/>
              <w:end w:w="70" w:type="dxa"/>
            </w:tcMar>
            <w:vAlign w:val="top"/>
          </w:tcPr>
          <w:p>
            <w:pPr>
              <w:pStyle w:val="TableText"/>
            </w:pPr>
            <w:r>
              <w:t>How much study?</w:t>
            </w:r>
          </w:p>
        </w:tc>
        <w:tc>
          <w:tcPr>
            <w:tcW w:type="dxa" w:w="7257"/>
            <w:tcMar>
              <w:top w:w="55" w:type="dxa"/>
              <w:start w:w="70" w:type="dxa"/>
              <w:bottom w:w="55" w:type="dxa"/>
              <w:end w:w="70" w:type="dxa"/>
            </w:tcMar>
            <w:vAlign w:val="top"/>
          </w:tcPr>
          <w:p>
            <w:pPr>
              <w:pStyle w:val="TableText"/>
            </w:pPr>
            <w:r>
              <w:t>The University describes a minimum of about 35 hours a week, with variation by course and work in vacations. [U03]</w:t>
            </w:r>
          </w:p>
        </w:tc>
      </w:tr>
      <w:tr>
        <w:trPr>
          <w:cantSplit w:val="true"/>
        </w:trPr>
        <w:tc>
          <w:tcPr>
            <w:tcW w:type="dxa" w:w="2551"/>
            <w:shd w:fill="F5F7F8"/>
            <w:tcMar>
              <w:top w:w="55" w:type="dxa"/>
              <w:start w:w="70" w:type="dxa"/>
              <w:bottom w:w="55" w:type="dxa"/>
              <w:end w:w="70" w:type="dxa"/>
            </w:tcMar>
            <w:vAlign w:val="top"/>
          </w:tcPr>
          <w:p>
            <w:pPr>
              <w:pStyle w:val="TableText"/>
            </w:pPr>
            <w:r>
              <w:t>Who is my pastoral contact?</w:t>
            </w:r>
          </w:p>
        </w:tc>
        <w:tc>
          <w:tcPr>
            <w:tcW w:type="dxa" w:w="7257"/>
            <w:shd w:fill="F5F7F8"/>
            <w:tcMar>
              <w:top w:w="55" w:type="dxa"/>
              <w:start w:w="70" w:type="dxa"/>
              <w:bottom w:w="55" w:type="dxa"/>
              <w:end w:w="70" w:type="dxa"/>
            </w:tcMar>
            <w:vAlign w:val="top"/>
          </w:tcPr>
          <w:p>
            <w:pPr>
              <w:pStyle w:val="TableText"/>
            </w:pPr>
            <w:r>
              <w:t>Your College Tutor. This is not normally your subject teacher.</w:t>
            </w:r>
          </w:p>
        </w:tc>
      </w:tr>
      <w:tr>
        <w:trPr>
          <w:cantSplit w:val="true"/>
        </w:trPr>
        <w:tc>
          <w:tcPr>
            <w:tcW w:type="dxa" w:w="2551"/>
            <w:tcMar>
              <w:top w:w="55" w:type="dxa"/>
              <w:start w:w="70" w:type="dxa"/>
              <w:bottom w:w="55" w:type="dxa"/>
              <w:end w:w="70" w:type="dxa"/>
            </w:tcMar>
            <w:vAlign w:val="top"/>
          </w:tcPr>
          <w:p>
            <w:pPr>
              <w:pStyle w:val="TableText"/>
            </w:pPr>
            <w:r>
              <w:t>Who coordinates my academics?</w:t>
            </w:r>
          </w:p>
        </w:tc>
        <w:tc>
          <w:tcPr>
            <w:tcW w:type="dxa" w:w="7257"/>
            <w:tcMar>
              <w:top w:w="55" w:type="dxa"/>
              <w:start w:w="70" w:type="dxa"/>
              <w:bottom w:w="55" w:type="dxa"/>
              <w:end w:w="70" w:type="dxa"/>
            </w:tcMar>
            <w:vAlign w:val="top"/>
          </w:tcPr>
          <w:p>
            <w:pPr>
              <w:pStyle w:val="TableText"/>
            </w:pPr>
            <w:r>
              <w:t>Your College Director of Studies (DoS); individual supervisors teach particular papers or topics.</w:t>
            </w:r>
          </w:p>
        </w:tc>
      </w:tr>
      <w:tr>
        <w:trPr>
          <w:cantSplit w:val="true"/>
        </w:trPr>
        <w:tc>
          <w:tcPr>
            <w:tcW w:type="dxa" w:w="2551"/>
            <w:shd w:fill="F5F7F8"/>
            <w:tcMar>
              <w:top w:w="55" w:type="dxa"/>
              <w:start w:w="70" w:type="dxa"/>
              <w:bottom w:w="55" w:type="dxa"/>
              <w:end w:w="70" w:type="dxa"/>
            </w:tcMar>
            <w:vAlign w:val="top"/>
          </w:tcPr>
          <w:p>
            <w:pPr>
              <w:pStyle w:val="TableText"/>
            </w:pPr>
            <w:r>
              <w:t>Do I need formalwear?</w:t>
            </w:r>
          </w:p>
        </w:tc>
        <w:tc>
          <w:tcPr>
            <w:tcW w:type="dxa" w:w="7257"/>
            <w:shd w:fill="F5F7F8"/>
            <w:tcMar>
              <w:top w:w="55" w:type="dxa"/>
              <w:start w:w="70" w:type="dxa"/>
              <w:bottom w:w="55" w:type="dxa"/>
              <w:end w:w="70" w:type="dxa"/>
            </w:tcMar>
            <w:vAlign w:val="top"/>
          </w:tcPr>
          <w:p>
            <w:pPr>
              <w:pStyle w:val="TableText"/>
            </w:pPr>
            <w:r>
              <w:t>Not for ordinary study. It may be needed for matriculation, Formals, feasts and Balls; rules vary.</w:t>
            </w:r>
          </w:p>
        </w:tc>
      </w:tr>
      <w:tr>
        <w:trPr>
          <w:cantSplit w:val="true"/>
        </w:trPr>
        <w:tc>
          <w:tcPr>
            <w:tcW w:type="dxa" w:w="2551"/>
            <w:tcMar>
              <w:top w:w="55" w:type="dxa"/>
              <w:start w:w="70" w:type="dxa"/>
              <w:bottom w:w="55" w:type="dxa"/>
              <w:end w:w="70" w:type="dxa"/>
            </w:tcMar>
            <w:vAlign w:val="top"/>
          </w:tcPr>
          <w:p>
            <w:pPr>
              <w:pStyle w:val="TableText"/>
            </w:pPr>
            <w:r>
              <w:t>Can I live out?</w:t>
            </w:r>
          </w:p>
        </w:tc>
        <w:tc>
          <w:tcPr>
            <w:tcW w:type="dxa" w:w="7257"/>
            <w:tcMar>
              <w:top w:w="55" w:type="dxa"/>
              <w:start w:w="70" w:type="dxa"/>
              <w:bottom w:w="55" w:type="dxa"/>
              <w:end w:w="70" w:type="dxa"/>
            </w:tcMar>
            <w:vAlign w:val="top"/>
          </w:tcPr>
          <w:p>
            <w:pPr>
              <w:pStyle w:val="TableText"/>
            </w:pPr>
            <w:r>
              <w:t>Often, but permission, distance, visa, keeping-term and course requirements may matter. Ask your College.</w:t>
            </w:r>
          </w:p>
        </w:tc>
      </w:tr>
      <w:tr>
        <w:trPr>
          <w:cantSplit w:val="true"/>
        </w:trPr>
        <w:tc>
          <w:tcPr>
            <w:tcW w:type="dxa" w:w="2551"/>
            <w:shd w:fill="F5F7F8"/>
            <w:tcMar>
              <w:top w:w="55" w:type="dxa"/>
              <w:start w:w="70" w:type="dxa"/>
              <w:bottom w:w="55" w:type="dxa"/>
              <w:end w:w="70" w:type="dxa"/>
            </w:tcMar>
            <w:vAlign w:val="top"/>
          </w:tcPr>
          <w:p>
            <w:pPr>
              <w:pStyle w:val="TableText"/>
            </w:pPr>
            <w:r>
              <w:t>Can I work in term?</w:t>
            </w:r>
          </w:p>
        </w:tc>
        <w:tc>
          <w:tcPr>
            <w:tcW w:type="dxa" w:w="7257"/>
            <w:shd w:fill="F5F7F8"/>
            <w:tcMar>
              <w:top w:w="55" w:type="dxa"/>
              <w:start w:w="70" w:type="dxa"/>
              <w:bottom w:w="55" w:type="dxa"/>
              <w:end w:w="70" w:type="dxa"/>
            </w:tcMar>
            <w:vAlign w:val="top"/>
          </w:tcPr>
          <w:p>
            <w:pPr>
              <w:pStyle w:val="TableText"/>
            </w:pPr>
            <w:r>
              <w:t>The workload is heavy; visa rules can restrict work. Obtain College/course advice and protect academic hours.</w:t>
            </w:r>
          </w:p>
        </w:tc>
      </w:tr>
      <w:tr>
        <w:trPr>
          <w:cantSplit w:val="true"/>
        </w:trPr>
        <w:tc>
          <w:tcPr>
            <w:tcW w:type="dxa" w:w="2551"/>
            <w:tcMar>
              <w:top w:w="55" w:type="dxa"/>
              <w:start w:w="70" w:type="dxa"/>
              <w:bottom w:w="55" w:type="dxa"/>
              <w:end w:w="70" w:type="dxa"/>
            </w:tcMar>
            <w:vAlign w:val="top"/>
          </w:tcPr>
          <w:p>
            <w:pPr>
              <w:pStyle w:val="TableText"/>
            </w:pPr>
            <w:r>
              <w:t>What if I am in crisis?</w:t>
            </w:r>
          </w:p>
        </w:tc>
        <w:tc>
          <w:tcPr>
            <w:tcW w:type="dxa" w:w="7257"/>
            <w:tcMar>
              <w:top w:w="55" w:type="dxa"/>
              <w:start w:w="70" w:type="dxa"/>
              <w:bottom w:w="55" w:type="dxa"/>
              <w:end w:w="70" w:type="dxa"/>
            </w:tcMar>
            <w:vAlign w:val="top"/>
          </w:tcPr>
          <w:p>
            <w:pPr>
              <w:pStyle w:val="TableText"/>
            </w:pPr>
            <w:r>
              <w:t>999/112 for immediate danger; NHS 111 for urgent medical advice; College Lodge for local practical response; Samaritans 116 123. [N01] [N02]</w:t>
            </w:r>
          </w:p>
        </w:tc>
      </w:tr>
      <w:tr>
        <w:trPr>
          <w:cantSplit w:val="true"/>
        </w:trPr>
        <w:tc>
          <w:tcPr>
            <w:tcW w:type="dxa" w:w="2551"/>
            <w:shd w:fill="F5F7F8"/>
            <w:tcMar>
              <w:top w:w="55" w:type="dxa"/>
              <w:start w:w="70" w:type="dxa"/>
              <w:bottom w:w="55" w:type="dxa"/>
              <w:end w:w="70" w:type="dxa"/>
            </w:tcMar>
            <w:vAlign w:val="top"/>
          </w:tcPr>
          <w:p>
            <w:pPr>
              <w:pStyle w:val="TableText"/>
            </w:pPr>
            <w:r>
              <w:t>Best first question</w:t>
            </w:r>
          </w:p>
        </w:tc>
        <w:tc>
          <w:tcPr>
            <w:tcW w:type="dxa" w:w="7257"/>
            <w:shd w:fill="F5F7F8"/>
            <w:tcMar>
              <w:top w:w="55" w:type="dxa"/>
              <w:start w:w="70" w:type="dxa"/>
              <w:bottom w:w="55" w:type="dxa"/>
              <w:end w:w="70" w:type="dxa"/>
            </w:tcMar>
            <w:vAlign w:val="top"/>
          </w:tcPr>
          <w:p>
            <w:pPr>
              <w:pStyle w:val="TableText"/>
            </w:pPr>
            <w:r>
              <w:t>“Is this a University rule, a Faculty rule or my College’s practice?”</w:t>
            </w:r>
          </w:p>
        </w:tc>
      </w:tr>
    </w:tbl>
    <w:p>
      <w:pPr>
        <w:pStyle w:val="Heading2"/>
        <w:keepNext/>
      </w:pPr>
      <w:r>
        <w:t>Current key dates and numbers</w:t>
      </w:r>
    </w:p>
    <w:p>
      <w:pPr/>
      <w:r>
        <w:t>These are the figures most likely to affect an offer-holder’s first decisions. They are current to the check date and must be rechecked for later cohorts.</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300"/>
            <w:shd w:fill="17324D" w:val="clear"/>
            <w:vAlign w:val="center"/>
          </w:tcPr>
          <w:p>
            <w:pPr>
              <w:spacing w:after="20"/>
              <w:jc w:val="left"/>
            </w:pPr>
            <w:r>
              <w:rPr>
                <w:rFonts w:ascii="Lato" w:hAnsi="Lato"/>
                <w:b/>
                <w:color w:val="FFFFFF"/>
                <w:sz w:val="15"/>
              </w:rPr>
              <w:t>Item</w:t>
            </w:r>
          </w:p>
        </w:tc>
        <w:tc>
          <w:tcPr>
            <w:tcW w:type="dxa" w:w="4000"/>
            <w:shd w:fill="17324D" w:val="clear"/>
            <w:vAlign w:val="center"/>
          </w:tcPr>
          <w:p>
            <w:pPr>
              <w:spacing w:after="20"/>
              <w:jc w:val="left"/>
            </w:pPr>
            <w:r>
              <w:rPr>
                <w:rFonts w:ascii="Lato" w:hAnsi="Lato"/>
                <w:b/>
                <w:color w:val="FFFFFF"/>
                <w:sz w:val="15"/>
              </w:rPr>
              <w:t>Current reference point</w:t>
            </w:r>
          </w:p>
        </w:tc>
        <w:tc>
          <w:tcPr>
            <w:tcW w:type="dxa" w:w="3736"/>
            <w:shd w:fill="17324D" w:val="clear"/>
            <w:vAlign w:val="center"/>
          </w:tcPr>
          <w:p>
            <w:pPr>
              <w:spacing w:after="20"/>
              <w:jc w:val="left"/>
            </w:pPr>
            <w:r>
              <w:rPr>
                <w:rFonts w:ascii="Lato" w:hAnsi="Lato"/>
                <w:b/>
                <w:color w:val="FFFFFF"/>
                <w:sz w:val="15"/>
              </w:rPr>
              <w:t>Action</w:t>
            </w:r>
          </w:p>
        </w:tc>
      </w:tr>
      <w:tr>
        <w:trPr>
          <w:cantSplit w:val="true"/>
        </w:trPr>
        <w:tc>
          <w:tcPr>
            <w:tcW w:type="dxa" w:w="2300"/>
            <w:vAlign w:val="top"/>
          </w:tcPr>
          <w:p>
            <w:pPr>
              <w:spacing w:after="24" w:line="240" w:lineRule="auto"/>
            </w:pPr>
            <w:r/>
            <w:r>
              <w:rPr>
                <w:rFonts w:ascii="Lato" w:hAnsi="Lato"/>
                <w:color w:val="222222"/>
                <w:sz w:val="14"/>
              </w:rPr>
              <w:t>Mature definition</w:t>
            </w:r>
          </w:p>
        </w:tc>
        <w:tc>
          <w:tcPr>
            <w:tcW w:type="dxa" w:w="4000"/>
            <w:vAlign w:val="top"/>
          </w:tcPr>
          <w:p>
            <w:pPr>
              <w:spacing w:after="24" w:line="240" w:lineRule="auto"/>
            </w:pPr>
            <w:r/>
            <w:r>
              <w:rPr>
                <w:rFonts w:ascii="Lato" w:hAnsi="Lato"/>
                <w:color w:val="222222"/>
                <w:sz w:val="14"/>
              </w:rPr>
              <w:t>21 or over by 1 October in the year the course starts. [U01]</w:t>
            </w:r>
          </w:p>
        </w:tc>
        <w:tc>
          <w:tcPr>
            <w:tcW w:type="dxa" w:w="3736"/>
            <w:vAlign w:val="top"/>
          </w:tcPr>
          <w:p>
            <w:pPr>
              <w:spacing w:after="24" w:line="240" w:lineRule="auto"/>
            </w:pPr>
            <w:r/>
            <w:r>
              <w:rPr>
                <w:rFonts w:ascii="Lato" w:hAnsi="Lato"/>
                <w:color w:val="222222"/>
                <w:sz w:val="14"/>
              </w:rPr>
              <w:t>Use the age at entry, not the age on the UCAS date.</w:t>
            </w:r>
          </w:p>
        </w:tc>
      </w:tr>
      <w:tr>
        <w:trPr>
          <w:cantSplit w:val="true"/>
        </w:trPr>
        <w:tc>
          <w:tcPr>
            <w:tcW w:type="dxa" w:w="2300"/>
            <w:shd w:fill="F5F7F8" w:val="clear"/>
            <w:vAlign w:val="top"/>
          </w:tcPr>
          <w:p>
            <w:pPr>
              <w:spacing w:after="24" w:line="240" w:lineRule="auto"/>
            </w:pPr>
            <w:r/>
            <w:r>
              <w:rPr>
                <w:rFonts w:ascii="Lato" w:hAnsi="Lato"/>
                <w:color w:val="222222"/>
                <w:sz w:val="14"/>
              </w:rPr>
              <w:t>Standard 2027 UCAS deadline</w:t>
            </w:r>
          </w:p>
        </w:tc>
        <w:tc>
          <w:tcPr>
            <w:tcW w:type="dxa" w:w="4000"/>
            <w:shd w:fill="F5F7F8" w:val="clear"/>
            <w:vAlign w:val="top"/>
          </w:tcPr>
          <w:p>
            <w:pPr>
              <w:spacing w:after="24" w:line="240" w:lineRule="auto"/>
            </w:pPr>
            <w:r/>
            <w:r>
              <w:rPr>
                <w:rFonts w:ascii="Lato" w:hAnsi="Lato"/>
                <w:color w:val="222222"/>
                <w:sz w:val="14"/>
              </w:rPr>
              <w:t>15 October 2026, 6pm UK. [U01] [U34]</w:t>
            </w:r>
          </w:p>
        </w:tc>
        <w:tc>
          <w:tcPr>
            <w:tcW w:type="dxa" w:w="3736"/>
            <w:shd w:fill="F5F7F8" w:val="clear"/>
            <w:vAlign w:val="top"/>
          </w:tcPr>
          <w:p>
            <w:pPr>
              <w:spacing w:after="24" w:line="240" w:lineRule="auto"/>
            </w:pPr>
            <w:r/>
            <w:r>
              <w:rPr>
                <w:rFonts w:ascii="Lato" w:hAnsi="Lato"/>
                <w:color w:val="222222"/>
                <w:sz w:val="14"/>
              </w:rPr>
              <w:t>Required for Medicine, Graduate Medicine, Veterinary Medicine, non-mature Colleges and open applications.</w:t>
            </w:r>
          </w:p>
        </w:tc>
      </w:tr>
      <w:tr>
        <w:trPr>
          <w:cantSplit w:val="true"/>
        </w:trPr>
        <w:tc>
          <w:tcPr>
            <w:tcW w:type="dxa" w:w="2300"/>
            <w:vAlign w:val="top"/>
          </w:tcPr>
          <w:p>
            <w:pPr>
              <w:spacing w:after="24" w:line="240" w:lineRule="auto"/>
            </w:pPr>
            <w:r/>
            <w:r>
              <w:rPr>
                <w:rFonts w:ascii="Lato" w:hAnsi="Lato"/>
                <w:color w:val="222222"/>
                <w:sz w:val="14"/>
              </w:rPr>
              <w:t>Mature January round</w:t>
            </w:r>
          </w:p>
        </w:tc>
        <w:tc>
          <w:tcPr>
            <w:tcW w:type="dxa" w:w="4000"/>
            <w:vAlign w:val="top"/>
          </w:tcPr>
          <w:p>
            <w:pPr>
              <w:spacing w:after="24" w:line="240" w:lineRule="auto"/>
            </w:pPr>
            <w:r/>
            <w:r>
              <w:rPr>
                <w:rFonts w:ascii="Lato" w:hAnsi="Lato"/>
                <w:color w:val="222222"/>
                <w:sz w:val="14"/>
              </w:rPr>
              <w:t>UCAS: 13 January 2027, 6pm; My Cambridge Application: 20 January 2027, 6pm. [U01]</w:t>
            </w:r>
          </w:p>
        </w:tc>
        <w:tc>
          <w:tcPr>
            <w:tcW w:type="dxa" w:w="3736"/>
            <w:vAlign w:val="top"/>
          </w:tcPr>
          <w:p>
            <w:pPr>
              <w:spacing w:after="24" w:line="240" w:lineRule="auto"/>
            </w:pPr>
            <w:r/>
            <w:r>
              <w:rPr>
                <w:rFonts w:ascii="Lato" w:hAnsi="Lato"/>
                <w:color w:val="222222"/>
                <w:sz w:val="14"/>
              </w:rPr>
              <w:t>Only Hughes Hall, St Edmund’s and Wolfson; excluded courses apply.</w:t>
            </w:r>
          </w:p>
        </w:tc>
      </w:tr>
      <w:tr>
        <w:trPr>
          <w:cantSplit w:val="true"/>
        </w:trPr>
        <w:tc>
          <w:tcPr>
            <w:tcW w:type="dxa" w:w="2300"/>
            <w:shd w:fill="F5F7F8" w:val="clear"/>
            <w:vAlign w:val="top"/>
          </w:tcPr>
          <w:p>
            <w:pPr>
              <w:spacing w:after="24" w:line="240" w:lineRule="auto"/>
            </w:pPr>
            <w:r/>
            <w:r>
              <w:rPr>
                <w:rFonts w:ascii="Lato" w:hAnsi="Lato"/>
                <w:color w:val="222222"/>
                <w:sz w:val="14"/>
              </w:rPr>
              <w:t>2026–27 Full Terms</w:t>
            </w:r>
          </w:p>
        </w:tc>
        <w:tc>
          <w:tcPr>
            <w:tcW w:type="dxa" w:w="4000"/>
            <w:shd w:fill="F5F7F8" w:val="clear"/>
            <w:vAlign w:val="top"/>
          </w:tcPr>
          <w:p>
            <w:pPr>
              <w:spacing w:after="24" w:line="240" w:lineRule="auto"/>
            </w:pPr>
            <w:r/>
            <w:r>
              <w:rPr>
                <w:rFonts w:ascii="Lato" w:hAnsi="Lato"/>
                <w:color w:val="222222"/>
                <w:sz w:val="14"/>
              </w:rPr>
              <w:t>6 Oct–4 Dec 2026; 19 Jan–19 Mar 2027; 27 Apr–18 Jun 2027. [U04]</w:t>
            </w:r>
          </w:p>
        </w:tc>
        <w:tc>
          <w:tcPr>
            <w:tcW w:type="dxa" w:w="3736"/>
            <w:shd w:fill="F5F7F8" w:val="clear"/>
            <w:vAlign w:val="top"/>
          </w:tcPr>
          <w:p>
            <w:pPr>
              <w:spacing w:after="24" w:line="240" w:lineRule="auto"/>
            </w:pPr>
            <w:r/>
            <w:r>
              <w:rPr>
                <w:rFonts w:ascii="Lato" w:hAnsi="Lato"/>
                <w:color w:val="222222"/>
                <w:sz w:val="14"/>
              </w:rPr>
              <w:t>Put the full Term and vacation dates into the household calendar, not just teaching weeks.</w:t>
            </w:r>
          </w:p>
        </w:tc>
      </w:tr>
      <w:tr>
        <w:trPr>
          <w:cantSplit w:val="true"/>
        </w:trPr>
        <w:tc>
          <w:tcPr>
            <w:tcW w:type="dxa" w:w="2300"/>
            <w:vAlign w:val="top"/>
          </w:tcPr>
          <w:p>
            <w:pPr>
              <w:spacing w:after="24" w:line="240" w:lineRule="auto"/>
            </w:pPr>
            <w:r/>
            <w:r>
              <w:rPr>
                <w:rFonts w:ascii="Lato" w:hAnsi="Lato"/>
                <w:color w:val="222222"/>
                <w:sz w:val="14"/>
              </w:rPr>
              <w:t>Home tuition</w:t>
            </w:r>
          </w:p>
        </w:tc>
        <w:tc>
          <w:tcPr>
            <w:tcW w:type="dxa" w:w="4000"/>
            <w:vAlign w:val="top"/>
          </w:tcPr>
          <w:p>
            <w:pPr>
              <w:spacing w:after="24" w:line="240" w:lineRule="auto"/>
            </w:pPr>
            <w:r/>
            <w:r>
              <w:rPr>
                <w:rFonts w:ascii="Lato" w:hAnsi="Lato"/>
                <w:color w:val="222222"/>
                <w:sz w:val="14"/>
              </w:rPr>
              <w:t>£9,790 for 2026–27; £10,050 for Home first-degree starters in 2027. [G06] [U05]</w:t>
            </w:r>
          </w:p>
        </w:tc>
        <w:tc>
          <w:tcPr>
            <w:tcW w:type="dxa" w:w="3736"/>
            <w:vAlign w:val="top"/>
          </w:tcPr>
          <w:p>
            <w:pPr>
              <w:spacing w:after="24" w:line="240" w:lineRule="auto"/>
            </w:pPr>
            <w:r/>
            <w:r>
              <w:rPr>
                <w:rFonts w:ascii="Lato" w:hAnsi="Lato"/>
                <w:color w:val="222222"/>
                <w:sz w:val="14"/>
              </w:rPr>
              <w:t>Confirm fee status and previous-study eligibility separately.</w:t>
            </w:r>
          </w:p>
        </w:tc>
      </w:tr>
      <w:tr>
        <w:trPr>
          <w:cantSplit w:val="true"/>
        </w:trPr>
        <w:tc>
          <w:tcPr>
            <w:tcW w:type="dxa" w:w="2300"/>
            <w:shd w:fill="F5F7F8" w:val="clear"/>
            <w:vAlign w:val="top"/>
          </w:tcPr>
          <w:p>
            <w:pPr>
              <w:spacing w:after="24" w:line="240" w:lineRule="auto"/>
            </w:pPr>
            <w:r/>
            <w:r>
              <w:rPr>
                <w:rFonts w:ascii="Lato" w:hAnsi="Lato"/>
                <w:color w:val="222222"/>
                <w:sz w:val="14"/>
              </w:rPr>
              <w:t>University living-cost guide</w:t>
            </w:r>
          </w:p>
        </w:tc>
        <w:tc>
          <w:tcPr>
            <w:tcW w:type="dxa" w:w="4000"/>
            <w:shd w:fill="F5F7F8" w:val="clear"/>
            <w:vAlign w:val="top"/>
          </w:tcPr>
          <w:p>
            <w:pPr>
              <w:spacing w:after="24" w:line="240" w:lineRule="auto"/>
            </w:pPr>
            <w:r/>
            <w:r>
              <w:rPr>
                <w:rFonts w:ascii="Lato" w:hAnsi="Lato"/>
                <w:color w:val="222222"/>
                <w:sz w:val="14"/>
              </w:rPr>
              <w:t>£1,305/month; £11,745 for 9 months; £15,660 for 12 months. [U06]</w:t>
            </w:r>
          </w:p>
        </w:tc>
        <w:tc>
          <w:tcPr>
            <w:tcW w:type="dxa" w:w="3736"/>
            <w:shd w:fill="F5F7F8" w:val="clear"/>
            <w:vAlign w:val="top"/>
          </w:tcPr>
          <w:p>
            <w:pPr>
              <w:spacing w:after="24" w:line="240" w:lineRule="auto"/>
            </w:pPr>
            <w:r/>
            <w:r>
              <w:rPr>
                <w:rFonts w:ascii="Lato" w:hAnsi="Lato"/>
                <w:color w:val="222222"/>
                <w:sz w:val="14"/>
              </w:rPr>
              <w:t>Replace the average with your actual room, travel, childcare and household costs.</w:t>
            </w:r>
          </w:p>
        </w:tc>
      </w:tr>
      <w:tr>
        <w:trPr>
          <w:cantSplit w:val="true"/>
        </w:trPr>
        <w:tc>
          <w:tcPr>
            <w:tcW w:type="dxa" w:w="2300"/>
            <w:vAlign w:val="top"/>
          </w:tcPr>
          <w:p>
            <w:pPr>
              <w:spacing w:after="24" w:line="240" w:lineRule="auto"/>
            </w:pPr>
            <w:r/>
            <w:r>
              <w:rPr>
                <w:rFonts w:ascii="Lato" w:hAnsi="Lato"/>
                <w:color w:val="222222"/>
                <w:sz w:val="14"/>
              </w:rPr>
              <w:t>England maintenance loan</w:t>
            </w:r>
          </w:p>
        </w:tc>
        <w:tc>
          <w:tcPr>
            <w:tcW w:type="dxa" w:w="4000"/>
            <w:vAlign w:val="top"/>
          </w:tcPr>
          <w:p>
            <w:pPr>
              <w:spacing w:after="24" w:line="240" w:lineRule="auto"/>
            </w:pPr>
            <w:r/>
            <w:r>
              <w:rPr>
                <w:rFonts w:ascii="Lato" w:hAnsi="Lato"/>
                <w:color w:val="222222"/>
                <w:sz w:val="14"/>
              </w:rPr>
              <w:t>Up to £10,830 living away outside London in 2026–27. [G06]</w:t>
            </w:r>
          </w:p>
        </w:tc>
        <w:tc>
          <w:tcPr>
            <w:tcW w:type="dxa" w:w="3736"/>
            <w:vAlign w:val="top"/>
          </w:tcPr>
          <w:p>
            <w:pPr>
              <w:spacing w:after="24" w:line="240" w:lineRule="auto"/>
            </w:pPr>
            <w:r/>
            <w:r>
              <w:rPr>
                <w:rFonts w:ascii="Lato" w:hAnsi="Lato"/>
                <w:color w:val="222222"/>
                <w:sz w:val="14"/>
              </w:rPr>
              <w:t>The maximum is not automatic; household income and previous study matter.</w:t>
            </w:r>
          </w:p>
        </w:tc>
      </w:tr>
      <w:tr>
        <w:trPr>
          <w:cantSplit w:val="true"/>
        </w:trPr>
        <w:tc>
          <w:tcPr>
            <w:tcW w:type="dxa" w:w="2300"/>
            <w:shd w:fill="F5F7F8" w:val="clear"/>
            <w:vAlign w:val="top"/>
          </w:tcPr>
          <w:p>
            <w:pPr>
              <w:spacing w:after="24" w:line="240" w:lineRule="auto"/>
            </w:pPr>
            <w:r/>
            <w:r>
              <w:rPr>
                <w:rFonts w:ascii="Lato" w:hAnsi="Lato"/>
                <w:color w:val="222222"/>
                <w:sz w:val="14"/>
              </w:rPr>
              <w:t>Cambridge Bursary</w:t>
            </w:r>
          </w:p>
        </w:tc>
        <w:tc>
          <w:tcPr>
            <w:tcW w:type="dxa" w:w="4000"/>
            <w:shd w:fill="F5F7F8" w:val="clear"/>
            <w:vAlign w:val="top"/>
          </w:tcPr>
          <w:p>
            <w:pPr>
              <w:spacing w:after="24" w:line="240" w:lineRule="auto"/>
            </w:pPr>
            <w:r/>
            <w:r>
              <w:rPr>
                <w:rFonts w:ascii="Lato" w:hAnsi="Lato"/>
                <w:color w:val="222222"/>
                <w:sz w:val="14"/>
              </w:rPr>
              <w:t>Base up to £3,500; independent-student enhanced element can bring this to £5,600; care-leaver support can reach £8,350. [U41]</w:t>
            </w:r>
          </w:p>
        </w:tc>
        <w:tc>
          <w:tcPr>
            <w:tcW w:type="dxa" w:w="3736"/>
            <w:shd w:fill="F5F7F8" w:val="clear"/>
            <w:vAlign w:val="top"/>
          </w:tcPr>
          <w:p>
            <w:pPr>
              <w:spacing w:after="24" w:line="240" w:lineRule="auto"/>
            </w:pPr>
            <w:r/>
            <w:r>
              <w:rPr>
                <w:rFonts w:ascii="Lato" w:hAnsi="Lato"/>
                <w:color w:val="222222"/>
                <w:sz w:val="14"/>
              </w:rPr>
              <w:t>Complete Student Finance and income-sharing steps even if you plan to borrow little.</w:t>
            </w:r>
          </w:p>
        </w:tc>
      </w:tr>
      <w:tr>
        <w:trPr>
          <w:cantSplit w:val="true"/>
        </w:trPr>
        <w:tc>
          <w:tcPr>
            <w:tcW w:type="dxa" w:w="2300"/>
            <w:vAlign w:val="top"/>
          </w:tcPr>
          <w:p>
            <w:pPr>
              <w:spacing w:after="24" w:line="240" w:lineRule="auto"/>
            </w:pPr>
            <w:r/>
            <w:r>
              <w:rPr>
                <w:rFonts w:ascii="Lato" w:hAnsi="Lato"/>
                <w:color w:val="222222"/>
                <w:sz w:val="14"/>
              </w:rPr>
              <w:t>Childcare Grant, England</w:t>
            </w:r>
          </w:p>
        </w:tc>
        <w:tc>
          <w:tcPr>
            <w:tcW w:type="dxa" w:w="4000"/>
            <w:vAlign w:val="top"/>
          </w:tcPr>
          <w:p>
            <w:pPr>
              <w:spacing w:after="24" w:line="240" w:lineRule="auto"/>
            </w:pPr>
            <w:r/>
            <w:r>
              <w:rPr>
                <w:rFonts w:ascii="Lato" w:hAnsi="Lato"/>
                <w:color w:val="222222"/>
                <w:sz w:val="14"/>
              </w:rPr>
              <w:t>85% of eligible costs up to £199.62/week for one child or £342.24 for two or more in 2026–27. [G07]</w:t>
            </w:r>
          </w:p>
        </w:tc>
        <w:tc>
          <w:tcPr>
            <w:tcW w:type="dxa" w:w="3736"/>
            <w:vAlign w:val="top"/>
          </w:tcPr>
          <w:p>
            <w:pPr>
              <w:spacing w:after="24" w:line="240" w:lineRule="auto"/>
            </w:pPr>
            <w:r/>
            <w:r>
              <w:rPr>
                <w:rFonts w:ascii="Lato" w:hAnsi="Lato"/>
                <w:color w:val="222222"/>
                <w:sz w:val="14"/>
              </w:rPr>
              <w:t>It does not pay deposits; build an upfront-cash plan.</w:t>
            </w:r>
          </w:p>
        </w:tc>
      </w:tr>
    </w:tbl>
    <w:p>
      <w:pPr>
        <w:pStyle w:val="Source"/>
      </w:pPr>
      <w:r>
        <w:t>Sources and status: [U01] [U04] [U05] [U06] [U41] [G06] [G07]. Figures apply to the stated cohort and funding system; Scotland, Wales, Northern Ireland and international funding differ.</w:t>
      </w:r>
    </w:p>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Plan around your actual responsibilities, not an imagined eighteen-year-old timetable.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are the contract, kitchen and vacation rules? Who is my Tutor and DoS? What family or accessibility provision is guaranteed in writing?</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Accepting an offer because all Cambridge Colleges award the same degree and therefore assuming the lived experience is the same.</w:t>
            </w:r>
          </w:p>
        </w:tc>
      </w:tr>
    </w:tbl>
    <w:p>
      <w:pPr>
        <w:pStyle w:val="Heading1"/>
        <w:keepNext/>
      </w:pPr>
      <w:r>
        <w:t>Start here — the new-student action map</w:t>
      </w:r>
    </w:p>
    <w:p>
      <w:pPr/>
      <w:r>
        <w:t>A new student does not need to understand all of Cambridge on day one. You do need a working calendar, enough money to reach the next payment, four named contacts and a plan for the ordinary crisis most likely to disrupt your life.</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1550"/>
            <w:shd w:fill="17324D" w:val="clear"/>
            <w:vAlign w:val="center"/>
          </w:tcPr>
          <w:p>
            <w:pPr>
              <w:spacing w:after="20"/>
              <w:jc w:val="left"/>
            </w:pPr>
            <w:r>
              <w:rPr>
                <w:rFonts w:ascii="Lato" w:hAnsi="Lato"/>
                <w:b/>
                <w:color w:val="FFFFFF"/>
                <w:sz w:val="15"/>
              </w:rPr>
              <w:t>When</w:t>
            </w:r>
          </w:p>
        </w:tc>
        <w:tc>
          <w:tcPr>
            <w:tcW w:type="dxa" w:w="5700"/>
            <w:shd w:fill="17324D" w:val="clear"/>
            <w:vAlign w:val="center"/>
          </w:tcPr>
          <w:p>
            <w:pPr>
              <w:spacing w:after="20"/>
              <w:jc w:val="left"/>
            </w:pPr>
            <w:r>
              <w:rPr>
                <w:rFonts w:ascii="Lato" w:hAnsi="Lato"/>
                <w:b/>
                <w:color w:val="FFFFFF"/>
                <w:sz w:val="15"/>
              </w:rPr>
              <w:t>Do this</w:t>
            </w:r>
          </w:p>
        </w:tc>
        <w:tc>
          <w:tcPr>
            <w:tcW w:type="dxa" w:w="2786"/>
            <w:shd w:fill="17324D" w:val="clear"/>
            <w:vAlign w:val="center"/>
          </w:tcPr>
          <w:p>
            <w:pPr>
              <w:spacing w:after="20"/>
              <w:jc w:val="left"/>
            </w:pPr>
            <w:r>
              <w:rPr>
                <w:rFonts w:ascii="Lato" w:hAnsi="Lato"/>
                <w:b/>
                <w:color w:val="FFFFFF"/>
                <w:sz w:val="15"/>
              </w:rPr>
              <w:t>Who owns it</w:t>
            </w:r>
          </w:p>
        </w:tc>
      </w:tr>
      <w:tr>
        <w:trPr>
          <w:cantSplit w:val="true"/>
        </w:trPr>
        <w:tc>
          <w:tcPr>
            <w:tcW w:type="dxa" w:w="1550"/>
            <w:vAlign w:val="top"/>
          </w:tcPr>
          <w:p>
            <w:pPr>
              <w:spacing w:after="24" w:line="240" w:lineRule="auto"/>
            </w:pPr>
            <w:r/>
            <w:r>
              <w:rPr>
                <w:rFonts w:ascii="Lato" w:hAnsi="Lato"/>
                <w:color w:val="222222"/>
                <w:sz w:val="14"/>
              </w:rPr>
              <w:t>Before accepting</w:t>
            </w:r>
          </w:p>
        </w:tc>
        <w:tc>
          <w:tcPr>
            <w:tcW w:type="dxa" w:w="5700"/>
            <w:vAlign w:val="top"/>
          </w:tcPr>
          <w:p>
            <w:pPr>
              <w:spacing w:after="24" w:line="240" w:lineRule="auto"/>
            </w:pPr>
            <w:r/>
            <w:r>
              <w:rPr>
                <w:rFonts w:ascii="Lato" w:hAnsi="Lato"/>
                <w:color w:val="222222"/>
                <w:sz w:val="14"/>
              </w:rPr>
              <w:t>Read the offer conditions; price the whole year; test accommodation, childcare, commute and accessibility assumptions; ask whether any essential provision is actually guaranteed.</w:t>
            </w:r>
          </w:p>
        </w:tc>
        <w:tc>
          <w:tcPr>
            <w:tcW w:type="dxa" w:w="2786"/>
            <w:vAlign w:val="top"/>
          </w:tcPr>
          <w:p>
            <w:pPr>
              <w:spacing w:after="24" w:line="240" w:lineRule="auto"/>
            </w:pPr>
            <w:r/>
            <w:r>
              <w:rPr>
                <w:rFonts w:ascii="Lato" w:hAnsi="Lato"/>
                <w:color w:val="222222"/>
                <w:sz w:val="14"/>
              </w:rPr>
              <w:t>College admissions, accommodation, Student Finance, ADRC/Childcare Services as relevant.</w:t>
            </w:r>
          </w:p>
        </w:tc>
      </w:tr>
      <w:tr>
        <w:trPr>
          <w:cantSplit w:val="true"/>
        </w:trPr>
        <w:tc>
          <w:tcPr>
            <w:tcW w:type="dxa" w:w="1550"/>
            <w:shd w:fill="F5F7F8" w:val="clear"/>
            <w:vAlign w:val="top"/>
          </w:tcPr>
          <w:p>
            <w:pPr>
              <w:spacing w:after="24" w:line="240" w:lineRule="auto"/>
            </w:pPr>
            <w:r/>
            <w:r>
              <w:rPr>
                <w:rFonts w:ascii="Lato" w:hAnsi="Lato"/>
                <w:color w:val="222222"/>
                <w:sz w:val="14"/>
              </w:rPr>
              <w:t>Within 48 hours of accepting</w:t>
            </w:r>
          </w:p>
        </w:tc>
        <w:tc>
          <w:tcPr>
            <w:tcW w:type="dxa" w:w="5700"/>
            <w:shd w:fill="F5F7F8" w:val="clear"/>
            <w:vAlign w:val="top"/>
          </w:tcPr>
          <w:p>
            <w:pPr>
              <w:spacing w:after="24" w:line="240" w:lineRule="auto"/>
            </w:pPr>
            <w:r/>
            <w:r>
              <w:rPr>
                <w:rFonts w:ascii="Lato" w:hAnsi="Lato"/>
                <w:color w:val="222222"/>
                <w:sz w:val="14"/>
              </w:rPr>
              <w:t>Start Student Finance and DSA; join nursery lists; request current room licence and charges; disclose needs that require planning; save all dates.</w:t>
            </w:r>
          </w:p>
        </w:tc>
        <w:tc>
          <w:tcPr>
            <w:tcW w:type="dxa" w:w="2786"/>
            <w:shd w:fill="F5F7F8" w:val="clear"/>
            <w:vAlign w:val="top"/>
          </w:tcPr>
          <w:p>
            <w:pPr>
              <w:spacing w:after="24" w:line="240" w:lineRule="auto"/>
            </w:pPr>
            <w:r/>
            <w:r>
              <w:rPr>
                <w:rFonts w:ascii="Lato" w:hAnsi="Lato"/>
                <w:color w:val="222222"/>
                <w:sz w:val="14"/>
              </w:rPr>
              <w:t>Student Finance body, College, ADRC, Childcare Services.</w:t>
            </w:r>
          </w:p>
        </w:tc>
      </w:tr>
      <w:tr>
        <w:trPr>
          <w:cantSplit w:val="true"/>
        </w:trPr>
        <w:tc>
          <w:tcPr>
            <w:tcW w:type="dxa" w:w="1550"/>
            <w:vAlign w:val="top"/>
          </w:tcPr>
          <w:p>
            <w:pPr>
              <w:spacing w:after="24" w:line="240" w:lineRule="auto"/>
            </w:pPr>
            <w:r/>
            <w:r>
              <w:rPr>
                <w:rFonts w:ascii="Lato" w:hAnsi="Lato"/>
                <w:color w:val="222222"/>
                <w:sz w:val="14"/>
              </w:rPr>
              <w:t>One month before arrival</w:t>
            </w:r>
          </w:p>
        </w:tc>
        <w:tc>
          <w:tcPr>
            <w:tcW w:type="dxa" w:w="5700"/>
            <w:vAlign w:val="top"/>
          </w:tcPr>
          <w:p>
            <w:pPr>
              <w:spacing w:after="24" w:line="240" w:lineRule="auto"/>
            </w:pPr>
            <w:r/>
            <w:r>
              <w:rPr>
                <w:rFonts w:ascii="Lato" w:hAnsi="Lato"/>
                <w:color w:val="222222"/>
                <w:sz w:val="14"/>
              </w:rPr>
              <w:t>Confirm money and bill dates; GP/medication transition; travel; internet/laptop; school/nursery backup; a realistic first-week food plan.</w:t>
            </w:r>
          </w:p>
        </w:tc>
        <w:tc>
          <w:tcPr>
            <w:tcW w:type="dxa" w:w="2786"/>
            <w:vAlign w:val="top"/>
          </w:tcPr>
          <w:p>
            <w:pPr>
              <w:spacing w:after="24" w:line="240" w:lineRule="auto"/>
            </w:pPr>
            <w:r/>
            <w:r>
              <w:rPr>
                <w:rFonts w:ascii="Lato" w:hAnsi="Lato"/>
                <w:color w:val="222222"/>
                <w:sz w:val="14"/>
              </w:rPr>
              <w:t>College tutorial/accommodation offices; GP; household.</w:t>
            </w:r>
          </w:p>
        </w:tc>
      </w:tr>
      <w:tr>
        <w:trPr>
          <w:cantSplit w:val="true"/>
        </w:trPr>
        <w:tc>
          <w:tcPr>
            <w:tcW w:type="dxa" w:w="1550"/>
            <w:shd w:fill="F5F7F8" w:val="clear"/>
            <w:vAlign w:val="top"/>
          </w:tcPr>
          <w:p>
            <w:pPr>
              <w:spacing w:after="24" w:line="240" w:lineRule="auto"/>
            </w:pPr>
            <w:r/>
            <w:r>
              <w:rPr>
                <w:rFonts w:ascii="Lato" w:hAnsi="Lato"/>
                <w:color w:val="222222"/>
                <w:sz w:val="14"/>
              </w:rPr>
              <w:t>First 72 hours</w:t>
            </w:r>
          </w:p>
        </w:tc>
        <w:tc>
          <w:tcPr>
            <w:tcW w:type="dxa" w:w="5700"/>
            <w:shd w:fill="F5F7F8" w:val="clear"/>
            <w:vAlign w:val="top"/>
          </w:tcPr>
          <w:p>
            <w:pPr>
              <w:spacing w:after="24" w:line="240" w:lineRule="auto"/>
            </w:pPr>
            <w:r/>
            <w:r>
              <w:rPr>
                <w:rFonts w:ascii="Lato" w:hAnsi="Lato"/>
                <w:color w:val="222222"/>
                <w:sz w:val="14"/>
              </w:rPr>
              <w:t>Keys, safety, food, medication, wifi, University card, GP registration and tomorrow’s route. Find the Plodge in daylight.</w:t>
            </w:r>
          </w:p>
        </w:tc>
        <w:tc>
          <w:tcPr>
            <w:tcW w:type="dxa" w:w="2786"/>
            <w:shd w:fill="F5F7F8" w:val="clear"/>
            <w:vAlign w:val="top"/>
          </w:tcPr>
          <w:p>
            <w:pPr>
              <w:spacing w:after="24" w:line="240" w:lineRule="auto"/>
            </w:pPr>
            <w:r/>
            <w:r>
              <w:rPr>
                <w:rFonts w:ascii="Lato" w:hAnsi="Lato"/>
                <w:color w:val="222222"/>
                <w:sz w:val="14"/>
              </w:rPr>
              <w:t>Porters, College office, UIS, GP.</w:t>
            </w:r>
          </w:p>
        </w:tc>
      </w:tr>
      <w:tr>
        <w:trPr>
          <w:cantSplit w:val="true"/>
        </w:trPr>
        <w:tc>
          <w:tcPr>
            <w:tcW w:type="dxa" w:w="1550"/>
            <w:vAlign w:val="top"/>
          </w:tcPr>
          <w:p>
            <w:pPr>
              <w:spacing w:after="24" w:line="240" w:lineRule="auto"/>
            </w:pPr>
            <w:r/>
            <w:r>
              <w:rPr>
                <w:rFonts w:ascii="Lato" w:hAnsi="Lato"/>
                <w:color w:val="222222"/>
                <w:sz w:val="14"/>
              </w:rPr>
              <w:t>Week 1</w:t>
            </w:r>
          </w:p>
        </w:tc>
        <w:tc>
          <w:tcPr>
            <w:tcW w:type="dxa" w:w="5700"/>
            <w:vAlign w:val="top"/>
          </w:tcPr>
          <w:p>
            <w:pPr>
              <w:spacing w:after="24" w:line="240" w:lineRule="auto"/>
            </w:pPr>
            <w:r/>
            <w:r>
              <w:rPr>
                <w:rFonts w:ascii="Lato" w:hAnsi="Lato"/>
                <w:color w:val="222222"/>
                <w:sz w:val="14"/>
              </w:rPr>
              <w:t>Attend subject, library, IT and welfare inductions. Meet Tutor and DoS. Join a few societies but commit to one recurring social anchor.</w:t>
            </w:r>
          </w:p>
        </w:tc>
        <w:tc>
          <w:tcPr>
            <w:tcW w:type="dxa" w:w="2786"/>
            <w:vAlign w:val="top"/>
          </w:tcPr>
          <w:p>
            <w:pPr>
              <w:spacing w:after="24" w:line="240" w:lineRule="auto"/>
            </w:pPr>
            <w:r/>
            <w:r>
              <w:rPr>
                <w:rFonts w:ascii="Lato" w:hAnsi="Lato"/>
                <w:color w:val="222222"/>
                <w:sz w:val="14"/>
              </w:rPr>
              <w:t>College + Faculty/Department.</w:t>
            </w:r>
          </w:p>
        </w:tc>
      </w:tr>
      <w:tr>
        <w:trPr>
          <w:cantSplit w:val="true"/>
        </w:trPr>
        <w:tc>
          <w:tcPr>
            <w:tcW w:type="dxa" w:w="1550"/>
            <w:shd w:fill="F5F7F8" w:val="clear"/>
            <w:vAlign w:val="top"/>
          </w:tcPr>
          <w:p>
            <w:pPr>
              <w:spacing w:after="24" w:line="240" w:lineRule="auto"/>
            </w:pPr>
            <w:r/>
            <w:r>
              <w:rPr>
                <w:rFonts w:ascii="Lato" w:hAnsi="Lato"/>
                <w:color w:val="222222"/>
                <w:sz w:val="14"/>
              </w:rPr>
              <w:t>Weeks 2–4</w:t>
            </w:r>
          </w:p>
        </w:tc>
        <w:tc>
          <w:tcPr>
            <w:tcW w:type="dxa" w:w="5700"/>
            <w:shd w:fill="F5F7F8" w:val="clear"/>
            <w:vAlign w:val="top"/>
          </w:tcPr>
          <w:p>
            <w:pPr>
              <w:spacing w:after="24" w:line="240" w:lineRule="auto"/>
            </w:pPr>
            <w:r/>
            <w:r>
              <w:rPr>
                <w:rFonts w:ascii="Lato" w:hAnsi="Lato"/>
                <w:color w:val="222222"/>
                <w:sz w:val="14"/>
              </w:rPr>
              <w:t>Establish a weekly work template; submit work imperfectly but on time; act on feedback; review cash flow and care arrangements before Week 5.</w:t>
            </w:r>
          </w:p>
        </w:tc>
        <w:tc>
          <w:tcPr>
            <w:tcW w:type="dxa" w:w="2786"/>
            <w:shd w:fill="F5F7F8" w:val="clear"/>
            <w:vAlign w:val="top"/>
          </w:tcPr>
          <w:p>
            <w:pPr>
              <w:spacing w:after="24" w:line="240" w:lineRule="auto"/>
            </w:pPr>
            <w:r/>
            <w:r>
              <w:rPr>
                <w:rFonts w:ascii="Lato" w:hAnsi="Lato"/>
                <w:color w:val="222222"/>
                <w:sz w:val="14"/>
              </w:rPr>
              <w:t>Supervisor, DoS, Tutor and household.</w:t>
            </w:r>
          </w:p>
        </w:tc>
      </w:tr>
      <w:tr>
        <w:trPr>
          <w:cantSplit w:val="true"/>
        </w:trPr>
        <w:tc>
          <w:tcPr>
            <w:tcW w:type="dxa" w:w="1550"/>
            <w:vAlign w:val="top"/>
          </w:tcPr>
          <w:p>
            <w:pPr>
              <w:spacing w:after="24" w:line="240" w:lineRule="auto"/>
            </w:pPr>
            <w:r/>
            <w:r>
              <w:rPr>
                <w:rFonts w:ascii="Lato" w:hAnsi="Lato"/>
                <w:color w:val="222222"/>
                <w:sz w:val="14"/>
              </w:rPr>
              <w:t>At the first warning sign</w:t>
            </w:r>
          </w:p>
        </w:tc>
        <w:tc>
          <w:tcPr>
            <w:tcW w:type="dxa" w:w="5700"/>
            <w:vAlign w:val="top"/>
          </w:tcPr>
          <w:p>
            <w:pPr>
              <w:spacing w:after="24" w:line="240" w:lineRule="auto"/>
            </w:pPr>
            <w:r/>
            <w:r>
              <w:rPr>
                <w:rFonts w:ascii="Lato" w:hAnsi="Lato"/>
                <w:color w:val="222222"/>
                <w:sz w:val="14"/>
              </w:rPr>
              <w:t>Name the problem, the impact and the action needed. Contact the correct person within days, not at the end of term.</w:t>
            </w:r>
          </w:p>
        </w:tc>
        <w:tc>
          <w:tcPr>
            <w:tcW w:type="dxa" w:w="2786"/>
            <w:vAlign w:val="top"/>
          </w:tcPr>
          <w:p>
            <w:pPr>
              <w:spacing w:after="24" w:line="240" w:lineRule="auto"/>
            </w:pPr>
            <w:r/>
            <w:r>
              <w:rPr>
                <w:rFonts w:ascii="Lato" w:hAnsi="Lato"/>
                <w:color w:val="222222"/>
                <w:sz w:val="14"/>
              </w:rPr>
              <w:t>Academic: supervisor/DoS. Welfare, illness, money or family: Tutor. Emergency: 999/111/Lodge.</w:t>
            </w:r>
          </w:p>
        </w:tc>
      </w:tr>
    </w:tbl>
    <w:p>
      <w:pPr>
        <w:pStyle w:val="Heading2"/>
        <w:keepNext/>
      </w:pPr>
      <w:r>
        <w:t>The four people or doors to know by name</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400"/>
            <w:shd w:fill="17324D" w:val="clear"/>
            <w:vAlign w:val="center"/>
          </w:tcPr>
          <w:p>
            <w:pPr>
              <w:spacing w:after="20"/>
              <w:jc w:val="left"/>
            </w:pPr>
            <w:r>
              <w:rPr>
                <w:rFonts w:ascii="Lato" w:hAnsi="Lato"/>
                <w:b/>
                <w:color w:val="FFFFFF"/>
                <w:sz w:val="15"/>
              </w:rPr>
              <w:t>Person / door</w:t>
            </w:r>
          </w:p>
        </w:tc>
        <w:tc>
          <w:tcPr>
            <w:tcW w:type="dxa" w:w="4750"/>
            <w:shd w:fill="17324D" w:val="clear"/>
            <w:vAlign w:val="center"/>
          </w:tcPr>
          <w:p>
            <w:pPr>
              <w:spacing w:after="20"/>
              <w:jc w:val="left"/>
            </w:pPr>
            <w:r>
              <w:rPr>
                <w:rFonts w:ascii="Lato" w:hAnsi="Lato"/>
                <w:b/>
                <w:color w:val="FFFFFF"/>
                <w:sz w:val="15"/>
              </w:rPr>
              <w:t>Use them for</w:t>
            </w:r>
          </w:p>
        </w:tc>
        <w:tc>
          <w:tcPr>
            <w:tcW w:type="dxa" w:w="2886"/>
            <w:shd w:fill="17324D" w:val="clear"/>
            <w:vAlign w:val="center"/>
          </w:tcPr>
          <w:p>
            <w:pPr>
              <w:spacing w:after="20"/>
              <w:jc w:val="left"/>
            </w:pPr>
            <w:r>
              <w:rPr>
                <w:rFonts w:ascii="Lato" w:hAnsi="Lato"/>
                <w:b/>
                <w:color w:val="FFFFFF"/>
                <w:sz w:val="15"/>
              </w:rPr>
              <w:t>Do not wait until</w:t>
            </w:r>
          </w:p>
        </w:tc>
      </w:tr>
      <w:tr>
        <w:trPr>
          <w:cantSplit w:val="true"/>
        </w:trPr>
        <w:tc>
          <w:tcPr>
            <w:tcW w:type="dxa" w:w="2400"/>
            <w:vAlign w:val="top"/>
          </w:tcPr>
          <w:p>
            <w:pPr>
              <w:spacing w:after="24" w:line="240" w:lineRule="auto"/>
            </w:pPr>
            <w:r/>
            <w:r>
              <w:rPr>
                <w:rFonts w:ascii="Lato" w:hAnsi="Lato"/>
                <w:color w:val="222222"/>
                <w:sz w:val="15"/>
              </w:rPr>
              <w:t>Tutor</w:t>
            </w:r>
          </w:p>
        </w:tc>
        <w:tc>
          <w:tcPr>
            <w:tcW w:type="dxa" w:w="4750"/>
            <w:vAlign w:val="top"/>
          </w:tcPr>
          <w:p>
            <w:pPr>
              <w:spacing w:after="24" w:line="240" w:lineRule="auto"/>
            </w:pPr>
            <w:r/>
            <w:r>
              <w:rPr>
                <w:rFonts w:ascii="Lato" w:hAnsi="Lato"/>
                <w:color w:val="222222"/>
                <w:sz w:val="15"/>
              </w:rPr>
              <w:t>Pastoral and administrative problems: illness, family, money, mitigation, intermission and navigating College procedures.</w:t>
            </w:r>
          </w:p>
        </w:tc>
        <w:tc>
          <w:tcPr>
            <w:tcW w:type="dxa" w:w="2886"/>
            <w:vAlign w:val="top"/>
          </w:tcPr>
          <w:p>
            <w:pPr>
              <w:spacing w:after="24" w:line="240" w:lineRule="auto"/>
            </w:pPr>
            <w:r/>
            <w:r>
              <w:rPr>
                <w:rFonts w:ascii="Lato" w:hAnsi="Lato"/>
                <w:color w:val="222222"/>
                <w:sz w:val="15"/>
              </w:rPr>
              <w:t>The problem has already affected several weeks or an examination.</w:t>
            </w:r>
          </w:p>
        </w:tc>
      </w:tr>
      <w:tr>
        <w:trPr>
          <w:cantSplit w:val="true"/>
        </w:trPr>
        <w:tc>
          <w:tcPr>
            <w:tcW w:type="dxa" w:w="2400"/>
            <w:shd w:fill="F5F7F8" w:val="clear"/>
            <w:vAlign w:val="top"/>
          </w:tcPr>
          <w:p>
            <w:pPr>
              <w:spacing w:after="24" w:line="240" w:lineRule="auto"/>
            </w:pPr>
            <w:r/>
            <w:r>
              <w:rPr>
                <w:rFonts w:ascii="Lato" w:hAnsi="Lato"/>
                <w:color w:val="222222"/>
                <w:sz w:val="15"/>
              </w:rPr>
              <w:t>Director of Studies (DoS)</w:t>
            </w:r>
          </w:p>
        </w:tc>
        <w:tc>
          <w:tcPr>
            <w:tcW w:type="dxa" w:w="4750"/>
            <w:shd w:fill="F5F7F8" w:val="clear"/>
            <w:vAlign w:val="top"/>
          </w:tcPr>
          <w:p>
            <w:pPr>
              <w:spacing w:after="24" w:line="240" w:lineRule="auto"/>
            </w:pPr>
            <w:r/>
            <w:r>
              <w:rPr>
                <w:rFonts w:ascii="Lato" w:hAnsi="Lato"/>
                <w:color w:val="222222"/>
                <w:sz w:val="15"/>
              </w:rPr>
              <w:t>Your overall academic programme, workload patterns, paper choices and supervision arrangements.</w:t>
            </w:r>
          </w:p>
        </w:tc>
        <w:tc>
          <w:tcPr>
            <w:tcW w:type="dxa" w:w="2886"/>
            <w:shd w:fill="F5F7F8" w:val="clear"/>
            <w:vAlign w:val="top"/>
          </w:tcPr>
          <w:p>
            <w:pPr>
              <w:spacing w:after="24" w:line="240" w:lineRule="auto"/>
            </w:pPr>
            <w:r/>
            <w:r>
              <w:rPr>
                <w:rFonts w:ascii="Lato" w:hAnsi="Lato"/>
                <w:color w:val="222222"/>
                <w:sz w:val="15"/>
              </w:rPr>
              <w:t>One difficult assignment has become a term-wide academic pattern.</w:t>
            </w:r>
          </w:p>
        </w:tc>
      </w:tr>
      <w:tr>
        <w:trPr>
          <w:cantSplit w:val="true"/>
        </w:trPr>
        <w:tc>
          <w:tcPr>
            <w:tcW w:type="dxa" w:w="2400"/>
            <w:vAlign w:val="top"/>
          </w:tcPr>
          <w:p>
            <w:pPr>
              <w:spacing w:after="24" w:line="240" w:lineRule="auto"/>
            </w:pPr>
            <w:r/>
            <w:r>
              <w:rPr>
                <w:rFonts w:ascii="Lato" w:hAnsi="Lato"/>
                <w:color w:val="222222"/>
                <w:sz w:val="15"/>
              </w:rPr>
              <w:t>Supervisor</w:t>
            </w:r>
          </w:p>
        </w:tc>
        <w:tc>
          <w:tcPr>
            <w:tcW w:type="dxa" w:w="4750"/>
            <w:vAlign w:val="top"/>
          </w:tcPr>
          <w:p>
            <w:pPr>
              <w:spacing w:after="24" w:line="240" w:lineRule="auto"/>
            </w:pPr>
            <w:r/>
            <w:r>
              <w:rPr>
                <w:rFonts w:ascii="Lato" w:hAnsi="Lato"/>
                <w:color w:val="222222"/>
                <w:sz w:val="15"/>
              </w:rPr>
              <w:t>The content and method of a particular paper, essay, problem sheet or supervision.</w:t>
            </w:r>
          </w:p>
        </w:tc>
        <w:tc>
          <w:tcPr>
            <w:tcW w:type="dxa" w:w="2886"/>
            <w:vAlign w:val="top"/>
          </w:tcPr>
          <w:p>
            <w:pPr>
              <w:spacing w:after="24" w:line="240" w:lineRule="auto"/>
            </w:pPr>
            <w:r/>
            <w:r>
              <w:rPr>
                <w:rFonts w:ascii="Lato" w:hAnsi="Lato"/>
                <w:color w:val="222222"/>
                <w:sz w:val="15"/>
              </w:rPr>
              <w:t>You have hidden confusion for three meetings.</w:t>
            </w:r>
          </w:p>
        </w:tc>
      </w:tr>
      <w:tr>
        <w:trPr>
          <w:cantSplit w:val="true"/>
        </w:trPr>
        <w:tc>
          <w:tcPr>
            <w:tcW w:type="dxa" w:w="2400"/>
            <w:shd w:fill="F5F7F8" w:val="clear"/>
            <w:vAlign w:val="top"/>
          </w:tcPr>
          <w:p>
            <w:pPr>
              <w:spacing w:after="24" w:line="240" w:lineRule="auto"/>
            </w:pPr>
            <w:r/>
            <w:r>
              <w:rPr>
                <w:rFonts w:ascii="Lato" w:hAnsi="Lato"/>
                <w:color w:val="222222"/>
                <w:sz w:val="15"/>
              </w:rPr>
              <w:t>Porters’ Lodge / Faculty administrator</w:t>
            </w:r>
          </w:p>
        </w:tc>
        <w:tc>
          <w:tcPr>
            <w:tcW w:type="dxa" w:w="4750"/>
            <w:shd w:fill="F5F7F8" w:val="clear"/>
            <w:vAlign w:val="top"/>
          </w:tcPr>
          <w:p>
            <w:pPr>
              <w:spacing w:after="24" w:line="240" w:lineRule="auto"/>
            </w:pPr>
            <w:r/>
            <w:r>
              <w:rPr>
                <w:rFonts w:ascii="Lato" w:hAnsi="Lato"/>
                <w:color w:val="222222"/>
                <w:sz w:val="15"/>
              </w:rPr>
              <w:t>Lodge: keys, safety, visitors and immediate College routing. Faculty administrator: forms, timetables, submissions and the current written rule.</w:t>
            </w:r>
          </w:p>
        </w:tc>
        <w:tc>
          <w:tcPr>
            <w:tcW w:type="dxa" w:w="2886"/>
            <w:shd w:fill="F5F7F8" w:val="clear"/>
            <w:vAlign w:val="top"/>
          </w:tcPr>
          <w:p>
            <w:pPr>
              <w:spacing w:after="24" w:line="240" w:lineRule="auto"/>
            </w:pPr>
            <w:r/>
            <w:r>
              <w:rPr>
                <w:rFonts w:ascii="Lato" w:hAnsi="Lato"/>
                <w:color w:val="222222"/>
                <w:sz w:val="15"/>
              </w:rPr>
              <w:t>You are guessing who has authority.</w:t>
            </w:r>
          </w:p>
        </w:tc>
      </w:tr>
    </w:tbl>
    <w:p>
      <w:pPr>
        <w:pStyle w:val="Heading2"/>
        <w:keepNext/>
      </w:pPr>
      <w:r>
        <w:t>Build your one-page operating system</w:t>
      </w:r>
    </w:p>
    <w:p>
      <w:pPr>
        <w:pStyle w:val="ListBullet"/>
      </w:pPr>
      <w:r>
        <w:t>Calendar: Full Term, wider Term, College bill dates, Student Finance payments, school/nursery closures, medical appointments and one protected non-Cambridge block each week.</w:t>
      </w:r>
    </w:p>
    <w:p>
      <w:pPr>
        <w:pStyle w:val="ListBullet"/>
      </w:pPr>
      <w:r>
        <w:t>Cash flow: what enters and leaves the account in each month, including deposits, vacation rent, travel, childcare and a modest emergency margin.</w:t>
      </w:r>
    </w:p>
    <w:p>
      <w:pPr>
        <w:pStyle w:val="ListBullet"/>
      </w:pPr>
      <w:r>
        <w:t>Academic week: fixed teaching, travel, care, meals, sleep, two deep-work blocks and at least one buffer block.</w:t>
      </w:r>
    </w:p>
    <w:p>
      <w:pPr>
        <w:pStyle w:val="ListBullet"/>
      </w:pPr>
      <w:r>
        <w:t>Health and access: GP registered, repeat prescriptions transferred, ADRC/DSA actions dated, exam-access deadlines recorded.</w:t>
      </w:r>
    </w:p>
    <w:p>
      <w:pPr>
        <w:pStyle w:val="ListBullet"/>
      </w:pPr>
      <w:r>
        <w:t>Communication: a rule that academic slippage goes to supervisor/DoS and life disruption goes to Tutor within 48 hours.</w:t>
      </w:r>
    </w:p>
    <w:p>
      <w:pPr>
        <w:pStyle w:val="ListBullet"/>
      </w:pPr>
      <w:r>
        <w:t>Belonging: one repeated daytime contact and one activity that is enjoyable rather than strategically impressive.</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clear"/>
            <w:vAlign w:val="top"/>
          </w:tcPr>
          <w:p>
            <w:pPr>
              <w:spacing w:after="0"/>
            </w:pPr>
            <w:r>
              <w:rPr>
                <w:rFonts w:ascii="Lato" w:hAnsi="Lato"/>
                <w:b/>
                <w:color w:val="0E7C86"/>
                <w:sz w:val="15"/>
              </w:rPr>
              <w:t>WHAT THIS MEANS FOR A MATURE STUDENT</w:t>
            </w:r>
            <w:r>
              <w:rPr>
                <w:rFonts w:ascii="Lato" w:hAnsi="Lato"/>
                <w:color w:val="222222"/>
                <w:sz w:val="15"/>
              </w:rPr>
              <w:br/>
              <w:t>The adult advantage is not invulnerability; it is the ability to build systems before the pressure arrives.</w:t>
            </w:r>
          </w:p>
        </w:tc>
        <w:tc>
          <w:tcPr>
            <w:tcW w:type="dxa" w:w="3345"/>
            <w:tcMar>
              <w:top w:w="100" w:type="dxa"/>
              <w:start w:w="110" w:type="dxa"/>
              <w:bottom w:w="100" w:type="dxa"/>
              <w:end w:w="110" w:type="dxa"/>
            </w:tcMar>
            <w:shd w:fill="EEF3F8" w:val="clear"/>
            <w:vAlign w:val="top"/>
          </w:tcPr>
          <w:p>
            <w:pPr>
              <w:spacing w:after="0"/>
            </w:pPr>
            <w:r>
              <w:rPr>
                <w:rFonts w:ascii="Lato" w:hAnsi="Lato"/>
                <w:b/>
                <w:color w:val="17324D"/>
                <w:sz w:val="15"/>
              </w:rPr>
              <w:t>QUESTIONS TO ASK YOUR COLLEGE</w:t>
            </w:r>
            <w:r>
              <w:rPr>
                <w:rFonts w:ascii="Lato" w:hAnsi="Lato"/>
                <w:color w:val="222222"/>
                <w:sz w:val="15"/>
              </w:rPr>
              <w:br/>
              <w:t>What must I complete before arrival, who is my named contact, and which services or buildings are unavailable in vacations?</w:t>
            </w:r>
          </w:p>
        </w:tc>
        <w:tc>
          <w:tcPr>
            <w:tcW w:type="dxa" w:w="3345"/>
            <w:tcMar>
              <w:top w:w="100" w:type="dxa"/>
              <w:start w:w="110" w:type="dxa"/>
              <w:bottom w:w="100" w:type="dxa"/>
              <w:end w:w="110" w:type="dxa"/>
            </w:tcMar>
            <w:shd w:fill="F9ECEC" w:val="clear"/>
            <w:vAlign w:val="top"/>
          </w:tcPr>
          <w:p>
            <w:pPr>
              <w:spacing w:after="0"/>
            </w:pPr>
            <w:r>
              <w:rPr>
                <w:rFonts w:ascii="Lato" w:hAnsi="Lato"/>
                <w:b/>
                <w:color w:val="A84040"/>
                <w:sz w:val="15"/>
              </w:rPr>
              <w:t>COMMON MISTAKE TO AVOID</w:t>
            </w:r>
            <w:r>
              <w:rPr>
                <w:rFonts w:ascii="Lato" w:hAnsi="Lato"/>
                <w:color w:val="222222"/>
                <w:sz w:val="15"/>
              </w:rPr>
              <w:br/>
              <w:t>Using Freshers’ Week to perform sociability while postponing finance, GP, access and academic setup.</w:t>
            </w:r>
          </w:p>
        </w:tc>
      </w:tr>
    </w:tbl>
    <w:p>
      <w:pPr>
        <w:spacing w:after="40"/>
      </w:pPr>
    </w:p>
    <w:p>
      <w:pPr>
        <w:pStyle w:val="Heading1"/>
        <w:keepNext/>
      </w:pPr>
      <w:r>
        <w:t>2. What “mature student” means—and why College choice matters</w:t>
      </w:r>
    </w:p>
    <w:p>
      <w:pPr>
        <w:spacing w:after="160"/>
      </w:pPr>
      <w:r>
        <w:rPr>
          <w:i/>
          <w:color w:val="5F6B73"/>
          <w:sz w:val="20"/>
        </w:rPr>
        <w:t>Age is the admissions definition; circumstances decide what you need.</w:t>
      </w:r>
    </w:p>
    <w:p>
      <w:pPr>
        <w:pStyle w:val="Heading2"/>
        <w:keepNext/>
      </w:pPr>
      <w:r>
        <w:t>The formal definition</w:t>
      </w:r>
    </w:p>
    <w:p>
      <w:r>
        <w:t>Cambridge currently defines a mature undergraduate applicant as someone who will be 21 or over on 1 October in the year they begin the course. The age is therefore measured at entry, not on the UCAS submission date or at matriculation. The definition covers the 21-year-old who has just taken a short break and the 55-year-old returning after a career, but their housing, finance, social and family needs may be opposite. [U01]</w:t>
      </w:r>
    </w:p>
    <w:p>
      <w:r>
        <w:t>A postgraduate aged 21 or 51 is a postgraduate, not a “mature undergraduate” for the process described here. Some Colleges have large postgraduate communities and use the MCR as their social body; a fourth-year undergraduate may sometimes have a choice of common-room affiliation, but remains an undergraduate academically.</w:t>
      </w:r>
    </w:p>
    <w:p>
      <w:r>
        <w:t>Admissions age is not the same as funding independence. Student Finance England normally looks at parental household income for many students under 25 unless an independent-status condition applies; at 25 or over, a partner’s income may be relevant. Accommodation offices may use “undergraduate”, “couple”, “family” or “single student” categories rather than a mature label. [G01]</w:t>
      </w:r>
    </w:p>
    <w:p>
      <w:pPr>
        <w:pStyle w:val="Heading2"/>
        <w:keepNext/>
      </w:pPr>
      <w:r>
        <w:t>Mature Colleges and other Colleges</w:t>
      </w:r>
    </w:p>
    <w:p>
      <w:r>
        <w:t>Hughes Hall, St Edmund’s and Wolfson are the three Colleges whose undergraduate intake is restricted to mature students. Their mixed undergraduate–postgraduate communities can reduce the feeling that adult responsibilities are an exception. Cambridge explicitly states that mature applicants may apply to other undergraduate Colleges. For an open application, a mature applicant is allocated to one of the mature Colleges. [U01]</w:t>
      </w:r>
    </w:p>
    <w:p>
      <w:r>
        <w:t>There is no universally “best” mature College. Hughes Hall may appeal for a central, mixed and international atmosphere; St Edmund’s for a small community with mature-undergraduate identity; Wolfson for an egalitarian, international and graduate-heavy culture. A 22-year-old seeking a traditional undergraduate court may prefer a standard-age College. A 38-year-old parent may care more about a year-round flat, kitchens and school commute than age mix. A commuter may prioritise the department and bicycle route.</w:t>
      </w:r>
    </w:p>
    <w:p>
      <w:pPr>
        <w:pStyle w:val="Heading2"/>
        <w:keepNext/>
      </w:pPr>
      <w:r>
        <w:t>Mature College snapshot</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2509"/>
        <w:gridCol w:w="2509"/>
        <w:gridCol w:w="2509"/>
        <w:gridCol w:w="2509"/>
      </w:tblGrid>
      <w:tr>
        <w:trPr>
          <w:tblHeader w:val="true"/>
          <w:cantSplit w:val="true"/>
        </w:trPr>
        <w:tc>
          <w:tcPr>
            <w:tcW w:type="dxa" w:w="1500"/>
            <w:shd w:fill="17324D" w:val="clear"/>
            <w:vAlign w:val="center"/>
          </w:tcPr>
          <w:p>
            <w:pPr>
              <w:spacing w:after="20"/>
              <w:jc w:val="left"/>
            </w:pPr>
            <w:r>
              <w:rPr>
                <w:rFonts w:ascii="Lato" w:hAnsi="Lato"/>
                <w:b/>
                <w:color w:val="FFFFFF"/>
                <w:sz w:val="14"/>
              </w:rPr>
              <w:t>Option</w:t>
            </w:r>
          </w:p>
        </w:tc>
        <w:tc>
          <w:tcPr>
            <w:tcW w:type="dxa" w:w="2250"/>
            <w:shd w:fill="17324D" w:val="clear"/>
            <w:vAlign w:val="center"/>
          </w:tcPr>
          <w:p>
            <w:pPr>
              <w:spacing w:after="20"/>
              <w:jc w:val="left"/>
            </w:pPr>
            <w:r>
              <w:rPr>
                <w:rFonts w:ascii="Lato" w:hAnsi="Lato"/>
                <w:b/>
                <w:color w:val="FFFFFF"/>
                <w:sz w:val="14"/>
              </w:rPr>
              <w:t>Current admissions position</w:t>
            </w:r>
          </w:p>
        </w:tc>
        <w:tc>
          <w:tcPr>
            <w:tcW w:type="dxa" w:w="3300"/>
            <w:shd w:fill="17324D" w:val="clear"/>
            <w:vAlign w:val="center"/>
          </w:tcPr>
          <w:p>
            <w:pPr>
              <w:spacing w:after="20"/>
              <w:jc w:val="left"/>
            </w:pPr>
            <w:r>
              <w:rPr>
                <w:rFonts w:ascii="Lato" w:hAnsi="Lato"/>
                <w:b/>
                <w:color w:val="FFFFFF"/>
                <w:sz w:val="14"/>
              </w:rPr>
              <w:t>Likely practical appeal</w:t>
            </w:r>
          </w:p>
        </w:tc>
        <w:tc>
          <w:tcPr>
            <w:tcW w:type="dxa" w:w="2986"/>
            <w:shd w:fill="17324D" w:val="clear"/>
            <w:vAlign w:val="center"/>
          </w:tcPr>
          <w:p>
            <w:pPr>
              <w:spacing w:after="20"/>
              <w:jc w:val="left"/>
            </w:pPr>
            <w:r>
              <w:rPr>
                <w:rFonts w:ascii="Lato" w:hAnsi="Lato"/>
                <w:b/>
                <w:color w:val="FFFFFF"/>
                <w:sz w:val="14"/>
              </w:rPr>
              <w:t>Verify before choosing</w:t>
            </w:r>
          </w:p>
        </w:tc>
      </w:tr>
      <w:tr>
        <w:trPr>
          <w:cantSplit w:val="true"/>
        </w:trPr>
        <w:tc>
          <w:tcPr>
            <w:tcW w:type="dxa" w:w="1500"/>
            <w:vAlign w:val="top"/>
          </w:tcPr>
          <w:p>
            <w:pPr>
              <w:spacing w:after="24" w:line="240" w:lineRule="auto"/>
            </w:pPr>
            <w:r/>
            <w:r>
              <w:rPr>
                <w:rFonts w:ascii="Lato" w:hAnsi="Lato"/>
                <w:color w:val="222222"/>
                <w:sz w:val="14"/>
              </w:rPr>
              <w:t>Hughes Hall</w:t>
            </w:r>
          </w:p>
        </w:tc>
        <w:tc>
          <w:tcPr>
            <w:tcW w:type="dxa" w:w="2250"/>
            <w:vAlign w:val="top"/>
          </w:tcPr>
          <w:p>
            <w:pPr>
              <w:spacing w:after="24" w:line="240" w:lineRule="auto"/>
            </w:pPr>
            <w:r/>
            <w:r>
              <w:rPr>
                <w:rFonts w:ascii="Lato" w:hAnsi="Lato"/>
                <w:color w:val="222222"/>
                <w:sz w:val="14"/>
              </w:rPr>
              <w:t>Mature-only undergraduate intake (21+). [U01]</w:t>
            </w:r>
          </w:p>
        </w:tc>
        <w:tc>
          <w:tcPr>
            <w:tcW w:type="dxa" w:w="3300"/>
            <w:vAlign w:val="top"/>
          </w:tcPr>
          <w:p>
            <w:pPr>
              <w:spacing w:after="24" w:line="240" w:lineRule="auto"/>
            </w:pPr>
            <w:r/>
            <w:r>
              <w:rPr>
                <w:rFonts w:ascii="Lato" w:hAnsi="Lato"/>
                <w:color w:val="222222"/>
                <w:sz w:val="14"/>
              </w:rPr>
              <w:t>Central-east location; mixed undergraduate/postgraduate and international community; often attractive to people wanting a visibly adult College culture.</w:t>
            </w:r>
          </w:p>
        </w:tc>
        <w:tc>
          <w:tcPr>
            <w:tcW w:type="dxa" w:w="2986"/>
            <w:vAlign w:val="top"/>
          </w:tcPr>
          <w:p>
            <w:pPr>
              <w:spacing w:after="24" w:line="240" w:lineRule="auto"/>
            </w:pPr>
            <w:r/>
            <w:r>
              <w:rPr>
                <w:rFonts w:ascii="Lato" w:hAnsi="Lato"/>
                <w:color w:val="222222"/>
                <w:sz w:val="14"/>
              </w:rPr>
              <w:t>Undergraduate room guarantee, contract length, family/couple stock, kitchens and vacation residence.</w:t>
            </w:r>
          </w:p>
        </w:tc>
      </w:tr>
      <w:tr>
        <w:trPr>
          <w:cantSplit w:val="true"/>
        </w:trPr>
        <w:tc>
          <w:tcPr>
            <w:tcW w:type="dxa" w:w="1500"/>
            <w:shd w:fill="F5F7F8" w:val="clear"/>
            <w:vAlign w:val="top"/>
          </w:tcPr>
          <w:p>
            <w:pPr>
              <w:spacing w:after="24" w:line="240" w:lineRule="auto"/>
            </w:pPr>
            <w:r/>
            <w:r>
              <w:rPr>
                <w:rFonts w:ascii="Lato" w:hAnsi="Lato"/>
                <w:color w:val="222222"/>
                <w:sz w:val="14"/>
              </w:rPr>
              <w:t>St Edmund’s</w:t>
            </w:r>
          </w:p>
        </w:tc>
        <w:tc>
          <w:tcPr>
            <w:tcW w:type="dxa" w:w="2250"/>
            <w:shd w:fill="F5F7F8" w:val="clear"/>
            <w:vAlign w:val="top"/>
          </w:tcPr>
          <w:p>
            <w:pPr>
              <w:spacing w:after="24" w:line="240" w:lineRule="auto"/>
            </w:pPr>
            <w:r/>
            <w:r>
              <w:rPr>
                <w:rFonts w:ascii="Lato" w:hAnsi="Lato"/>
                <w:color w:val="222222"/>
                <w:sz w:val="14"/>
              </w:rPr>
              <w:t>Mature-only undergraduate intake (21+). [U01]</w:t>
            </w:r>
          </w:p>
        </w:tc>
        <w:tc>
          <w:tcPr>
            <w:tcW w:type="dxa" w:w="3300"/>
            <w:shd w:fill="F5F7F8" w:val="clear"/>
            <w:vAlign w:val="top"/>
          </w:tcPr>
          <w:p>
            <w:pPr>
              <w:spacing w:after="24" w:line="240" w:lineRule="auto"/>
            </w:pPr>
            <w:r/>
            <w:r>
              <w:rPr>
                <w:rFonts w:ascii="Lato" w:hAnsi="Lato"/>
                <w:color w:val="222222"/>
                <w:sz w:val="14"/>
              </w:rPr>
              <w:t>Small mature-undergraduate presence inside an international mixed community; strong sense of a College built around adults.</w:t>
            </w:r>
          </w:p>
        </w:tc>
        <w:tc>
          <w:tcPr>
            <w:tcW w:type="dxa" w:w="2986"/>
            <w:shd w:fill="F5F7F8" w:val="clear"/>
            <w:vAlign w:val="top"/>
          </w:tcPr>
          <w:p>
            <w:pPr>
              <w:spacing w:after="24" w:line="240" w:lineRule="auto"/>
            </w:pPr>
            <w:r/>
            <w:r>
              <w:rPr>
                <w:rFonts w:ascii="Lato" w:hAnsi="Lato"/>
                <w:color w:val="222222"/>
                <w:sz w:val="14"/>
              </w:rPr>
              <w:t>Accommodation availability, hill journey, family provision, current gown/dining rules and vacation operation.</w:t>
            </w:r>
          </w:p>
        </w:tc>
      </w:tr>
      <w:tr>
        <w:trPr>
          <w:cantSplit w:val="true"/>
        </w:trPr>
        <w:tc>
          <w:tcPr>
            <w:tcW w:type="dxa" w:w="1500"/>
            <w:vAlign w:val="top"/>
          </w:tcPr>
          <w:p>
            <w:pPr>
              <w:spacing w:after="24" w:line="240" w:lineRule="auto"/>
            </w:pPr>
            <w:r/>
            <w:r>
              <w:rPr>
                <w:rFonts w:ascii="Lato" w:hAnsi="Lato"/>
                <w:color w:val="222222"/>
                <w:sz w:val="14"/>
              </w:rPr>
              <w:t>Wolfson</w:t>
            </w:r>
          </w:p>
        </w:tc>
        <w:tc>
          <w:tcPr>
            <w:tcW w:type="dxa" w:w="2250"/>
            <w:vAlign w:val="top"/>
          </w:tcPr>
          <w:p>
            <w:pPr>
              <w:spacing w:after="24" w:line="240" w:lineRule="auto"/>
            </w:pPr>
            <w:r/>
            <w:r>
              <w:rPr>
                <w:rFonts w:ascii="Lato" w:hAnsi="Lato"/>
                <w:color w:val="222222"/>
                <w:sz w:val="14"/>
              </w:rPr>
              <w:t>Mature-only undergraduate intake (21+). [U01]</w:t>
            </w:r>
          </w:p>
        </w:tc>
        <w:tc>
          <w:tcPr>
            <w:tcW w:type="dxa" w:w="3300"/>
            <w:vAlign w:val="top"/>
          </w:tcPr>
          <w:p>
            <w:pPr>
              <w:spacing w:after="24" w:line="240" w:lineRule="auto"/>
            </w:pPr>
            <w:r/>
            <w:r>
              <w:rPr>
                <w:rFonts w:ascii="Lato" w:hAnsi="Lato"/>
                <w:color w:val="222222"/>
                <w:sz w:val="14"/>
              </w:rPr>
              <w:t>Egalitarian, international and postgraduate-heavy setting in west Cambridge; can suit older returners and people who prefer less undergraduate theatre.</w:t>
            </w:r>
          </w:p>
        </w:tc>
        <w:tc>
          <w:tcPr>
            <w:tcW w:type="dxa" w:w="2986"/>
            <w:vAlign w:val="top"/>
          </w:tcPr>
          <w:p>
            <w:pPr>
              <w:spacing w:after="24" w:line="240" w:lineRule="auto"/>
            </w:pPr>
            <w:r/>
            <w:r>
              <w:rPr>
                <w:rFonts w:ascii="Lato" w:hAnsi="Lato"/>
                <w:color w:val="222222"/>
                <w:sz w:val="14"/>
              </w:rPr>
              <w:t>Exact undergraduate numbers, family flats, room contract, teaching-site journey and current formal dress rules.</w:t>
            </w:r>
          </w:p>
        </w:tc>
      </w:tr>
      <w:tr>
        <w:trPr>
          <w:cantSplit w:val="true"/>
        </w:trPr>
        <w:tc>
          <w:tcPr>
            <w:tcW w:type="dxa" w:w="1500"/>
            <w:shd w:fill="F5F7F8" w:val="clear"/>
            <w:vAlign w:val="top"/>
          </w:tcPr>
          <w:p>
            <w:pPr>
              <w:spacing w:after="24" w:line="240" w:lineRule="auto"/>
            </w:pPr>
            <w:r/>
            <w:r>
              <w:rPr>
                <w:rFonts w:ascii="Lato" w:hAnsi="Lato"/>
                <w:color w:val="222222"/>
                <w:sz w:val="14"/>
              </w:rPr>
              <w:t>Lucy Cavendish</w:t>
            </w:r>
          </w:p>
        </w:tc>
        <w:tc>
          <w:tcPr>
            <w:tcW w:type="dxa" w:w="2250"/>
            <w:shd w:fill="F5F7F8" w:val="clear"/>
            <w:vAlign w:val="top"/>
          </w:tcPr>
          <w:p>
            <w:pPr>
              <w:spacing w:after="24" w:line="240" w:lineRule="auto"/>
            </w:pPr>
            <w:r/>
            <w:r>
              <w:rPr>
                <w:rFonts w:ascii="Lato" w:hAnsi="Lato"/>
                <w:color w:val="222222"/>
                <w:sz w:val="14"/>
              </w:rPr>
              <w:t>All-age and all-gender undergraduate College since 2021; not a mature-only College. [U33]</w:t>
            </w:r>
          </w:p>
        </w:tc>
        <w:tc>
          <w:tcPr>
            <w:tcW w:type="dxa" w:w="3300"/>
            <w:shd w:fill="F5F7F8" w:val="clear"/>
            <w:vAlign w:val="top"/>
          </w:tcPr>
          <w:p>
            <w:pPr>
              <w:spacing w:after="24" w:line="240" w:lineRule="auto"/>
            </w:pPr>
            <w:r/>
            <w:r>
              <w:rPr>
                <w:rFonts w:ascii="Lato" w:hAnsi="Lato"/>
                <w:color w:val="222222"/>
                <w:sz w:val="14"/>
              </w:rPr>
              <w:t>Strong historical connection to mature access and a changing, diverse age mix.</w:t>
            </w:r>
          </w:p>
        </w:tc>
        <w:tc>
          <w:tcPr>
            <w:tcW w:type="dxa" w:w="2986"/>
            <w:shd w:fill="F5F7F8" w:val="clear"/>
            <w:vAlign w:val="top"/>
          </w:tcPr>
          <w:p>
            <w:pPr>
              <w:spacing w:after="24" w:line="240" w:lineRule="auto"/>
            </w:pPr>
            <w:r/>
            <w:r>
              <w:rPr>
                <w:rFonts w:ascii="Lato" w:hAnsi="Lato"/>
                <w:color w:val="222222"/>
                <w:sz w:val="14"/>
              </w:rPr>
              <w:t>Current age profile, accommodation sites, family/couple eligibility and whether the present culture matches older descriptions.</w:t>
            </w:r>
          </w:p>
        </w:tc>
      </w:tr>
      <w:tr>
        <w:trPr>
          <w:cantSplit w:val="true"/>
        </w:trPr>
        <w:tc>
          <w:tcPr>
            <w:tcW w:type="dxa" w:w="1500"/>
            <w:vAlign w:val="top"/>
          </w:tcPr>
          <w:p>
            <w:pPr>
              <w:spacing w:after="24" w:line="240" w:lineRule="auto"/>
            </w:pPr>
            <w:r/>
            <w:r>
              <w:rPr>
                <w:rFonts w:ascii="Lato" w:hAnsi="Lato"/>
                <w:color w:val="222222"/>
                <w:sz w:val="14"/>
              </w:rPr>
              <w:t>Any other undergraduate College</w:t>
            </w:r>
          </w:p>
        </w:tc>
        <w:tc>
          <w:tcPr>
            <w:tcW w:type="dxa" w:w="2250"/>
            <w:vAlign w:val="top"/>
          </w:tcPr>
          <w:p>
            <w:pPr>
              <w:spacing w:after="24" w:line="240" w:lineRule="auto"/>
            </w:pPr>
            <w:r/>
            <w:r>
              <w:rPr>
                <w:rFonts w:ascii="Lato" w:hAnsi="Lato"/>
                <w:color w:val="222222"/>
                <w:sz w:val="14"/>
              </w:rPr>
              <w:t>Mature students may apply; October deadline applies. [U01]</w:t>
            </w:r>
          </w:p>
        </w:tc>
        <w:tc>
          <w:tcPr>
            <w:tcW w:type="dxa" w:w="3300"/>
            <w:vAlign w:val="top"/>
          </w:tcPr>
          <w:p>
            <w:pPr>
              <w:spacing w:after="24" w:line="240" w:lineRule="auto"/>
            </w:pPr>
            <w:r/>
            <w:r>
              <w:rPr>
                <w:rFonts w:ascii="Lato" w:hAnsi="Lato"/>
                <w:color w:val="222222"/>
                <w:sz w:val="14"/>
              </w:rPr>
              <w:t>Traditional undergraduate setting, potentially strong subject/location fit and access to the same University degree.</w:t>
            </w:r>
          </w:p>
        </w:tc>
        <w:tc>
          <w:tcPr>
            <w:tcW w:type="dxa" w:w="2986"/>
            <w:vAlign w:val="top"/>
          </w:tcPr>
          <w:p>
            <w:pPr>
              <w:spacing w:after="24" w:line="240" w:lineRule="auto"/>
            </w:pPr>
            <w:r/>
            <w:r>
              <w:rPr>
                <w:rFonts w:ascii="Lato" w:hAnsi="Lato"/>
                <w:color w:val="222222"/>
                <w:sz w:val="14"/>
              </w:rPr>
              <w:t>How many mature undergraduates actually enter, room neighbours, vacation housing, kitchens, family/guest rules and daytime community.</w:t>
            </w:r>
          </w:p>
        </w:tc>
      </w:tr>
    </w:tbl>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D5A72E" w:val="clear"/>
          </w:tcPr>
          <w:p/>
        </w:tc>
        <w:tc>
          <w:tcPr>
            <w:tcW w:type="dxa" w:w="9877"/>
            <w:tcMar>
              <w:top w:w="80" w:type="dxa"/>
              <w:start w:w="100" w:type="dxa"/>
              <w:bottom w:w="80" w:type="dxa"/>
              <w:end w:w="100" w:type="dxa"/>
            </w:tcMar>
            <w:shd w:fill="FBF6E7" w:val="clear"/>
            <w:vAlign w:val="center"/>
          </w:tcPr>
          <w:p>
            <w:pPr>
              <w:spacing w:after="0"/>
            </w:pPr>
            <w:r>
              <w:rPr>
                <w:rFonts w:ascii="Lato" w:hAnsi="Lato"/>
                <w:b/>
                <w:color w:val="D5A72E"/>
                <w:sz w:val="16"/>
              </w:rPr>
              <w:t>DO NOT INFER LOGISTICS FROM THE LABEL</w:t>
            </w:r>
            <w:r>
              <w:rPr>
                <w:rFonts w:ascii="Lato" w:hAnsi="Lato"/>
                <w:color w:val="222222"/>
                <w:sz w:val="16"/>
              </w:rPr>
              <w:br/>
              <w:t>A mature College is not automatically quieter, cheaper, more accessible or better for families. A standard-age College is not automatically hostile to adults. The only safe comparison uses the current room licence, charges, family rules, location and named welfare provision.</w:t>
            </w:r>
          </w:p>
        </w:tc>
      </w:tr>
    </w:tbl>
    <w:p>
      <w:pPr>
        <w:pStyle w:val="Heading2"/>
        <w:keepNext/>
      </w:pPr>
      <w:r>
        <w:t>College choice: the questions that actually change daily life</w:t>
      </w:r>
    </w:p>
    <w:p>
      <w:pPr>
        <w:pStyle w:val="ListBullet"/>
        <w:spacing w:after="30" w:line="247" w:lineRule="auto"/>
        <w:ind w:left="312" w:hanging="142"/>
      </w:pPr>
      <w:r>
        <w:t>Accommodation: Is a room guaranteed? For how many years? Is the licence 27, 30, 39 or 52 weeks? Can you stay through Christmas and Easter, and at what charge?</w:t>
      </w:r>
    </w:p>
    <w:p>
      <w:pPr>
        <w:pStyle w:val="ListBullet"/>
        <w:spacing w:after="30" w:line="247" w:lineRule="auto"/>
        <w:ind w:left="312" w:hanging="142"/>
      </w:pPr>
      <w:r>
        <w:t>Household: Is there couples or family accommodation? What counts as a partner? Can a child stay overnight or enter dining, libraries and gardens?</w:t>
      </w:r>
    </w:p>
    <w:p>
      <w:pPr>
        <w:pStyle w:val="ListBullet"/>
        <w:spacing w:after="30" w:line="247" w:lineRule="auto"/>
        <w:ind w:left="312" w:hanging="142"/>
      </w:pPr>
      <w:r>
        <w:t>Cooking: Is there an oven, only a hob and microwave, or effectively no self-catering? Is there a compulsory kitchen fixed charge or minimum meal spend?</w:t>
      </w:r>
    </w:p>
    <w:p>
      <w:pPr>
        <w:pStyle w:val="ListBullet"/>
        <w:spacing w:after="30" w:line="247" w:lineRule="auto"/>
        <w:ind w:left="312" w:hanging="142"/>
      </w:pPr>
      <w:r>
        <w:t>Location: Measure door-to-door travel to laboratories, placements, school or nursery—not distance to King’s Parade.</w:t>
      </w:r>
    </w:p>
    <w:p>
      <w:pPr>
        <w:pStyle w:val="ListBullet"/>
        <w:spacing w:after="30" w:line="247" w:lineRule="auto"/>
        <w:ind w:left="312" w:hanging="142"/>
      </w:pPr>
      <w:r>
        <w:t>Community: How many mature undergraduates are in your year and course? Is there a mature representative, MCR access or regular daytime event?</w:t>
      </w:r>
    </w:p>
    <w:p>
      <w:pPr>
        <w:pStyle w:val="ListBullet"/>
        <w:spacing w:after="30" w:line="247" w:lineRule="auto"/>
        <w:ind w:left="312" w:hanging="142"/>
      </w:pPr>
      <w:r>
        <w:t>Welfare and money: How is Tutor allocation handled? What emergency grants exist? Can a College nurse see non-resident students? What is open in vacations?</w:t>
      </w:r>
    </w:p>
    <w:p>
      <w:pPr>
        <w:pStyle w:val="ListBullet"/>
        <w:spacing w:after="30" w:line="247" w:lineRule="auto"/>
        <w:ind w:left="312" w:hanging="142"/>
      </w:pPr>
      <w:r>
        <w:t>Accessibility: Ask about the precise room, route, bathroom, hearing loop, evacuation plan and dining access; “accessible campus” is too vague.</w:t>
      </w:r>
    </w:p>
    <w:p>
      <w:pPr>
        <w:pStyle w:val="Heading2"/>
        <w:keepNext/>
      </w:pPr>
      <w:r>
        <w:t>College comparison: practical orientation, not ranking</w:t>
      </w:r>
    </w:p>
    <w:p>
      <w:r>
        <w:t>The following is a decision map rather than a league table. Accommodation availability and eligibility change; use the College link and request the current undergraduate accommodation handbook. “Mature presence” describes likely community, not admissions preference.</w:t>
      </w:r>
    </w:p>
    <w:tbl>
      <w:tblPr>
        <w:tblW w:type="dxa" w:w="10035"/>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361"/>
        <w:gridCol w:w="1701"/>
        <w:gridCol w:w="2438"/>
        <w:gridCol w:w="3515"/>
        <w:gridCol w:w="1020"/>
      </w:tblGrid>
      <w:tr>
        <w:trPr>
          <w:tblHeader w:val="true"/>
          <w:cantSplit w:val="true"/>
        </w:trPr>
        <w:tc>
          <w:tcPr>
            <w:tcW w:type="dxa" w:w="1360"/>
            <w:shd w:fill="17324D"/>
            <w:tcMar>
              <w:top w:w="70" w:type="dxa"/>
              <w:start w:w="80" w:type="dxa"/>
              <w:bottom w:w="70" w:type="dxa"/>
              <w:end w:w="80" w:type="dxa"/>
            </w:tcMar>
            <w:vAlign w:val="center"/>
          </w:tcPr>
          <w:p>
            <w:pPr>
              <w:pStyle w:val="TableSmall"/>
              <w:jc w:val="left"/>
            </w:pPr>
            <w:r>
              <w:rPr>
                <w:b/>
                <w:color w:val="FFFFFF"/>
                <w:sz w:val="12"/>
              </w:rPr>
              <w:t>College</w:t>
            </w:r>
          </w:p>
        </w:tc>
        <w:tc>
          <w:tcPr>
            <w:tcW w:type="dxa" w:w="1701"/>
            <w:shd w:fill="17324D"/>
            <w:tcMar>
              <w:top w:w="70" w:type="dxa"/>
              <w:start w:w="80" w:type="dxa"/>
              <w:bottom w:w="70" w:type="dxa"/>
              <w:end w:w="80" w:type="dxa"/>
            </w:tcMar>
            <w:vAlign w:val="center"/>
          </w:tcPr>
          <w:p>
            <w:pPr>
              <w:pStyle w:val="TableSmall"/>
              <w:jc w:val="left"/>
            </w:pPr>
            <w:r>
              <w:rPr>
                <w:b/>
                <w:color w:val="FFFFFF"/>
                <w:sz w:val="12"/>
              </w:rPr>
              <w:t>Undergraduate position</w:t>
            </w:r>
          </w:p>
        </w:tc>
        <w:tc>
          <w:tcPr>
            <w:tcW w:type="dxa" w:w="2438"/>
            <w:shd w:fill="17324D"/>
            <w:tcMar>
              <w:top w:w="70" w:type="dxa"/>
              <w:start w:w="80" w:type="dxa"/>
              <w:bottom w:w="70" w:type="dxa"/>
              <w:end w:w="80" w:type="dxa"/>
            </w:tcMar>
            <w:vAlign w:val="center"/>
          </w:tcPr>
          <w:p>
            <w:pPr>
              <w:pStyle w:val="TableSmall"/>
              <w:jc w:val="left"/>
            </w:pPr>
            <w:r>
              <w:rPr>
                <w:b/>
                <w:color w:val="FFFFFF"/>
                <w:sz w:val="12"/>
              </w:rPr>
              <w:t>Likely practical character</w:t>
            </w:r>
          </w:p>
        </w:tc>
        <w:tc>
          <w:tcPr>
            <w:tcW w:type="dxa" w:w="3515"/>
            <w:shd w:fill="17324D"/>
            <w:tcMar>
              <w:top w:w="70" w:type="dxa"/>
              <w:start w:w="80" w:type="dxa"/>
              <w:bottom w:w="70" w:type="dxa"/>
              <w:end w:w="80" w:type="dxa"/>
            </w:tcMar>
            <w:vAlign w:val="center"/>
          </w:tcPr>
          <w:p>
            <w:pPr>
              <w:pStyle w:val="TableSmall"/>
              <w:jc w:val="left"/>
            </w:pPr>
            <w:r>
              <w:rPr>
                <w:b/>
                <w:color w:val="FFFFFF"/>
                <w:sz w:val="12"/>
              </w:rPr>
              <w:t>Verify before choosing</w:t>
            </w:r>
          </w:p>
        </w:tc>
        <w:tc>
          <w:tcPr>
            <w:tcW w:type="dxa" w:w="1020"/>
            <w:shd w:fill="17324D"/>
            <w:tcMar>
              <w:top w:w="70" w:type="dxa"/>
              <w:start w:w="80" w:type="dxa"/>
              <w:bottom w:w="70" w:type="dxa"/>
              <w:end w:w="80" w:type="dxa"/>
            </w:tcMar>
            <w:vAlign w:val="center"/>
          </w:tcPr>
          <w:p>
            <w:pPr>
              <w:pStyle w:val="TableSmall"/>
              <w:jc w:val="left"/>
            </w:pPr>
            <w:r>
              <w:rPr>
                <w:b/>
                <w:color w:val="FFFFFF"/>
                <w:sz w:val="12"/>
              </w:rPr>
              <w:t>Area</w:t>
            </w:r>
          </w:p>
        </w:tc>
      </w:tr>
      <w:tr>
        <w:trPr>
          <w:cantSplit w:val="true"/>
        </w:trPr>
        <w:tc>
          <w:tcPr>
            <w:tcW w:type="dxa" w:w="1360"/>
            <w:tcMar>
              <w:top w:w="55" w:type="dxa"/>
              <w:start w:w="70" w:type="dxa"/>
              <w:bottom w:w="55" w:type="dxa"/>
              <w:end w:w="70" w:type="dxa"/>
            </w:tcMar>
            <w:vAlign w:val="top"/>
          </w:tcPr>
          <w:p>
            <w:pPr>
              <w:pStyle w:val="TableSmall"/>
            </w:pPr>
            <w:r>
              <w:rPr>
                <w:sz w:val="12"/>
              </w:rPr>
              <w:t>Christ's</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Traditional central College; strong undergraduate identity</w:t>
            </w:r>
          </w:p>
        </w:tc>
        <w:tc>
          <w:tcPr>
            <w:tcW w:type="dxa" w:w="3515"/>
            <w:tcMar>
              <w:top w:w="55" w:type="dxa"/>
              <w:start w:w="70" w:type="dxa"/>
              <w:bottom w:w="55" w:type="dxa"/>
              <w:end w:w="70" w:type="dxa"/>
            </w:tcMar>
            <w:vAlign w:val="top"/>
          </w:tcPr>
          <w:p>
            <w:pPr>
              <w:pStyle w:val="TableSmall"/>
            </w:pPr>
            <w:r>
              <w:rPr>
                <w:sz w:val="12"/>
              </w:rPr>
              <w:t>Ask about vacation stay, kitchen level and family guests</w:t>
            </w:r>
          </w:p>
        </w:tc>
        <w:tc>
          <w:tcPr>
            <w:tcW w:type="dxa" w:w="1020"/>
            <w:tcMar>
              <w:top w:w="55" w:type="dxa"/>
              <w:start w:w="70" w:type="dxa"/>
              <w:bottom w:w="55" w:type="dxa"/>
              <w:end w:w="70" w:type="dxa"/>
            </w:tcMar>
            <w:vAlign w:val="top"/>
          </w:tcPr>
          <w:p>
            <w:pPr>
              <w:pStyle w:val="TableSmall"/>
            </w:pPr>
            <w:r>
              <w:rPr>
                <w:sz w:val="12"/>
              </w:rPr>
              <w:t>Central</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Churchill</w:t>
            </w:r>
          </w:p>
        </w:tc>
        <w:tc>
          <w:tcPr>
            <w:tcW w:type="dxa" w:w="1701"/>
            <w:shd w:fill="F5F7F8"/>
            <w:tcMar>
              <w:top w:w="55" w:type="dxa"/>
              <w:start w:w="70" w:type="dxa"/>
              <w:bottom w:w="55" w:type="dxa"/>
              <w:end w:w="70" w:type="dxa"/>
            </w:tcMar>
            <w:vAlign w:val="top"/>
          </w:tcPr>
          <w:p>
            <w:pPr>
              <w:pStyle w:val="TableSmall"/>
            </w:pPr>
            <w:r>
              <w:rPr>
                <w:sz w:val="12"/>
              </w:rPr>
              <w:t>All-age; substantial postgraduate community</w:t>
            </w:r>
          </w:p>
        </w:tc>
        <w:tc>
          <w:tcPr>
            <w:tcW w:type="dxa" w:w="2438"/>
            <w:shd w:fill="F5F7F8"/>
            <w:tcMar>
              <w:top w:w="55" w:type="dxa"/>
              <w:start w:w="70" w:type="dxa"/>
              <w:bottom w:w="55" w:type="dxa"/>
              <w:end w:w="70" w:type="dxa"/>
            </w:tcMar>
            <w:vAlign w:val="top"/>
          </w:tcPr>
          <w:p>
            <w:pPr>
              <w:pStyle w:val="TableSmall"/>
            </w:pPr>
            <w:r>
              <w:rPr>
                <w:sz w:val="12"/>
              </w:rPr>
              <w:t>Modern campus, generally spacious; science/technology culture</w:t>
            </w:r>
          </w:p>
        </w:tc>
        <w:tc>
          <w:tcPr>
            <w:tcW w:type="dxa" w:w="3515"/>
            <w:shd w:fill="F5F7F8"/>
            <w:tcMar>
              <w:top w:w="55" w:type="dxa"/>
              <w:start w:w="70" w:type="dxa"/>
              <w:bottom w:w="55" w:type="dxa"/>
              <w:end w:w="70" w:type="dxa"/>
            </w:tcMar>
            <w:vAlign w:val="top"/>
          </w:tcPr>
          <w:p>
            <w:pPr>
              <w:pStyle w:val="TableSmall"/>
            </w:pPr>
            <w:r>
              <w:rPr>
                <w:sz w:val="12"/>
              </w:rPr>
              <w:t>West Cambridge location; verify couples/family eligibility for undergraduates</w:t>
            </w:r>
          </w:p>
        </w:tc>
        <w:tc>
          <w:tcPr>
            <w:tcW w:type="dxa" w:w="1020"/>
            <w:shd w:fill="F5F7F8"/>
            <w:tcMar>
              <w:top w:w="55" w:type="dxa"/>
              <w:start w:w="70" w:type="dxa"/>
              <w:bottom w:w="55" w:type="dxa"/>
              <w:end w:w="70" w:type="dxa"/>
            </w:tcMar>
            <w:vAlign w:val="top"/>
          </w:tcPr>
          <w:p>
            <w:pPr>
              <w:pStyle w:val="TableSmall"/>
            </w:pPr>
            <w:r>
              <w:rPr>
                <w:sz w:val="12"/>
              </w:rPr>
              <w:t>West</w:t>
            </w:r>
          </w:p>
        </w:tc>
      </w:tr>
      <w:tr>
        <w:trPr>
          <w:cantSplit w:val="true"/>
        </w:trPr>
        <w:tc>
          <w:tcPr>
            <w:tcW w:type="dxa" w:w="1360"/>
            <w:tcMar>
              <w:top w:w="55" w:type="dxa"/>
              <w:start w:w="70" w:type="dxa"/>
              <w:bottom w:w="55" w:type="dxa"/>
              <w:end w:w="70" w:type="dxa"/>
            </w:tcMar>
            <w:vAlign w:val="top"/>
          </w:tcPr>
          <w:p>
            <w:pPr>
              <w:pStyle w:val="TableSmall"/>
            </w:pPr>
            <w:r>
              <w:rPr>
                <w:sz w:val="12"/>
              </w:rPr>
              <w:t>Clare</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Central Old Court plus Memorial Court; strong dining/community</w:t>
            </w:r>
          </w:p>
        </w:tc>
        <w:tc>
          <w:tcPr>
            <w:tcW w:type="dxa" w:w="3515"/>
            <w:tcMar>
              <w:top w:w="55" w:type="dxa"/>
              <w:start w:w="70" w:type="dxa"/>
              <w:bottom w:w="55" w:type="dxa"/>
              <w:end w:w="70" w:type="dxa"/>
            </w:tcMar>
            <w:vAlign w:val="top"/>
          </w:tcPr>
          <w:p>
            <w:pPr>
              <w:pStyle w:val="TableSmall"/>
            </w:pPr>
            <w:r>
              <w:rPr>
                <w:sz w:val="12"/>
              </w:rPr>
              <w:t>Rooms and access split across sites; confirm kitchen and vacation terms</w:t>
            </w:r>
          </w:p>
        </w:tc>
        <w:tc>
          <w:tcPr>
            <w:tcW w:type="dxa" w:w="1020"/>
            <w:tcMar>
              <w:top w:w="55" w:type="dxa"/>
              <w:start w:w="70" w:type="dxa"/>
              <w:bottom w:w="55" w:type="dxa"/>
              <w:end w:w="70" w:type="dxa"/>
            </w:tcMar>
            <w:vAlign w:val="top"/>
          </w:tcPr>
          <w:p>
            <w:pPr>
              <w:pStyle w:val="TableSmall"/>
            </w:pPr>
            <w:r>
              <w:rPr>
                <w:sz w:val="12"/>
              </w:rPr>
              <w:t>Centre / 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Corpus Christi</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Small, central, close-knit</w:t>
            </w:r>
          </w:p>
        </w:tc>
        <w:tc>
          <w:tcPr>
            <w:tcW w:type="dxa" w:w="3515"/>
            <w:shd w:fill="F5F7F8"/>
            <w:tcMar>
              <w:top w:w="55" w:type="dxa"/>
              <w:start w:w="70" w:type="dxa"/>
              <w:bottom w:w="55" w:type="dxa"/>
              <w:end w:w="70" w:type="dxa"/>
            </w:tcMar>
            <w:vAlign w:val="top"/>
          </w:tcPr>
          <w:p>
            <w:pPr>
              <w:pStyle w:val="TableSmall"/>
            </w:pPr>
            <w:r>
              <w:rPr>
                <w:sz w:val="12"/>
              </w:rPr>
              <w:t>Limited scale can mean fewer room types; ask about living out</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Downing</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Large neoclassical site, central-south</w:t>
            </w:r>
          </w:p>
        </w:tc>
        <w:tc>
          <w:tcPr>
            <w:tcW w:type="dxa" w:w="3515"/>
            <w:tcMar>
              <w:top w:w="55" w:type="dxa"/>
              <w:start w:w="70" w:type="dxa"/>
              <w:bottom w:w="55" w:type="dxa"/>
              <w:end w:w="70" w:type="dxa"/>
            </w:tcMar>
            <w:vAlign w:val="top"/>
          </w:tcPr>
          <w:p>
            <w:pPr>
              <w:pStyle w:val="TableSmall"/>
            </w:pPr>
            <w:r>
              <w:rPr>
                <w:sz w:val="12"/>
              </w:rPr>
              <w:t>Confirm room band, cooking and annual contract</w:t>
            </w:r>
          </w:p>
        </w:tc>
        <w:tc>
          <w:tcPr>
            <w:tcW w:type="dxa" w:w="1020"/>
            <w:tcMar>
              <w:top w:w="55" w:type="dxa"/>
              <w:start w:w="70" w:type="dxa"/>
              <w:bottom w:w="55" w:type="dxa"/>
              <w:end w:w="70" w:type="dxa"/>
            </w:tcMar>
            <w:vAlign w:val="top"/>
          </w:tcPr>
          <w:p>
            <w:pPr>
              <w:pStyle w:val="TableSmall"/>
            </w:pPr>
            <w:r>
              <w:rPr>
                <w:sz w:val="12"/>
              </w:rPr>
              <w:t>Central-south</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Emmanuel</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Central, active undergraduate community</w:t>
            </w:r>
          </w:p>
        </w:tc>
        <w:tc>
          <w:tcPr>
            <w:tcW w:type="dxa" w:w="3515"/>
            <w:shd w:fill="F5F7F8"/>
            <w:tcMar>
              <w:top w:w="55" w:type="dxa"/>
              <w:start w:w="70" w:type="dxa"/>
              <w:bottom w:w="55" w:type="dxa"/>
              <w:end w:w="70" w:type="dxa"/>
            </w:tcMar>
            <w:vAlign w:val="top"/>
          </w:tcPr>
          <w:p>
            <w:pPr>
              <w:pStyle w:val="TableSmall"/>
            </w:pPr>
            <w:r>
              <w:rPr>
                <w:sz w:val="12"/>
              </w:rPr>
              <w:t>Ask about room allocation and vacation residence</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Fitzwilliam</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Modern/traditional mix; north-west, near mature Colleges</w:t>
            </w:r>
          </w:p>
        </w:tc>
        <w:tc>
          <w:tcPr>
            <w:tcW w:type="dxa" w:w="3515"/>
            <w:tcMar>
              <w:top w:w="55" w:type="dxa"/>
              <w:start w:w="70" w:type="dxa"/>
              <w:bottom w:w="55" w:type="dxa"/>
              <w:end w:w="70" w:type="dxa"/>
            </w:tcMar>
            <w:vAlign w:val="top"/>
          </w:tcPr>
          <w:p>
            <w:pPr>
              <w:pStyle w:val="TableSmall"/>
            </w:pPr>
            <w:r>
              <w:rPr>
                <w:sz w:val="12"/>
              </w:rPr>
              <w:t>Hill location; verify family/partner accommodation</w:t>
            </w:r>
          </w:p>
        </w:tc>
        <w:tc>
          <w:tcPr>
            <w:tcW w:type="dxa" w:w="1020"/>
            <w:tcMar>
              <w:top w:w="55" w:type="dxa"/>
              <w:start w:w="70" w:type="dxa"/>
              <w:bottom w:w="55" w:type="dxa"/>
              <w:end w:w="70" w:type="dxa"/>
            </w:tcMar>
            <w:vAlign w:val="top"/>
          </w:tcPr>
          <w:p>
            <w:pPr>
              <w:pStyle w:val="TableSmall"/>
            </w:pPr>
            <w:r>
              <w:rPr>
                <w:sz w:val="12"/>
              </w:rPr>
              <w:t>North-west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Girton</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Large site and community; further from centre</w:t>
            </w:r>
          </w:p>
        </w:tc>
        <w:tc>
          <w:tcPr>
            <w:tcW w:type="dxa" w:w="3515"/>
            <w:shd w:fill="F5F7F8"/>
            <w:tcMar>
              <w:top w:w="55" w:type="dxa"/>
              <w:start w:w="70" w:type="dxa"/>
              <w:bottom w:w="55" w:type="dxa"/>
              <w:end w:w="70" w:type="dxa"/>
            </w:tcMar>
            <w:vAlign w:val="top"/>
          </w:tcPr>
          <w:p>
            <w:pPr>
              <w:pStyle w:val="TableSmall"/>
            </w:pPr>
            <w:r>
              <w:rPr>
                <w:sz w:val="12"/>
              </w:rPr>
              <w:t>Travel time is material; ask about on-site facilities and vacation stay</w:t>
            </w:r>
          </w:p>
        </w:tc>
        <w:tc>
          <w:tcPr>
            <w:tcW w:type="dxa" w:w="1020"/>
            <w:shd w:fill="F5F7F8"/>
            <w:tcMar>
              <w:top w:w="55" w:type="dxa"/>
              <w:start w:w="70" w:type="dxa"/>
              <w:bottom w:w="55" w:type="dxa"/>
              <w:end w:w="70" w:type="dxa"/>
            </w:tcMar>
            <w:vAlign w:val="top"/>
          </w:tcPr>
          <w:p>
            <w:pPr>
              <w:pStyle w:val="TableSmall"/>
            </w:pPr>
            <w:r>
              <w:rPr>
                <w:sz w:val="12"/>
              </w:rPr>
              <w:t>North-west edge</w:t>
            </w:r>
          </w:p>
        </w:tc>
      </w:tr>
      <w:tr>
        <w:trPr>
          <w:cantSplit w:val="true"/>
        </w:trPr>
        <w:tc>
          <w:tcPr>
            <w:tcW w:type="dxa" w:w="1360"/>
            <w:tcMar>
              <w:top w:w="55" w:type="dxa"/>
              <w:start w:w="70" w:type="dxa"/>
              <w:bottom w:w="55" w:type="dxa"/>
              <w:end w:w="70" w:type="dxa"/>
            </w:tcMar>
            <w:vAlign w:val="top"/>
          </w:tcPr>
          <w:p>
            <w:pPr>
              <w:pStyle w:val="TableSmall"/>
            </w:pPr>
            <w:r>
              <w:rPr>
                <w:sz w:val="12"/>
              </w:rPr>
              <w:t>Gonville &amp; Caius</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Historic central courts plus other accommodation</w:t>
            </w:r>
          </w:p>
        </w:tc>
        <w:tc>
          <w:tcPr>
            <w:tcW w:type="dxa" w:w="3515"/>
            <w:tcMar>
              <w:top w:w="55" w:type="dxa"/>
              <w:start w:w="70" w:type="dxa"/>
              <w:bottom w:w="55" w:type="dxa"/>
              <w:end w:w="70" w:type="dxa"/>
            </w:tcMar>
            <w:vAlign w:val="top"/>
          </w:tcPr>
          <w:p>
            <w:pPr>
              <w:pStyle w:val="TableSmall"/>
            </w:pPr>
            <w:r>
              <w:rPr>
                <w:sz w:val="12"/>
              </w:rPr>
              <w:t>Dining tradition strong; check site allocation and kitchens</w:t>
            </w:r>
          </w:p>
        </w:tc>
        <w:tc>
          <w:tcPr>
            <w:tcW w:type="dxa" w:w="1020"/>
            <w:tcMar>
              <w:top w:w="55" w:type="dxa"/>
              <w:start w:w="70" w:type="dxa"/>
              <w:bottom w:w="55" w:type="dxa"/>
              <w:end w:w="70" w:type="dxa"/>
            </w:tcMar>
            <w:vAlign w:val="top"/>
          </w:tcPr>
          <w:p>
            <w:pPr>
              <w:pStyle w:val="TableSmall"/>
            </w:pPr>
            <w:r>
              <w:rPr>
                <w:sz w:val="12"/>
              </w:rPr>
              <w:t>Central / 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Homerton</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Large, diverse community; south-east</w:t>
            </w:r>
          </w:p>
        </w:tc>
        <w:tc>
          <w:tcPr>
            <w:tcW w:type="dxa" w:w="3515"/>
            <w:shd w:fill="F5F7F8"/>
            <w:tcMar>
              <w:top w:w="55" w:type="dxa"/>
              <w:start w:w="70" w:type="dxa"/>
              <w:bottom w:w="55" w:type="dxa"/>
              <w:end w:w="70" w:type="dxa"/>
            </w:tcMar>
            <w:vAlign w:val="top"/>
          </w:tcPr>
          <w:p>
            <w:pPr>
              <w:pStyle w:val="TableSmall"/>
            </w:pPr>
            <w:r>
              <w:rPr>
                <w:sz w:val="12"/>
              </w:rPr>
              <w:t>Excellent for some Addenbrooke’s routes; long trip to west sites</w:t>
            </w:r>
          </w:p>
        </w:tc>
        <w:tc>
          <w:tcPr>
            <w:tcW w:type="dxa" w:w="1020"/>
            <w:shd w:fill="F5F7F8"/>
            <w:tcMar>
              <w:top w:w="55" w:type="dxa"/>
              <w:start w:w="70" w:type="dxa"/>
              <w:bottom w:w="55" w:type="dxa"/>
              <w:end w:w="70" w:type="dxa"/>
            </w:tcMar>
            <w:vAlign w:val="top"/>
          </w:tcPr>
          <w:p>
            <w:pPr>
              <w:pStyle w:val="TableSmall"/>
            </w:pPr>
            <w:r>
              <w:rPr>
                <w:sz w:val="12"/>
              </w:rPr>
              <w:t>South-east</w:t>
            </w:r>
          </w:p>
        </w:tc>
      </w:tr>
      <w:tr>
        <w:trPr>
          <w:cantSplit w:val="true"/>
        </w:trPr>
        <w:tc>
          <w:tcPr>
            <w:tcW w:type="dxa" w:w="1360"/>
            <w:tcMar>
              <w:top w:w="55" w:type="dxa"/>
              <w:start w:w="70" w:type="dxa"/>
              <w:bottom w:w="55" w:type="dxa"/>
              <w:end w:w="70" w:type="dxa"/>
            </w:tcMar>
            <w:vAlign w:val="top"/>
          </w:tcPr>
          <w:p>
            <w:pPr>
              <w:pStyle w:val="TableSmall"/>
            </w:pPr>
            <w:r>
              <w:rPr>
                <w:sz w:val="12"/>
              </w:rPr>
              <w:t>Hughes Hall</w:t>
            </w:r>
          </w:p>
        </w:tc>
        <w:tc>
          <w:tcPr>
            <w:tcW w:type="dxa" w:w="1701"/>
            <w:tcMar>
              <w:top w:w="55" w:type="dxa"/>
              <w:start w:w="70" w:type="dxa"/>
              <w:bottom w:w="55" w:type="dxa"/>
              <w:end w:w="70" w:type="dxa"/>
            </w:tcMar>
            <w:vAlign w:val="top"/>
          </w:tcPr>
          <w:p>
            <w:pPr>
              <w:pStyle w:val="TableSmall"/>
            </w:pPr>
            <w:r>
              <w:rPr>
                <w:sz w:val="12"/>
              </w:rPr>
              <w:t>Mature-only undergraduate</w:t>
            </w:r>
          </w:p>
        </w:tc>
        <w:tc>
          <w:tcPr>
            <w:tcW w:type="dxa" w:w="2438"/>
            <w:tcMar>
              <w:top w:w="55" w:type="dxa"/>
              <w:start w:w="70" w:type="dxa"/>
              <w:bottom w:w="55" w:type="dxa"/>
              <w:end w:w="70" w:type="dxa"/>
            </w:tcMar>
            <w:vAlign w:val="top"/>
          </w:tcPr>
          <w:p>
            <w:pPr>
              <w:pStyle w:val="TableSmall"/>
            </w:pPr>
            <w:r>
              <w:rPr>
                <w:sz w:val="12"/>
              </w:rPr>
              <w:t>Mixed mature undergraduate/postgraduate, international, adult atmosphere</w:t>
            </w:r>
          </w:p>
        </w:tc>
        <w:tc>
          <w:tcPr>
            <w:tcW w:type="dxa" w:w="3515"/>
            <w:tcMar>
              <w:top w:w="55" w:type="dxa"/>
              <w:start w:w="70" w:type="dxa"/>
              <w:bottom w:w="55" w:type="dxa"/>
              <w:end w:w="70" w:type="dxa"/>
            </w:tcMar>
            <w:vAlign w:val="top"/>
          </w:tcPr>
          <w:p>
            <w:pPr>
              <w:pStyle w:val="TableSmall"/>
            </w:pPr>
            <w:r>
              <w:rPr>
                <w:sz w:val="12"/>
              </w:rPr>
              <w:t>Ask about undergraduate room guarantee and family stock</w:t>
            </w:r>
          </w:p>
        </w:tc>
        <w:tc>
          <w:tcPr>
            <w:tcW w:type="dxa" w:w="1020"/>
            <w:tcMar>
              <w:top w:w="55" w:type="dxa"/>
              <w:start w:w="70" w:type="dxa"/>
              <w:bottom w:w="55" w:type="dxa"/>
              <w:end w:w="70" w:type="dxa"/>
            </w:tcMar>
            <w:vAlign w:val="top"/>
          </w:tcPr>
          <w:p>
            <w:pPr>
              <w:pStyle w:val="TableSmall"/>
            </w:pPr>
            <w:r>
              <w:rPr>
                <w:sz w:val="12"/>
              </w:rPr>
              <w:t>Central-east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Jesus</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Large green site, central-north; active clubs</w:t>
            </w:r>
          </w:p>
        </w:tc>
        <w:tc>
          <w:tcPr>
            <w:tcW w:type="dxa" w:w="3515"/>
            <w:shd w:fill="F5F7F8"/>
            <w:tcMar>
              <w:top w:w="55" w:type="dxa"/>
              <w:start w:w="70" w:type="dxa"/>
              <w:bottom w:w="55" w:type="dxa"/>
              <w:end w:w="70" w:type="dxa"/>
            </w:tcMar>
            <w:vAlign w:val="top"/>
          </w:tcPr>
          <w:p>
            <w:pPr>
              <w:pStyle w:val="TableSmall"/>
            </w:pPr>
            <w:r>
              <w:rPr>
                <w:sz w:val="12"/>
              </w:rPr>
              <w:t>Ask about room band and kitchen provision</w:t>
            </w:r>
          </w:p>
        </w:tc>
        <w:tc>
          <w:tcPr>
            <w:tcW w:type="dxa" w:w="1020"/>
            <w:shd w:fill="F5F7F8"/>
            <w:tcMar>
              <w:top w:w="55" w:type="dxa"/>
              <w:start w:w="70" w:type="dxa"/>
              <w:bottom w:w="55" w:type="dxa"/>
              <w:end w:w="70" w:type="dxa"/>
            </w:tcMar>
            <w:vAlign w:val="top"/>
          </w:tcPr>
          <w:p>
            <w:pPr>
              <w:pStyle w:val="TableSmall"/>
            </w:pPr>
            <w:r>
              <w:rPr>
                <w:sz w:val="12"/>
              </w:rPr>
              <w:t>Central-north</w:t>
            </w:r>
          </w:p>
        </w:tc>
      </w:tr>
      <w:tr>
        <w:trPr>
          <w:cantSplit w:val="true"/>
        </w:trPr>
        <w:tc>
          <w:tcPr>
            <w:tcW w:type="dxa" w:w="1360"/>
            <w:tcMar>
              <w:top w:w="55" w:type="dxa"/>
              <w:start w:w="70" w:type="dxa"/>
              <w:bottom w:w="55" w:type="dxa"/>
              <w:end w:w="70" w:type="dxa"/>
            </w:tcMar>
            <w:vAlign w:val="top"/>
          </w:tcPr>
          <w:p>
            <w:pPr>
              <w:pStyle w:val="TableSmall"/>
            </w:pPr>
            <w:r>
              <w:rPr>
                <w:sz w:val="12"/>
              </w:rPr>
              <w:t>King's</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Central, international, distinctive social/political culture</w:t>
            </w:r>
          </w:p>
        </w:tc>
        <w:tc>
          <w:tcPr>
            <w:tcW w:type="dxa" w:w="3515"/>
            <w:tcMar>
              <w:top w:w="55" w:type="dxa"/>
              <w:start w:w="70" w:type="dxa"/>
              <w:bottom w:w="55" w:type="dxa"/>
              <w:end w:w="70" w:type="dxa"/>
            </w:tcMar>
            <w:vAlign w:val="top"/>
          </w:tcPr>
          <w:p>
            <w:pPr>
              <w:pStyle w:val="TableSmall"/>
            </w:pPr>
            <w:r>
              <w:rPr>
                <w:sz w:val="12"/>
              </w:rPr>
              <w:t>Tourist-heavy location; confirm access, room and dining details</w:t>
            </w:r>
          </w:p>
        </w:tc>
        <w:tc>
          <w:tcPr>
            <w:tcW w:type="dxa" w:w="1020"/>
            <w:tcMar>
              <w:top w:w="55" w:type="dxa"/>
              <w:start w:w="70" w:type="dxa"/>
              <w:bottom w:w="55" w:type="dxa"/>
              <w:end w:w="70" w:type="dxa"/>
            </w:tcMar>
            <w:vAlign w:val="top"/>
          </w:tcPr>
          <w:p>
            <w:pPr>
              <w:pStyle w:val="TableSmall"/>
            </w:pPr>
            <w:r>
              <w:rPr>
                <w:sz w:val="12"/>
              </w:rPr>
              <w:t>Central</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Lucy Cavendish</w:t>
            </w:r>
          </w:p>
        </w:tc>
        <w:tc>
          <w:tcPr>
            <w:tcW w:type="dxa" w:w="1701"/>
            <w:shd w:fill="F5F7F8"/>
            <w:tcMar>
              <w:top w:w="55" w:type="dxa"/>
              <w:start w:w="70" w:type="dxa"/>
              <w:bottom w:w="55" w:type="dxa"/>
              <w:end w:w="70" w:type="dxa"/>
            </w:tcMar>
            <w:vAlign w:val="top"/>
          </w:tcPr>
          <w:p>
            <w:pPr>
              <w:pStyle w:val="TableSmall"/>
            </w:pPr>
            <w:r>
              <w:rPr>
                <w:sz w:val="12"/>
              </w:rPr>
              <w:t>All-age undergraduate since 2021; historically mature/women</w:t>
            </w:r>
          </w:p>
        </w:tc>
        <w:tc>
          <w:tcPr>
            <w:tcW w:type="dxa" w:w="2438"/>
            <w:shd w:fill="F5F7F8"/>
            <w:tcMar>
              <w:top w:w="55" w:type="dxa"/>
              <w:start w:w="70" w:type="dxa"/>
              <w:bottom w:w="55" w:type="dxa"/>
              <w:end w:w="70" w:type="dxa"/>
            </w:tcMar>
            <w:vAlign w:val="top"/>
          </w:tcPr>
          <w:p>
            <w:pPr>
              <w:pStyle w:val="TableSmall"/>
            </w:pPr>
            <w:r>
              <w:rPr>
                <w:sz w:val="12"/>
              </w:rPr>
              <w:t>Diverse, modernising, strong non-traditional heritage</w:t>
            </w:r>
          </w:p>
        </w:tc>
        <w:tc>
          <w:tcPr>
            <w:tcW w:type="dxa" w:w="3515"/>
            <w:shd w:fill="F5F7F8"/>
            <w:tcMar>
              <w:top w:w="55" w:type="dxa"/>
              <w:start w:w="70" w:type="dxa"/>
              <w:bottom w:w="55" w:type="dxa"/>
              <w:end w:w="70" w:type="dxa"/>
            </w:tcMar>
            <w:vAlign w:val="top"/>
          </w:tcPr>
          <w:p>
            <w:pPr>
              <w:pStyle w:val="TableSmall"/>
            </w:pPr>
            <w:r>
              <w:rPr>
                <w:sz w:val="12"/>
              </w:rPr>
              <w:t>Current age mix is changing; verify family and accommodation offer</w:t>
            </w:r>
          </w:p>
        </w:tc>
        <w:tc>
          <w:tcPr>
            <w:tcW w:type="dxa" w:w="1020"/>
            <w:shd w:fill="F5F7F8"/>
            <w:tcMar>
              <w:top w:w="55" w:type="dxa"/>
              <w:start w:w="70" w:type="dxa"/>
              <w:bottom w:w="55" w:type="dxa"/>
              <w:end w:w="70" w:type="dxa"/>
            </w:tcMar>
            <w:vAlign w:val="top"/>
          </w:tcPr>
          <w:p>
            <w:pPr>
              <w:pStyle w:val="TableSmall"/>
            </w:pPr>
            <w:r>
              <w:rPr>
                <w:sz w:val="12"/>
              </w:rPr>
              <w:t>North-west</w:t>
            </w:r>
          </w:p>
        </w:tc>
      </w:tr>
      <w:tr>
        <w:trPr>
          <w:cantSplit w:val="true"/>
        </w:trPr>
        <w:tc>
          <w:tcPr>
            <w:tcW w:type="dxa" w:w="1360"/>
            <w:tcMar>
              <w:top w:w="55" w:type="dxa"/>
              <w:start w:w="70" w:type="dxa"/>
              <w:bottom w:w="55" w:type="dxa"/>
              <w:end w:w="70" w:type="dxa"/>
            </w:tcMar>
            <w:vAlign w:val="top"/>
          </w:tcPr>
          <w:p>
            <w:pPr>
              <w:pStyle w:val="TableSmall"/>
            </w:pPr>
            <w:r>
              <w:rPr>
                <w:sz w:val="12"/>
              </w:rPr>
              <w:t>Magdalene</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Small historic College by river; traditional dining</w:t>
            </w:r>
          </w:p>
        </w:tc>
        <w:tc>
          <w:tcPr>
            <w:tcW w:type="dxa" w:w="3515"/>
            <w:tcMar>
              <w:top w:w="55" w:type="dxa"/>
              <w:start w:w="70" w:type="dxa"/>
              <w:bottom w:w="55" w:type="dxa"/>
              <w:end w:w="70" w:type="dxa"/>
            </w:tcMar>
            <w:vAlign w:val="top"/>
          </w:tcPr>
          <w:p>
            <w:pPr>
              <w:pStyle w:val="TableSmall"/>
            </w:pPr>
            <w:r>
              <w:rPr>
                <w:sz w:val="12"/>
              </w:rPr>
              <w:t>Old buildings and access; limited scale; verify rooms</w:t>
            </w:r>
          </w:p>
        </w:tc>
        <w:tc>
          <w:tcPr>
            <w:tcW w:type="dxa" w:w="1020"/>
            <w:tcMar>
              <w:top w:w="55" w:type="dxa"/>
              <w:start w:w="70" w:type="dxa"/>
              <w:bottom w:w="55" w:type="dxa"/>
              <w:end w:w="70" w:type="dxa"/>
            </w:tcMar>
            <w:vAlign w:val="top"/>
          </w:tcPr>
          <w:p>
            <w:pPr>
              <w:pStyle w:val="TableSmall"/>
            </w:pPr>
            <w:r>
              <w:rPr>
                <w:sz w:val="12"/>
              </w:rPr>
              <w:t>North</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Murray Edwards</w:t>
            </w:r>
          </w:p>
        </w:tc>
        <w:tc>
          <w:tcPr>
            <w:tcW w:type="dxa" w:w="1701"/>
            <w:shd w:fill="F5F7F8"/>
            <w:tcMar>
              <w:top w:w="55" w:type="dxa"/>
              <w:start w:w="70" w:type="dxa"/>
              <w:bottom w:w="55" w:type="dxa"/>
              <w:end w:w="70" w:type="dxa"/>
            </w:tcMar>
            <w:vAlign w:val="top"/>
          </w:tcPr>
          <w:p>
            <w:pPr>
              <w:pStyle w:val="TableSmall"/>
            </w:pPr>
            <w:r>
              <w:rPr>
                <w:sz w:val="12"/>
              </w:rPr>
              <w:t>Women students; all-age undergraduate</w:t>
            </w:r>
          </w:p>
        </w:tc>
        <w:tc>
          <w:tcPr>
            <w:tcW w:type="dxa" w:w="2438"/>
            <w:shd w:fill="F5F7F8"/>
            <w:tcMar>
              <w:top w:w="55" w:type="dxa"/>
              <w:start w:w="70" w:type="dxa"/>
              <w:bottom w:w="55" w:type="dxa"/>
              <w:end w:w="70" w:type="dxa"/>
            </w:tcMar>
            <w:vAlign w:val="top"/>
          </w:tcPr>
          <w:p>
            <w:pPr>
              <w:pStyle w:val="TableSmall"/>
            </w:pPr>
            <w:r>
              <w:rPr>
                <w:sz w:val="12"/>
              </w:rPr>
              <w:t>Modern, women-centred, gardens, kitchens often valued</w:t>
            </w:r>
          </w:p>
        </w:tc>
        <w:tc>
          <w:tcPr>
            <w:tcW w:type="dxa" w:w="3515"/>
            <w:shd w:fill="F5F7F8"/>
            <w:tcMar>
              <w:top w:w="55" w:type="dxa"/>
              <w:start w:w="70" w:type="dxa"/>
              <w:bottom w:w="55" w:type="dxa"/>
              <w:end w:w="70" w:type="dxa"/>
            </w:tcMar>
            <w:vAlign w:val="top"/>
          </w:tcPr>
          <w:p>
            <w:pPr>
              <w:pStyle w:val="TableSmall"/>
            </w:pPr>
            <w:r>
              <w:rPr>
                <w:sz w:val="12"/>
              </w:rPr>
              <w:t>Check current gender eligibility policy and exact accommodation</w:t>
            </w:r>
          </w:p>
        </w:tc>
        <w:tc>
          <w:tcPr>
            <w:tcW w:type="dxa" w:w="1020"/>
            <w:shd w:fill="F5F7F8"/>
            <w:tcMar>
              <w:top w:w="55" w:type="dxa"/>
              <w:start w:w="70" w:type="dxa"/>
              <w:bottom w:w="55" w:type="dxa"/>
              <w:end w:w="70" w:type="dxa"/>
            </w:tcMar>
            <w:vAlign w:val="top"/>
          </w:tcPr>
          <w:p>
            <w:pPr>
              <w:pStyle w:val="TableSmall"/>
            </w:pPr>
            <w:r>
              <w:rPr>
                <w:sz w:val="12"/>
              </w:rPr>
              <w:t>North-west</w:t>
            </w:r>
          </w:p>
        </w:tc>
      </w:tr>
      <w:tr>
        <w:trPr>
          <w:cantSplit w:val="true"/>
        </w:trPr>
        <w:tc>
          <w:tcPr>
            <w:tcW w:type="dxa" w:w="1360"/>
            <w:tcMar>
              <w:top w:w="55" w:type="dxa"/>
              <w:start w:w="70" w:type="dxa"/>
              <w:bottom w:w="55" w:type="dxa"/>
              <w:end w:w="70" w:type="dxa"/>
            </w:tcMar>
            <w:vAlign w:val="top"/>
          </w:tcPr>
          <w:p>
            <w:pPr>
              <w:pStyle w:val="TableSmall"/>
            </w:pPr>
            <w:r>
              <w:rPr>
                <w:sz w:val="12"/>
              </w:rPr>
              <w:t>Newnham</w:t>
            </w:r>
          </w:p>
        </w:tc>
        <w:tc>
          <w:tcPr>
            <w:tcW w:type="dxa" w:w="1701"/>
            <w:tcMar>
              <w:top w:w="55" w:type="dxa"/>
              <w:start w:w="70" w:type="dxa"/>
              <w:bottom w:w="55" w:type="dxa"/>
              <w:end w:w="70" w:type="dxa"/>
            </w:tcMar>
            <w:vAlign w:val="top"/>
          </w:tcPr>
          <w:p>
            <w:pPr>
              <w:pStyle w:val="TableSmall"/>
            </w:pPr>
            <w:r>
              <w:rPr>
                <w:sz w:val="12"/>
              </w:rPr>
              <w:t>Women students; all-age undergraduate</w:t>
            </w:r>
          </w:p>
        </w:tc>
        <w:tc>
          <w:tcPr>
            <w:tcW w:type="dxa" w:w="2438"/>
            <w:tcMar>
              <w:top w:w="55" w:type="dxa"/>
              <w:start w:w="70" w:type="dxa"/>
              <w:bottom w:w="55" w:type="dxa"/>
              <w:end w:w="70" w:type="dxa"/>
            </w:tcMar>
            <w:vAlign w:val="top"/>
          </w:tcPr>
          <w:p>
            <w:pPr>
              <w:pStyle w:val="TableSmall"/>
            </w:pPr>
            <w:r>
              <w:rPr>
                <w:sz w:val="12"/>
              </w:rPr>
              <w:t>Large gardens, strong women’s history and community</w:t>
            </w:r>
          </w:p>
        </w:tc>
        <w:tc>
          <w:tcPr>
            <w:tcW w:type="dxa" w:w="3515"/>
            <w:tcMar>
              <w:top w:w="55" w:type="dxa"/>
              <w:start w:w="70" w:type="dxa"/>
              <w:bottom w:w="55" w:type="dxa"/>
              <w:end w:w="70" w:type="dxa"/>
            </w:tcMar>
            <w:vAlign w:val="top"/>
          </w:tcPr>
          <w:p>
            <w:pPr>
              <w:pStyle w:val="TableSmall"/>
            </w:pPr>
            <w:r>
              <w:rPr>
                <w:sz w:val="12"/>
              </w:rPr>
              <w:t>Check current gender eligibility, room contract and cooking</w:t>
            </w:r>
          </w:p>
        </w:tc>
        <w:tc>
          <w:tcPr>
            <w:tcW w:type="dxa" w:w="1020"/>
            <w:tcMar>
              <w:top w:w="55" w:type="dxa"/>
              <w:start w:w="70" w:type="dxa"/>
              <w:bottom w:w="55" w:type="dxa"/>
              <w:end w:w="70" w:type="dxa"/>
            </w:tcMar>
            <w:vAlign w:val="top"/>
          </w:tcPr>
          <w:p>
            <w:pPr>
              <w:pStyle w:val="TableSmall"/>
            </w:pPr>
            <w:r>
              <w:rPr>
                <w:sz w:val="12"/>
              </w:rPr>
              <w:t>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Pembroke</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Central, compact, strong dining tradition</w:t>
            </w:r>
          </w:p>
        </w:tc>
        <w:tc>
          <w:tcPr>
            <w:tcW w:type="dxa" w:w="3515"/>
            <w:shd w:fill="F5F7F8"/>
            <w:tcMar>
              <w:top w:w="55" w:type="dxa"/>
              <w:start w:w="70" w:type="dxa"/>
              <w:bottom w:w="55" w:type="dxa"/>
              <w:end w:w="70" w:type="dxa"/>
            </w:tcMar>
            <w:vAlign w:val="top"/>
          </w:tcPr>
          <w:p>
            <w:pPr>
              <w:pStyle w:val="TableSmall"/>
            </w:pPr>
            <w:r>
              <w:rPr>
                <w:sz w:val="12"/>
              </w:rPr>
              <w:t>Ask about room site and vacation availability</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Peterhouse</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Small, highly traditional, central-south</w:t>
            </w:r>
          </w:p>
        </w:tc>
        <w:tc>
          <w:tcPr>
            <w:tcW w:type="dxa" w:w="3515"/>
            <w:tcMar>
              <w:top w:w="55" w:type="dxa"/>
              <w:start w:w="70" w:type="dxa"/>
              <w:bottom w:w="55" w:type="dxa"/>
              <w:end w:w="70" w:type="dxa"/>
            </w:tcMar>
            <w:vAlign w:val="top"/>
          </w:tcPr>
          <w:p>
            <w:pPr>
              <w:pStyle w:val="TableSmall"/>
            </w:pPr>
            <w:r>
              <w:rPr>
                <w:sz w:val="12"/>
              </w:rPr>
              <w:t>Traditional culture may delight or constrain; inspect access and room rules</w:t>
            </w:r>
          </w:p>
        </w:tc>
        <w:tc>
          <w:tcPr>
            <w:tcW w:type="dxa" w:w="1020"/>
            <w:tcMar>
              <w:top w:w="55" w:type="dxa"/>
              <w:start w:w="70" w:type="dxa"/>
              <w:bottom w:w="55" w:type="dxa"/>
              <w:end w:w="70" w:type="dxa"/>
            </w:tcMar>
            <w:vAlign w:val="top"/>
          </w:tcPr>
          <w:p>
            <w:pPr>
              <w:pStyle w:val="TableSmall"/>
            </w:pPr>
            <w:r>
              <w:rPr>
                <w:sz w:val="12"/>
              </w:rPr>
              <w:t>Central-south</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Queens'</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Central river College; busy undergraduate community</w:t>
            </w:r>
          </w:p>
        </w:tc>
        <w:tc>
          <w:tcPr>
            <w:tcW w:type="dxa" w:w="3515"/>
            <w:shd w:fill="F5F7F8"/>
            <w:tcMar>
              <w:top w:w="55" w:type="dxa"/>
              <w:start w:w="70" w:type="dxa"/>
              <w:bottom w:w="55" w:type="dxa"/>
              <w:end w:w="70" w:type="dxa"/>
            </w:tcMar>
            <w:vAlign w:val="top"/>
          </w:tcPr>
          <w:p>
            <w:pPr>
              <w:pStyle w:val="TableSmall"/>
            </w:pPr>
            <w:r>
              <w:rPr>
                <w:sz w:val="12"/>
              </w:rPr>
              <w:t>Old/new courts vary; ask about accessibility and cooking</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Robinson</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Modern red-brick, west, integrated site</w:t>
            </w:r>
          </w:p>
        </w:tc>
        <w:tc>
          <w:tcPr>
            <w:tcW w:type="dxa" w:w="3515"/>
            <w:tcMar>
              <w:top w:w="55" w:type="dxa"/>
              <w:start w:w="70" w:type="dxa"/>
              <w:bottom w:w="55" w:type="dxa"/>
              <w:end w:w="70" w:type="dxa"/>
            </w:tcMar>
            <w:vAlign w:val="top"/>
          </w:tcPr>
          <w:p>
            <w:pPr>
              <w:pStyle w:val="TableSmall"/>
            </w:pPr>
            <w:r>
              <w:rPr>
                <w:sz w:val="12"/>
              </w:rPr>
              <w:t>Ask about family stock and summer use</w:t>
            </w:r>
          </w:p>
        </w:tc>
        <w:tc>
          <w:tcPr>
            <w:tcW w:type="dxa" w:w="1020"/>
            <w:tcMar>
              <w:top w:w="55" w:type="dxa"/>
              <w:start w:w="70" w:type="dxa"/>
              <w:bottom w:w="55" w:type="dxa"/>
              <w:end w:w="70" w:type="dxa"/>
            </w:tcMar>
            <w:vAlign w:val="top"/>
          </w:tcPr>
          <w:p>
            <w:pPr>
              <w:pStyle w:val="TableSmall"/>
            </w:pPr>
            <w:r>
              <w:rPr>
                <w:sz w:val="12"/>
              </w:rPr>
              <w:t>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Selwyn</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West, near Sidgwick; residential and sociable</w:t>
            </w:r>
          </w:p>
        </w:tc>
        <w:tc>
          <w:tcPr>
            <w:tcW w:type="dxa" w:w="3515"/>
            <w:shd w:fill="F5F7F8"/>
            <w:tcMar>
              <w:top w:w="55" w:type="dxa"/>
              <w:start w:w="70" w:type="dxa"/>
              <w:bottom w:w="55" w:type="dxa"/>
              <w:end w:w="70" w:type="dxa"/>
            </w:tcMar>
            <w:vAlign w:val="top"/>
          </w:tcPr>
          <w:p>
            <w:pPr>
              <w:pStyle w:val="TableSmall"/>
            </w:pPr>
            <w:r>
              <w:rPr>
                <w:sz w:val="12"/>
              </w:rPr>
              <w:t>Humanities-friendly location; check room and vacation terms</w:t>
            </w:r>
          </w:p>
        </w:tc>
        <w:tc>
          <w:tcPr>
            <w:tcW w:type="dxa" w:w="1020"/>
            <w:shd w:fill="F5F7F8"/>
            <w:tcMar>
              <w:top w:w="55" w:type="dxa"/>
              <w:start w:w="70" w:type="dxa"/>
              <w:bottom w:w="55" w:type="dxa"/>
              <w:end w:w="70" w:type="dxa"/>
            </w:tcMar>
            <w:vAlign w:val="top"/>
          </w:tcPr>
          <w:p>
            <w:pPr>
              <w:pStyle w:val="TableSmall"/>
            </w:pPr>
            <w:r>
              <w:rPr>
                <w:sz w:val="12"/>
              </w:rPr>
              <w:t>West</w:t>
            </w:r>
          </w:p>
        </w:tc>
      </w:tr>
      <w:tr>
        <w:trPr>
          <w:cantSplit w:val="true"/>
        </w:trPr>
        <w:tc>
          <w:tcPr>
            <w:tcW w:type="dxa" w:w="1360"/>
            <w:tcMar>
              <w:top w:w="55" w:type="dxa"/>
              <w:start w:w="70" w:type="dxa"/>
              <w:bottom w:w="55" w:type="dxa"/>
              <w:end w:w="70" w:type="dxa"/>
            </w:tcMar>
            <w:vAlign w:val="top"/>
          </w:tcPr>
          <w:p>
            <w:pPr>
              <w:pStyle w:val="TableSmall"/>
            </w:pPr>
            <w:r>
              <w:rPr>
                <w:sz w:val="12"/>
              </w:rPr>
              <w:t>Sidney Sussex</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Small, very central</w:t>
            </w:r>
          </w:p>
        </w:tc>
        <w:tc>
          <w:tcPr>
            <w:tcW w:type="dxa" w:w="3515"/>
            <w:tcMar>
              <w:top w:w="55" w:type="dxa"/>
              <w:start w:w="70" w:type="dxa"/>
              <w:bottom w:w="55" w:type="dxa"/>
              <w:end w:w="70" w:type="dxa"/>
            </w:tcMar>
            <w:vAlign w:val="top"/>
          </w:tcPr>
          <w:p>
            <w:pPr>
              <w:pStyle w:val="TableSmall"/>
            </w:pPr>
            <w:r>
              <w:rPr>
                <w:sz w:val="12"/>
              </w:rPr>
              <w:t>City-centre noise/space; check room allocation and kitchens</w:t>
            </w:r>
          </w:p>
        </w:tc>
        <w:tc>
          <w:tcPr>
            <w:tcW w:type="dxa" w:w="1020"/>
            <w:tcMar>
              <w:top w:w="55" w:type="dxa"/>
              <w:start w:w="70" w:type="dxa"/>
              <w:bottom w:w="55" w:type="dxa"/>
              <w:end w:w="70" w:type="dxa"/>
            </w:tcMar>
            <w:vAlign w:val="top"/>
          </w:tcPr>
          <w:p>
            <w:pPr>
              <w:pStyle w:val="TableSmall"/>
            </w:pPr>
            <w:r>
              <w:rPr>
                <w:sz w:val="12"/>
              </w:rPr>
              <w:t>Central</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St Catharine's</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Central, compact, active community</w:t>
            </w:r>
          </w:p>
        </w:tc>
        <w:tc>
          <w:tcPr>
            <w:tcW w:type="dxa" w:w="3515"/>
            <w:shd w:fill="F5F7F8"/>
            <w:tcMar>
              <w:top w:w="55" w:type="dxa"/>
              <w:start w:w="70" w:type="dxa"/>
              <w:bottom w:w="55" w:type="dxa"/>
              <w:end w:w="70" w:type="dxa"/>
            </w:tcMar>
            <w:vAlign w:val="top"/>
          </w:tcPr>
          <w:p>
            <w:pPr>
              <w:pStyle w:val="TableSmall"/>
            </w:pPr>
            <w:r>
              <w:rPr>
                <w:sz w:val="12"/>
              </w:rPr>
              <w:t>Ask about accommodation site, formalwear and access</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St Edmund's</w:t>
            </w:r>
          </w:p>
        </w:tc>
        <w:tc>
          <w:tcPr>
            <w:tcW w:type="dxa" w:w="1701"/>
            <w:tcMar>
              <w:top w:w="55" w:type="dxa"/>
              <w:start w:w="70" w:type="dxa"/>
              <w:bottom w:w="55" w:type="dxa"/>
              <w:end w:w="70" w:type="dxa"/>
            </w:tcMar>
            <w:vAlign w:val="top"/>
          </w:tcPr>
          <w:p>
            <w:pPr>
              <w:pStyle w:val="TableSmall"/>
            </w:pPr>
            <w:r>
              <w:rPr>
                <w:sz w:val="12"/>
              </w:rPr>
              <w:t>Mature-only undergraduate</w:t>
            </w:r>
          </w:p>
        </w:tc>
        <w:tc>
          <w:tcPr>
            <w:tcW w:type="dxa" w:w="2438"/>
            <w:tcMar>
              <w:top w:w="55" w:type="dxa"/>
              <w:start w:w="70" w:type="dxa"/>
              <w:bottom w:w="55" w:type="dxa"/>
              <w:end w:w="70" w:type="dxa"/>
            </w:tcMar>
            <w:vAlign w:val="top"/>
          </w:tcPr>
          <w:p>
            <w:pPr>
              <w:pStyle w:val="TableSmall"/>
            </w:pPr>
            <w:r>
              <w:rPr>
                <w:sz w:val="12"/>
              </w:rPr>
              <w:t>Mature and postgraduate mix; international; no separate High Table at Formal</w:t>
            </w:r>
          </w:p>
        </w:tc>
        <w:tc>
          <w:tcPr>
            <w:tcW w:type="dxa" w:w="3515"/>
            <w:tcMar>
              <w:top w:w="55" w:type="dxa"/>
              <w:start w:w="70" w:type="dxa"/>
              <w:bottom w:w="55" w:type="dxa"/>
              <w:end w:w="70" w:type="dxa"/>
            </w:tcMar>
            <w:vAlign w:val="top"/>
          </w:tcPr>
          <w:p>
            <w:pPr>
              <w:pStyle w:val="TableSmall"/>
            </w:pPr>
            <w:r>
              <w:rPr>
                <w:sz w:val="12"/>
              </w:rPr>
              <w:t>Hill location; verify room/family availability and dining rules</w:t>
            </w:r>
          </w:p>
        </w:tc>
        <w:tc>
          <w:tcPr>
            <w:tcW w:type="dxa" w:w="1020"/>
            <w:tcMar>
              <w:top w:w="55" w:type="dxa"/>
              <w:start w:w="70" w:type="dxa"/>
              <w:bottom w:w="55" w:type="dxa"/>
              <w:end w:w="70" w:type="dxa"/>
            </w:tcMar>
            <w:vAlign w:val="top"/>
          </w:tcPr>
          <w:p>
            <w:pPr>
              <w:pStyle w:val="TableSmall"/>
            </w:pPr>
            <w:r>
              <w:rPr>
                <w:sz w:val="12"/>
              </w:rPr>
              <w:t>North-west</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St John's</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Large, wealthy, extensive grounds and facilities</w:t>
            </w:r>
          </w:p>
        </w:tc>
        <w:tc>
          <w:tcPr>
            <w:tcW w:type="dxa" w:w="3515"/>
            <w:shd w:fill="F5F7F8"/>
            <w:tcMar>
              <w:top w:w="55" w:type="dxa"/>
              <w:start w:w="70" w:type="dxa"/>
              <w:bottom w:w="55" w:type="dxa"/>
              <w:end w:w="70" w:type="dxa"/>
            </w:tcMar>
            <w:vAlign w:val="top"/>
          </w:tcPr>
          <w:p>
            <w:pPr>
              <w:pStyle w:val="TableSmall"/>
            </w:pPr>
            <w:r>
              <w:rPr>
                <w:sz w:val="12"/>
              </w:rPr>
              <w:t>Scale and tradition; verify room contract and guest rules</w:t>
            </w:r>
          </w:p>
        </w:tc>
        <w:tc>
          <w:tcPr>
            <w:tcW w:type="dxa" w:w="1020"/>
            <w:shd w:fill="F5F7F8"/>
            <w:tcMar>
              <w:top w:w="55" w:type="dxa"/>
              <w:start w:w="70" w:type="dxa"/>
              <w:bottom w:w="55" w:type="dxa"/>
              <w:end w:w="70" w:type="dxa"/>
            </w:tcMar>
            <w:vAlign w:val="top"/>
          </w:tcPr>
          <w:p>
            <w:pPr>
              <w:pStyle w:val="TableSmall"/>
            </w:pPr>
            <w:r>
              <w:rPr>
                <w:sz w:val="12"/>
              </w:rPr>
              <w:t>Central-north</w:t>
            </w:r>
          </w:p>
        </w:tc>
      </w:tr>
      <w:tr>
        <w:trPr>
          <w:cantSplit w:val="true"/>
        </w:trPr>
        <w:tc>
          <w:tcPr>
            <w:tcW w:type="dxa" w:w="1360"/>
            <w:tcMar>
              <w:top w:w="55" w:type="dxa"/>
              <w:start w:w="70" w:type="dxa"/>
              <w:bottom w:w="55" w:type="dxa"/>
              <w:end w:w="70" w:type="dxa"/>
            </w:tcMar>
            <w:vAlign w:val="top"/>
          </w:tcPr>
          <w:p>
            <w:pPr>
              <w:pStyle w:val="TableSmall"/>
            </w:pPr>
            <w:r>
              <w:rPr>
                <w:sz w:val="12"/>
              </w:rPr>
              <w:t>Trinity</w:t>
            </w:r>
          </w:p>
        </w:tc>
        <w:tc>
          <w:tcPr>
            <w:tcW w:type="dxa" w:w="1701"/>
            <w:tcMar>
              <w:top w:w="55" w:type="dxa"/>
              <w:start w:w="70" w:type="dxa"/>
              <w:bottom w:w="55" w:type="dxa"/>
              <w:end w:w="70" w:type="dxa"/>
            </w:tcMar>
            <w:vAlign w:val="top"/>
          </w:tcPr>
          <w:p>
            <w:pPr>
              <w:pStyle w:val="TableSmall"/>
            </w:pPr>
            <w:r>
              <w:rPr>
                <w:sz w:val="12"/>
              </w:rPr>
              <w:t>All-age undergraduate</w:t>
            </w:r>
          </w:p>
        </w:tc>
        <w:tc>
          <w:tcPr>
            <w:tcW w:type="dxa" w:w="2438"/>
            <w:tcMar>
              <w:top w:w="55" w:type="dxa"/>
              <w:start w:w="70" w:type="dxa"/>
              <w:bottom w:w="55" w:type="dxa"/>
              <w:end w:w="70" w:type="dxa"/>
            </w:tcMar>
            <w:vAlign w:val="top"/>
          </w:tcPr>
          <w:p>
            <w:pPr>
              <w:pStyle w:val="TableSmall"/>
            </w:pPr>
            <w:r>
              <w:rPr>
                <w:sz w:val="12"/>
              </w:rPr>
              <w:t>Large, central, extensive resources and tradition</w:t>
            </w:r>
          </w:p>
        </w:tc>
        <w:tc>
          <w:tcPr>
            <w:tcW w:type="dxa" w:w="3515"/>
            <w:tcMar>
              <w:top w:w="55" w:type="dxa"/>
              <w:start w:w="70" w:type="dxa"/>
              <w:bottom w:w="55" w:type="dxa"/>
              <w:end w:w="70" w:type="dxa"/>
            </w:tcMar>
            <w:vAlign w:val="top"/>
          </w:tcPr>
          <w:p>
            <w:pPr>
              <w:pStyle w:val="TableSmall"/>
            </w:pPr>
            <w:r>
              <w:rPr>
                <w:sz w:val="12"/>
              </w:rPr>
              <w:t>Ask about room location, dining costs and vacation residence</w:t>
            </w:r>
          </w:p>
        </w:tc>
        <w:tc>
          <w:tcPr>
            <w:tcW w:type="dxa" w:w="1020"/>
            <w:tcMar>
              <w:top w:w="55" w:type="dxa"/>
              <w:start w:w="70" w:type="dxa"/>
              <w:bottom w:w="55" w:type="dxa"/>
              <w:end w:w="70" w:type="dxa"/>
            </w:tcMar>
            <w:vAlign w:val="top"/>
          </w:tcPr>
          <w:p>
            <w:pPr>
              <w:pStyle w:val="TableSmall"/>
            </w:pPr>
            <w:r>
              <w:rPr>
                <w:sz w:val="12"/>
              </w:rPr>
              <w:t>Central</w:t>
            </w:r>
          </w:p>
        </w:tc>
      </w:tr>
      <w:tr>
        <w:trPr>
          <w:cantSplit w:val="true"/>
        </w:trPr>
        <w:tc>
          <w:tcPr>
            <w:tcW w:type="dxa" w:w="1360"/>
            <w:shd w:fill="F5F7F8"/>
            <w:tcMar>
              <w:top w:w="55" w:type="dxa"/>
              <w:start w:w="70" w:type="dxa"/>
              <w:bottom w:w="55" w:type="dxa"/>
              <w:end w:w="70" w:type="dxa"/>
            </w:tcMar>
            <w:vAlign w:val="top"/>
          </w:tcPr>
          <w:p>
            <w:pPr>
              <w:pStyle w:val="TableSmall"/>
            </w:pPr>
            <w:r>
              <w:rPr>
                <w:sz w:val="12"/>
              </w:rPr>
              <w:t>Trinity Hall</w:t>
            </w:r>
          </w:p>
        </w:tc>
        <w:tc>
          <w:tcPr>
            <w:tcW w:type="dxa" w:w="1701"/>
            <w:shd w:fill="F5F7F8"/>
            <w:tcMar>
              <w:top w:w="55" w:type="dxa"/>
              <w:start w:w="70" w:type="dxa"/>
              <w:bottom w:w="55" w:type="dxa"/>
              <w:end w:w="70" w:type="dxa"/>
            </w:tcMar>
            <w:vAlign w:val="top"/>
          </w:tcPr>
          <w:p>
            <w:pPr>
              <w:pStyle w:val="TableSmall"/>
            </w:pPr>
            <w:r>
              <w:rPr>
                <w:sz w:val="12"/>
              </w:rPr>
              <w:t>All-age undergraduate</w:t>
            </w:r>
          </w:p>
        </w:tc>
        <w:tc>
          <w:tcPr>
            <w:tcW w:type="dxa" w:w="2438"/>
            <w:shd w:fill="F5F7F8"/>
            <w:tcMar>
              <w:top w:w="55" w:type="dxa"/>
              <w:start w:w="70" w:type="dxa"/>
              <w:bottom w:w="55" w:type="dxa"/>
              <w:end w:w="70" w:type="dxa"/>
            </w:tcMar>
            <w:vAlign w:val="top"/>
          </w:tcPr>
          <w:p>
            <w:pPr>
              <w:pStyle w:val="TableSmall"/>
            </w:pPr>
            <w:r>
              <w:rPr>
                <w:sz w:val="12"/>
              </w:rPr>
              <w:t>Small, central river College; close community</w:t>
            </w:r>
          </w:p>
        </w:tc>
        <w:tc>
          <w:tcPr>
            <w:tcW w:type="dxa" w:w="3515"/>
            <w:shd w:fill="F5F7F8"/>
            <w:tcMar>
              <w:top w:w="55" w:type="dxa"/>
              <w:start w:w="70" w:type="dxa"/>
              <w:bottom w:w="55" w:type="dxa"/>
              <w:end w:w="70" w:type="dxa"/>
            </w:tcMar>
            <w:vAlign w:val="top"/>
          </w:tcPr>
          <w:p>
            <w:pPr>
              <w:pStyle w:val="TableSmall"/>
            </w:pPr>
            <w:r>
              <w:rPr>
                <w:sz w:val="12"/>
              </w:rPr>
              <w:t>Limited scale; verify room years and living-out route</w:t>
            </w:r>
          </w:p>
        </w:tc>
        <w:tc>
          <w:tcPr>
            <w:tcW w:type="dxa" w:w="1020"/>
            <w:shd w:fill="F5F7F8"/>
            <w:tcMar>
              <w:top w:w="55" w:type="dxa"/>
              <w:start w:w="70" w:type="dxa"/>
              <w:bottom w:w="55" w:type="dxa"/>
              <w:end w:w="70" w:type="dxa"/>
            </w:tcMar>
            <w:vAlign w:val="top"/>
          </w:tcPr>
          <w:p>
            <w:pPr>
              <w:pStyle w:val="TableSmall"/>
            </w:pPr>
            <w:r>
              <w:rPr>
                <w:sz w:val="12"/>
              </w:rPr>
              <w:t>Central</w:t>
            </w:r>
          </w:p>
        </w:tc>
      </w:tr>
      <w:tr>
        <w:trPr>
          <w:cantSplit w:val="true"/>
        </w:trPr>
        <w:tc>
          <w:tcPr>
            <w:tcW w:type="dxa" w:w="1360"/>
            <w:tcMar>
              <w:top w:w="55" w:type="dxa"/>
              <w:start w:w="70" w:type="dxa"/>
              <w:bottom w:w="55" w:type="dxa"/>
              <w:end w:w="70" w:type="dxa"/>
            </w:tcMar>
            <w:vAlign w:val="top"/>
          </w:tcPr>
          <w:p>
            <w:pPr>
              <w:pStyle w:val="TableSmall"/>
            </w:pPr>
            <w:r>
              <w:rPr>
                <w:sz w:val="12"/>
              </w:rPr>
              <w:t>Wolfson</w:t>
            </w:r>
          </w:p>
        </w:tc>
        <w:tc>
          <w:tcPr>
            <w:tcW w:type="dxa" w:w="1701"/>
            <w:tcMar>
              <w:top w:w="55" w:type="dxa"/>
              <w:start w:w="70" w:type="dxa"/>
              <w:bottom w:w="55" w:type="dxa"/>
              <w:end w:w="70" w:type="dxa"/>
            </w:tcMar>
            <w:vAlign w:val="top"/>
          </w:tcPr>
          <w:p>
            <w:pPr>
              <w:pStyle w:val="TableSmall"/>
            </w:pPr>
            <w:r>
              <w:rPr>
                <w:sz w:val="12"/>
              </w:rPr>
              <w:t>Mature-only undergraduate</w:t>
            </w:r>
          </w:p>
        </w:tc>
        <w:tc>
          <w:tcPr>
            <w:tcW w:type="dxa" w:w="2438"/>
            <w:tcMar>
              <w:top w:w="55" w:type="dxa"/>
              <w:start w:w="70" w:type="dxa"/>
              <w:bottom w:w="55" w:type="dxa"/>
              <w:end w:w="70" w:type="dxa"/>
            </w:tcMar>
            <w:vAlign w:val="top"/>
          </w:tcPr>
          <w:p>
            <w:pPr>
              <w:pStyle w:val="TableSmall"/>
            </w:pPr>
            <w:r>
              <w:rPr>
                <w:sz w:val="12"/>
              </w:rPr>
              <w:t>Egalitarian, international, mature/postgraduate community; west</w:t>
            </w:r>
          </w:p>
        </w:tc>
        <w:tc>
          <w:tcPr>
            <w:tcW w:type="dxa" w:w="3515"/>
            <w:tcMar>
              <w:top w:w="55" w:type="dxa"/>
              <w:start w:w="70" w:type="dxa"/>
              <w:bottom w:w="55" w:type="dxa"/>
              <w:end w:w="70" w:type="dxa"/>
            </w:tcMar>
            <w:vAlign w:val="top"/>
          </w:tcPr>
          <w:p>
            <w:pPr>
              <w:pStyle w:val="TableSmall"/>
            </w:pPr>
            <w:r>
              <w:rPr>
                <w:sz w:val="12"/>
              </w:rPr>
              <w:t>Particularly relevant to older/family applicants; verify exact flat stock</w:t>
            </w:r>
          </w:p>
        </w:tc>
        <w:tc>
          <w:tcPr>
            <w:tcW w:type="dxa" w:w="1020"/>
            <w:tcMar>
              <w:top w:w="55" w:type="dxa"/>
              <w:start w:w="70" w:type="dxa"/>
              <w:bottom w:w="55" w:type="dxa"/>
              <w:end w:w="70" w:type="dxa"/>
            </w:tcMar>
            <w:vAlign w:val="top"/>
          </w:tcPr>
          <w:p>
            <w:pPr>
              <w:pStyle w:val="TableSmall"/>
            </w:pPr>
            <w:r>
              <w:rPr>
                <w:sz w:val="12"/>
              </w:rPr>
              <w:t>West</w:t>
            </w:r>
          </w:p>
        </w:tc>
      </w:tr>
    </w:tbl>
    <w:p>
      <w:pPr>
        <w:spacing w:after="20"/>
      </w:pPr>
    </w:p>
    <w:p>
      <w:pPr>
        <w:pStyle w:val="Source"/>
      </w:pPr>
      <w:r>
        <w:rPr>
          <w:b/>
        </w:rPr>
        <w:t xml:space="preserve">Sources and status: </w:t>
      </w:r>
      <w:r>
        <w:t>College status: [U01] [U33]. Descriptions are editorial orientation based on official College material; accommodation and eligibility must be rechecked directly.</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OPEN APPLICATIONS</w:t>
            </w:r>
          </w:p>
          <w:p>
            <w:pPr>
              <w:spacing w:after="0"/>
            </w:pPr>
            <w:r>
              <w:t>A mature applicant making an open application is allocated to a mature College. That can be sensible if you have no material preference. It is not neutral when you need family housing, a particular location, strong kitchens or a particular accessibility feature. [U01]</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Choose on adult logistics as well as atmosphere. A beautiful court does not compensate for an unusable housing licence.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Can you send the current room licence, price bands, vacation charges, kitchen specification, family policy and accessibility map? How many mature undergraduates entered last year?</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Treating “mature-friendly” as a personality label rather than checking the exact room, contract and support you need.</w:t>
            </w:r>
          </w:p>
        </w:tc>
      </w:tr>
    </w:tbl>
    <w:p>
      <w:pPr>
        <w:spacing w:after="40"/>
      </w:pPr>
    </w:p>
    <w:p>
      <w:pPr>
        <w:pStyle w:val="Heading1"/>
        <w:keepNext/>
      </w:pPr>
      <w:r>
        <w:t>3. Applying as a mature student</w:t>
      </w:r>
    </w:p>
    <w:p>
      <w:pPr>
        <w:spacing w:after="160"/>
      </w:pPr>
      <w:r>
        <w:rPr>
          <w:i/>
          <w:color w:val="5F6B73"/>
          <w:sz w:val="20"/>
        </w:rPr>
        <w:t>Your job is to supply recent evidence of readiness, not apologise for a non-linear life.</w:t>
      </w:r>
    </w:p>
    <w:p>
      <w:pPr>
        <w:pStyle w:val="Heading2"/>
        <w:keepNext/>
      </w:pPr>
      <w:r>
        <w:t>Same standard, sometimes a different route</w:t>
      </w:r>
    </w:p>
    <w:p>
      <w:r>
        <w:t>Cambridge states that mature applicants are assessed to the same academic standard as other applicants. The mature application route includes the normal October deadline and, for many courses at the mature Colleges, a January application round. For 2027 entry the October UCAS deadline is 15 October 2026; the mature January round lists a UCAS deadline of 13 January 2027 and My Cambridge Application deadline of 20 January 2027. Course and College eligibility must be checked because not every combination participates. [U01] [U34]</w:t>
      </w:r>
    </w:p>
    <w:p>
      <w:pPr>
        <w:pStyle w:val="Heading2"/>
        <w:keepNext/>
      </w:pPr>
      <w:r>
        <w:t>2027 entry route at a glance</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2509"/>
        <w:gridCol w:w="2509"/>
        <w:gridCol w:w="2509"/>
        <w:gridCol w:w="2509"/>
      </w:tblGrid>
      <w:tr>
        <w:trPr>
          <w:tblHeader w:val="true"/>
          <w:cantSplit w:val="true"/>
        </w:trPr>
        <w:tc>
          <w:tcPr>
            <w:tcW w:type="dxa" w:w="1500"/>
            <w:shd w:fill="17324D" w:val="clear"/>
            <w:vAlign w:val="center"/>
          </w:tcPr>
          <w:p>
            <w:pPr>
              <w:spacing w:after="20"/>
              <w:jc w:val="left"/>
            </w:pPr>
            <w:r>
              <w:rPr>
                <w:rFonts w:ascii="Lato" w:hAnsi="Lato"/>
                <w:b/>
                <w:color w:val="FFFFFF"/>
                <w:sz w:val="14"/>
              </w:rPr>
              <w:t>Route</w:t>
            </w:r>
          </w:p>
        </w:tc>
        <w:tc>
          <w:tcPr>
            <w:tcW w:type="dxa" w:w="2200"/>
            <w:shd w:fill="17324D" w:val="clear"/>
            <w:vAlign w:val="center"/>
          </w:tcPr>
          <w:p>
            <w:pPr>
              <w:spacing w:after="20"/>
              <w:jc w:val="left"/>
            </w:pPr>
            <w:r>
              <w:rPr>
                <w:rFonts w:ascii="Lato" w:hAnsi="Lato"/>
                <w:b/>
                <w:color w:val="FFFFFF"/>
                <w:sz w:val="14"/>
              </w:rPr>
              <w:t>Deadline / test window</w:t>
            </w:r>
          </w:p>
        </w:tc>
        <w:tc>
          <w:tcPr>
            <w:tcW w:type="dxa" w:w="3700"/>
            <w:shd w:fill="17324D" w:val="clear"/>
            <w:vAlign w:val="center"/>
          </w:tcPr>
          <w:p>
            <w:pPr>
              <w:spacing w:after="20"/>
              <w:jc w:val="left"/>
            </w:pPr>
            <w:r>
              <w:rPr>
                <w:rFonts w:ascii="Lato" w:hAnsi="Lato"/>
                <w:b/>
                <w:color w:val="FFFFFF"/>
                <w:sz w:val="14"/>
              </w:rPr>
              <w:t>Who may use it</w:t>
            </w:r>
          </w:p>
        </w:tc>
        <w:tc>
          <w:tcPr>
            <w:tcW w:type="dxa" w:w="2636"/>
            <w:shd w:fill="17324D" w:val="clear"/>
            <w:vAlign w:val="center"/>
          </w:tcPr>
          <w:p>
            <w:pPr>
              <w:spacing w:after="20"/>
              <w:jc w:val="left"/>
            </w:pPr>
            <w:r>
              <w:rPr>
                <w:rFonts w:ascii="Lato" w:hAnsi="Lato"/>
                <w:b/>
                <w:color w:val="FFFFFF"/>
                <w:sz w:val="14"/>
              </w:rPr>
              <w:t>Important trap</w:t>
            </w:r>
          </w:p>
        </w:tc>
      </w:tr>
      <w:tr>
        <w:trPr>
          <w:cantSplit w:val="true"/>
        </w:trPr>
        <w:tc>
          <w:tcPr>
            <w:tcW w:type="dxa" w:w="1500"/>
            <w:vAlign w:val="top"/>
          </w:tcPr>
          <w:p>
            <w:pPr>
              <w:spacing w:after="24" w:line="240" w:lineRule="auto"/>
            </w:pPr>
            <w:r/>
            <w:r>
              <w:rPr>
                <w:rFonts w:ascii="Lato" w:hAnsi="Lato"/>
                <w:color w:val="222222"/>
                <w:sz w:val="14"/>
              </w:rPr>
              <w:t>October</w:t>
            </w:r>
          </w:p>
        </w:tc>
        <w:tc>
          <w:tcPr>
            <w:tcW w:type="dxa" w:w="2200"/>
            <w:vAlign w:val="top"/>
          </w:tcPr>
          <w:p>
            <w:pPr>
              <w:spacing w:after="24" w:line="240" w:lineRule="auto"/>
            </w:pPr>
            <w:r/>
            <w:r>
              <w:rPr>
                <w:rFonts w:ascii="Lato" w:hAnsi="Lato"/>
                <w:color w:val="222222"/>
                <w:sz w:val="14"/>
              </w:rPr>
              <w:t>UCAS by 15 Oct 2026, 6pm UK. [U01]</w:t>
            </w:r>
          </w:p>
        </w:tc>
        <w:tc>
          <w:tcPr>
            <w:tcW w:type="dxa" w:w="3700"/>
            <w:vAlign w:val="top"/>
          </w:tcPr>
          <w:p>
            <w:pPr>
              <w:spacing w:after="24" w:line="240" w:lineRule="auto"/>
            </w:pPr>
            <w:r/>
            <w:r>
              <w:rPr>
                <w:rFonts w:ascii="Lato" w:hAnsi="Lato"/>
                <w:color w:val="222222"/>
                <w:sz w:val="14"/>
              </w:rPr>
              <w:t>All courses and Colleges; mandatory for Medicine, Graduate Medicine, Veterinary Medicine, non-mature Colleges and open applications.</w:t>
            </w:r>
          </w:p>
        </w:tc>
        <w:tc>
          <w:tcPr>
            <w:tcW w:type="dxa" w:w="2636"/>
            <w:vAlign w:val="top"/>
          </w:tcPr>
          <w:p>
            <w:pPr>
              <w:spacing w:after="24" w:line="240" w:lineRule="auto"/>
            </w:pPr>
            <w:r/>
            <w:r>
              <w:rPr>
                <w:rFonts w:ascii="Lato" w:hAnsi="Lato"/>
                <w:color w:val="222222"/>
                <w:sz w:val="14"/>
              </w:rPr>
              <w:t>Admission-test registration is separate and can close earlier.</w:t>
            </w:r>
          </w:p>
        </w:tc>
      </w:tr>
      <w:tr>
        <w:trPr>
          <w:cantSplit w:val="true"/>
        </w:trPr>
        <w:tc>
          <w:tcPr>
            <w:tcW w:type="dxa" w:w="1500"/>
            <w:shd w:fill="F5F7F8" w:val="clear"/>
            <w:vAlign w:val="top"/>
          </w:tcPr>
          <w:p>
            <w:pPr>
              <w:spacing w:after="24" w:line="240" w:lineRule="auto"/>
            </w:pPr>
            <w:r/>
            <w:r>
              <w:rPr>
                <w:rFonts w:ascii="Lato" w:hAnsi="Lato"/>
                <w:color w:val="222222"/>
                <w:sz w:val="14"/>
              </w:rPr>
              <w:t>January mature round</w:t>
            </w:r>
          </w:p>
        </w:tc>
        <w:tc>
          <w:tcPr>
            <w:tcW w:type="dxa" w:w="2200"/>
            <w:shd w:fill="F5F7F8" w:val="clear"/>
            <w:vAlign w:val="top"/>
          </w:tcPr>
          <w:p>
            <w:pPr>
              <w:spacing w:after="24" w:line="240" w:lineRule="auto"/>
            </w:pPr>
            <w:r/>
            <w:r>
              <w:rPr>
                <w:rFonts w:ascii="Lato" w:hAnsi="Lato"/>
                <w:color w:val="222222"/>
                <w:sz w:val="14"/>
              </w:rPr>
              <w:t>UCAS by 13 Jan 2027, 6pm; My Cambridge Application by 20 Jan, 6pm. [U01]</w:t>
            </w:r>
          </w:p>
        </w:tc>
        <w:tc>
          <w:tcPr>
            <w:tcW w:type="dxa" w:w="3700"/>
            <w:shd w:fill="F5F7F8" w:val="clear"/>
            <w:vAlign w:val="top"/>
          </w:tcPr>
          <w:p>
            <w:pPr>
              <w:spacing w:after="24" w:line="240" w:lineRule="auto"/>
            </w:pPr>
            <w:r/>
            <w:r>
              <w:rPr>
                <w:rFonts w:ascii="Lato" w:hAnsi="Lato"/>
                <w:color w:val="222222"/>
                <w:sz w:val="14"/>
              </w:rPr>
              <w:t>Applicants to Hughes Hall, St Edmund’s or Wolfson, except the excluded medical/veterinary courses.</w:t>
            </w:r>
          </w:p>
        </w:tc>
        <w:tc>
          <w:tcPr>
            <w:tcW w:type="dxa" w:w="2636"/>
            <w:shd w:fill="F5F7F8" w:val="clear"/>
            <w:vAlign w:val="top"/>
          </w:tcPr>
          <w:p>
            <w:pPr>
              <w:spacing w:after="24" w:line="240" w:lineRule="auto"/>
            </w:pPr>
            <w:r/>
            <w:r>
              <w:rPr>
                <w:rFonts w:ascii="Lato" w:hAnsi="Lato"/>
                <w:color w:val="222222"/>
                <w:sz w:val="14"/>
              </w:rPr>
              <w:t>Not available if you applied in the preceding October.</w:t>
            </w:r>
          </w:p>
        </w:tc>
      </w:tr>
      <w:tr>
        <w:trPr>
          <w:cantSplit w:val="true"/>
        </w:trPr>
        <w:tc>
          <w:tcPr>
            <w:tcW w:type="dxa" w:w="1500"/>
            <w:vAlign w:val="top"/>
          </w:tcPr>
          <w:p>
            <w:pPr>
              <w:spacing w:after="24" w:line="240" w:lineRule="auto"/>
            </w:pPr>
            <w:r/>
            <w:r>
              <w:rPr>
                <w:rFonts w:ascii="Lato" w:hAnsi="Lato"/>
                <w:color w:val="222222"/>
                <w:sz w:val="14"/>
              </w:rPr>
              <w:t>January ESAT/TMUA</w:t>
            </w:r>
          </w:p>
        </w:tc>
        <w:tc>
          <w:tcPr>
            <w:tcW w:type="dxa" w:w="2200"/>
            <w:vAlign w:val="top"/>
          </w:tcPr>
          <w:p>
            <w:pPr>
              <w:spacing w:after="24" w:line="240" w:lineRule="auto"/>
            </w:pPr>
            <w:r/>
            <w:r>
              <w:rPr>
                <w:rFonts w:ascii="Lato" w:hAnsi="Lato"/>
                <w:color w:val="222222"/>
                <w:sz w:val="14"/>
              </w:rPr>
              <w:t>Register by 21 Dec 2026, or 7 Dec for access arrangements; tests 4–8 Jan 2027. [U01]</w:t>
            </w:r>
          </w:p>
        </w:tc>
        <w:tc>
          <w:tcPr>
            <w:tcW w:type="dxa" w:w="3700"/>
            <w:vAlign w:val="top"/>
          </w:tcPr>
          <w:p>
            <w:pPr>
              <w:spacing w:after="24" w:line="240" w:lineRule="auto"/>
            </w:pPr>
            <w:r/>
            <w:r>
              <w:rPr>
                <w:rFonts w:ascii="Lato" w:hAnsi="Lato"/>
                <w:color w:val="222222"/>
                <w:sz w:val="14"/>
              </w:rPr>
              <w:t>Eligible January-round applicants whose course requires ESAT or TMUA.</w:t>
            </w:r>
          </w:p>
        </w:tc>
        <w:tc>
          <w:tcPr>
            <w:tcW w:type="dxa" w:w="2636"/>
            <w:vAlign w:val="top"/>
          </w:tcPr>
          <w:p>
            <w:pPr>
              <w:spacing w:after="24" w:line="240" w:lineRule="auto"/>
            </w:pPr>
            <w:r/>
            <w:r>
              <w:rPr>
                <w:rFonts w:ascii="Lato" w:hAnsi="Lato"/>
                <w:color w:val="222222"/>
                <w:sz w:val="14"/>
              </w:rPr>
              <w:t>You must register yourself and meet the earlier access-arrangements deadline.</w:t>
            </w:r>
          </w:p>
        </w:tc>
      </w:tr>
      <w:tr>
        <w:trPr>
          <w:cantSplit w:val="true"/>
        </w:trPr>
        <w:tc>
          <w:tcPr>
            <w:tcW w:type="dxa" w:w="1500"/>
            <w:shd w:fill="F5F7F8" w:val="clear"/>
            <w:vAlign w:val="top"/>
          </w:tcPr>
          <w:p>
            <w:pPr>
              <w:spacing w:after="24" w:line="240" w:lineRule="auto"/>
            </w:pPr>
            <w:r/>
            <w:r>
              <w:rPr>
                <w:rFonts w:ascii="Lato" w:hAnsi="Lato"/>
                <w:color w:val="222222"/>
                <w:sz w:val="14"/>
              </w:rPr>
              <w:t>Open application</w:t>
            </w:r>
          </w:p>
        </w:tc>
        <w:tc>
          <w:tcPr>
            <w:tcW w:type="dxa" w:w="2200"/>
            <w:shd w:fill="F5F7F8" w:val="clear"/>
            <w:vAlign w:val="top"/>
          </w:tcPr>
          <w:p>
            <w:pPr>
              <w:spacing w:after="24" w:line="240" w:lineRule="auto"/>
            </w:pPr>
            <w:r/>
            <w:r>
              <w:rPr>
                <w:rFonts w:ascii="Lato" w:hAnsi="Lato"/>
                <w:color w:val="222222"/>
                <w:sz w:val="14"/>
              </w:rPr>
              <w:t>October route only. [U01]</w:t>
            </w:r>
          </w:p>
        </w:tc>
        <w:tc>
          <w:tcPr>
            <w:tcW w:type="dxa" w:w="3700"/>
            <w:shd w:fill="F5F7F8" w:val="clear"/>
            <w:vAlign w:val="top"/>
          </w:tcPr>
          <w:p>
            <w:pPr>
              <w:spacing w:after="24" w:line="240" w:lineRule="auto"/>
            </w:pPr>
            <w:r/>
            <w:r>
              <w:rPr>
                <w:rFonts w:ascii="Lato" w:hAnsi="Lato"/>
                <w:color w:val="222222"/>
                <w:sz w:val="14"/>
              </w:rPr>
              <w:t>Mature applicant who wants random allocation to a mature College.</w:t>
            </w:r>
          </w:p>
        </w:tc>
        <w:tc>
          <w:tcPr>
            <w:tcW w:type="dxa" w:w="2636"/>
            <w:shd w:fill="F5F7F8" w:val="clear"/>
            <w:vAlign w:val="top"/>
          </w:tcPr>
          <w:p>
            <w:pPr>
              <w:spacing w:after="24" w:line="240" w:lineRule="auto"/>
            </w:pPr>
            <w:r/>
            <w:r>
              <w:rPr>
                <w:rFonts w:ascii="Lato" w:hAnsi="Lato"/>
                <w:color w:val="222222"/>
                <w:sz w:val="14"/>
              </w:rPr>
              <w:t>It does not randomly allocate you across all 29 undergraduate Colleges.</w:t>
            </w:r>
          </w:p>
        </w:tc>
      </w:tr>
    </w:tbl>
    <w:p>
      <w:r>
        <w:t>The recurring mature-applicant issue is recency. Excellent A levels from 2002 prove capacity but may not prove that you can now write, calculate or learn at the required pace. Cambridge normally looks for recent high-level academic evidence, often completed within roughly two years of entry. An Access to HE Diploma, recent A levels, Open University modules, a relevant foundation route or other rigorous study can supply it, but acceptability is course-specific. Ask before enrolling. [U01] [U08]</w:t>
      </w:r>
    </w:p>
    <w:p>
      <w:pPr>
        <w:pStyle w:val="Heading2"/>
        <w:keepNext/>
      </w:pPr>
      <w:r>
        <w:t>Non-standard qualifications: what to do</w:t>
      </w:r>
    </w:p>
    <w:tbl>
      <w:tblPr>
        <w:tblW w:type="dxa" w:w="9979"/>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928"/>
        <w:gridCol w:w="4195"/>
        <w:gridCol w:w="3855"/>
      </w:tblGrid>
      <w:tr>
        <w:trPr>
          <w:tblHeader w:val="true"/>
          <w:cantSplit w:val="true"/>
        </w:trPr>
        <w:tc>
          <w:tcPr>
            <w:tcW w:type="dxa" w:w="1927"/>
            <w:shd w:fill="17324D"/>
            <w:tcMar>
              <w:top w:w="70" w:type="dxa"/>
              <w:start w:w="80" w:type="dxa"/>
              <w:bottom w:w="70" w:type="dxa"/>
              <w:end w:w="80" w:type="dxa"/>
            </w:tcMar>
            <w:vAlign w:val="center"/>
          </w:tcPr>
          <w:p>
            <w:pPr>
              <w:pStyle w:val="TableText"/>
              <w:jc w:val="left"/>
            </w:pPr>
            <w:r>
              <w:rPr>
                <w:b/>
                <w:color w:val="FFFFFF"/>
                <w:sz w:val="15"/>
              </w:rPr>
              <w:t>Background</w:t>
            </w:r>
          </w:p>
        </w:tc>
        <w:tc>
          <w:tcPr>
            <w:tcW w:type="dxa" w:w="4195"/>
            <w:shd w:fill="17324D"/>
            <w:tcMar>
              <w:top w:w="70" w:type="dxa"/>
              <w:start w:w="80" w:type="dxa"/>
              <w:bottom w:w="70" w:type="dxa"/>
              <w:end w:w="80" w:type="dxa"/>
            </w:tcMar>
            <w:vAlign w:val="center"/>
          </w:tcPr>
          <w:p>
            <w:pPr>
              <w:pStyle w:val="TableText"/>
              <w:jc w:val="left"/>
            </w:pPr>
            <w:r>
              <w:rPr>
                <w:b/>
                <w:color w:val="FFFFFF"/>
                <w:sz w:val="15"/>
              </w:rPr>
              <w:t>Strong practical move</w:t>
            </w:r>
          </w:p>
        </w:tc>
        <w:tc>
          <w:tcPr>
            <w:tcW w:type="dxa" w:w="3855"/>
            <w:shd w:fill="17324D"/>
            <w:tcMar>
              <w:top w:w="70" w:type="dxa"/>
              <w:start w:w="80" w:type="dxa"/>
              <w:bottom w:w="70" w:type="dxa"/>
              <w:end w:w="80" w:type="dxa"/>
            </w:tcMar>
            <w:vAlign w:val="center"/>
          </w:tcPr>
          <w:p>
            <w:pPr>
              <w:pStyle w:val="TableText"/>
              <w:jc w:val="left"/>
            </w:pPr>
            <w:r>
              <w:rPr>
                <w:b/>
                <w:color w:val="FFFFFF"/>
                <w:sz w:val="15"/>
              </w:rPr>
              <w:t>Do not assume</w:t>
            </w:r>
          </w:p>
        </w:tc>
      </w:tr>
      <w:tr>
        <w:trPr>
          <w:cantSplit w:val="true"/>
        </w:trPr>
        <w:tc>
          <w:tcPr>
            <w:tcW w:type="dxa" w:w="1927"/>
            <w:tcMar>
              <w:top w:w="55" w:type="dxa"/>
              <w:start w:w="70" w:type="dxa"/>
              <w:bottom w:w="55" w:type="dxa"/>
              <w:end w:w="70" w:type="dxa"/>
            </w:tcMar>
            <w:vAlign w:val="top"/>
          </w:tcPr>
          <w:p>
            <w:pPr>
              <w:pStyle w:val="TableText"/>
            </w:pPr>
            <w:r>
              <w:t>Access to HE Diploma</w:t>
            </w:r>
          </w:p>
        </w:tc>
        <w:tc>
          <w:tcPr>
            <w:tcW w:type="dxa" w:w="4195"/>
            <w:tcMar>
              <w:top w:w="55" w:type="dxa"/>
              <w:start w:w="70" w:type="dxa"/>
              <w:bottom w:w="55" w:type="dxa"/>
              <w:end w:w="70" w:type="dxa"/>
            </w:tcMar>
            <w:vAlign w:val="top"/>
          </w:tcPr>
          <w:p>
            <w:pPr>
              <w:pStyle w:val="TableText"/>
            </w:pPr>
            <w:r>
              <w:t>Send the exact pathway, units, level-3 credit profile and predicted distinctions to course admissions before applying.</w:t>
            </w:r>
          </w:p>
        </w:tc>
        <w:tc>
          <w:tcPr>
            <w:tcW w:type="dxa" w:w="3855"/>
            <w:tcMar>
              <w:top w:w="55" w:type="dxa"/>
              <w:start w:w="70" w:type="dxa"/>
              <w:bottom w:w="55" w:type="dxa"/>
              <w:end w:w="70" w:type="dxa"/>
            </w:tcMar>
            <w:vAlign w:val="top"/>
          </w:tcPr>
          <w:p>
            <w:pPr>
              <w:pStyle w:val="TableText"/>
            </w:pPr>
            <w:r>
              <w:t>That every Access Diploma contains enough subject preparation for every Tripos.</w:t>
            </w:r>
          </w:p>
        </w:tc>
      </w:tr>
      <w:tr>
        <w:trPr>
          <w:cantSplit w:val="true"/>
        </w:trPr>
        <w:tc>
          <w:tcPr>
            <w:tcW w:type="dxa" w:w="1927"/>
            <w:shd w:fill="F5F7F8"/>
            <w:tcMar>
              <w:top w:w="55" w:type="dxa"/>
              <w:start w:w="70" w:type="dxa"/>
              <w:bottom w:w="55" w:type="dxa"/>
              <w:end w:w="70" w:type="dxa"/>
            </w:tcMar>
            <w:vAlign w:val="top"/>
          </w:tcPr>
          <w:p>
            <w:pPr>
              <w:pStyle w:val="TableText"/>
            </w:pPr>
            <w:r>
              <w:t>Old A levels</w:t>
            </w:r>
          </w:p>
        </w:tc>
        <w:tc>
          <w:tcPr>
            <w:tcW w:type="dxa" w:w="4195"/>
            <w:shd w:fill="F5F7F8"/>
            <w:tcMar>
              <w:top w:w="55" w:type="dxa"/>
              <w:start w:w="70" w:type="dxa"/>
              <w:bottom w:w="55" w:type="dxa"/>
              <w:end w:w="70" w:type="dxa"/>
            </w:tcMar>
            <w:vAlign w:val="top"/>
          </w:tcPr>
          <w:p>
            <w:pPr>
              <w:pStyle w:val="TableText"/>
            </w:pPr>
            <w:r>
              <w:t>Add recent assessed study in relevant subjects and evidence of sustained academic work.</w:t>
            </w:r>
          </w:p>
        </w:tc>
        <w:tc>
          <w:tcPr>
            <w:tcW w:type="dxa" w:w="3855"/>
            <w:shd w:fill="F5F7F8"/>
            <w:tcMar>
              <w:top w:w="55" w:type="dxa"/>
              <w:start w:w="70" w:type="dxa"/>
              <w:bottom w:w="55" w:type="dxa"/>
              <w:end w:w="70" w:type="dxa"/>
            </w:tcMar>
            <w:vAlign w:val="top"/>
          </w:tcPr>
          <w:p>
            <w:pPr>
              <w:pStyle w:val="TableText"/>
            </w:pPr>
            <w:r>
              <w:t>Work seniority automatically substitutes for subject prerequisites.</w:t>
            </w:r>
          </w:p>
        </w:tc>
      </w:tr>
      <w:tr>
        <w:trPr>
          <w:cantSplit w:val="true"/>
        </w:trPr>
        <w:tc>
          <w:tcPr>
            <w:tcW w:type="dxa" w:w="1927"/>
            <w:tcMar>
              <w:top w:w="55" w:type="dxa"/>
              <w:start w:w="70" w:type="dxa"/>
              <w:bottom w:w="55" w:type="dxa"/>
              <w:end w:w="70" w:type="dxa"/>
            </w:tcMar>
            <w:vAlign w:val="top"/>
          </w:tcPr>
          <w:p>
            <w:pPr>
              <w:pStyle w:val="TableText"/>
            </w:pPr>
            <w:r>
              <w:t>Open University</w:t>
            </w:r>
          </w:p>
        </w:tc>
        <w:tc>
          <w:tcPr>
            <w:tcW w:type="dxa" w:w="4195"/>
            <w:tcMar>
              <w:top w:w="55" w:type="dxa"/>
              <w:start w:w="70" w:type="dxa"/>
              <w:bottom w:w="55" w:type="dxa"/>
              <w:end w:w="70" w:type="dxa"/>
            </w:tcMar>
            <w:vAlign w:val="top"/>
          </w:tcPr>
          <w:p>
            <w:pPr>
              <w:pStyle w:val="TableText"/>
            </w:pPr>
            <w:r>
              <w:t>Choose modules that demonstrate the relevant subject and level; retain marked assignments and tutor reports.</w:t>
            </w:r>
          </w:p>
        </w:tc>
        <w:tc>
          <w:tcPr>
            <w:tcW w:type="dxa" w:w="3855"/>
            <w:tcMar>
              <w:top w:w="55" w:type="dxa"/>
              <w:start w:w="70" w:type="dxa"/>
              <w:bottom w:w="55" w:type="dxa"/>
              <w:end w:w="70" w:type="dxa"/>
            </w:tcMar>
            <w:vAlign w:val="top"/>
          </w:tcPr>
          <w:p>
            <w:pPr>
              <w:pStyle w:val="TableText"/>
            </w:pPr>
            <w:r>
              <w:t>Credit will transfer into the Cambridge degree or shorten it.</w:t>
            </w:r>
          </w:p>
        </w:tc>
      </w:tr>
      <w:tr>
        <w:trPr>
          <w:cantSplit w:val="true"/>
        </w:trPr>
        <w:tc>
          <w:tcPr>
            <w:tcW w:type="dxa" w:w="1927"/>
            <w:shd w:fill="F5F7F8"/>
            <w:tcMar>
              <w:top w:w="55" w:type="dxa"/>
              <w:start w:w="70" w:type="dxa"/>
              <w:bottom w:w="55" w:type="dxa"/>
              <w:end w:w="70" w:type="dxa"/>
            </w:tcMar>
            <w:vAlign w:val="top"/>
          </w:tcPr>
          <w:p>
            <w:pPr>
              <w:pStyle w:val="TableText"/>
            </w:pPr>
            <w:r>
              <w:t>Professional experience</w:t>
            </w:r>
          </w:p>
        </w:tc>
        <w:tc>
          <w:tcPr>
            <w:tcW w:type="dxa" w:w="4195"/>
            <w:shd w:fill="F5F7F8"/>
            <w:tcMar>
              <w:top w:w="55" w:type="dxa"/>
              <w:start w:w="70" w:type="dxa"/>
              <w:bottom w:w="55" w:type="dxa"/>
              <w:end w:w="70" w:type="dxa"/>
            </w:tcMar>
            <w:vAlign w:val="top"/>
          </w:tcPr>
          <w:p>
            <w:pPr>
              <w:pStyle w:val="TableText"/>
            </w:pPr>
            <w:r>
              <w:t>Use it to explain motivation, judgement and transferable skill; pair it with current academic evidence.</w:t>
            </w:r>
          </w:p>
        </w:tc>
        <w:tc>
          <w:tcPr>
            <w:tcW w:type="dxa" w:w="3855"/>
            <w:shd w:fill="F5F7F8"/>
            <w:tcMar>
              <w:top w:w="55" w:type="dxa"/>
              <w:start w:w="70" w:type="dxa"/>
              <w:bottom w:w="55" w:type="dxa"/>
              <w:end w:w="70" w:type="dxa"/>
            </w:tcMar>
            <w:vAlign w:val="top"/>
          </w:tcPr>
          <w:p>
            <w:pPr>
              <w:pStyle w:val="TableText"/>
            </w:pPr>
            <w:r>
              <w:t>A career portfolio replaces mathematics, language, science or essay prerequisites.</w:t>
            </w:r>
          </w:p>
        </w:tc>
      </w:tr>
      <w:tr>
        <w:trPr>
          <w:cantSplit w:val="true"/>
        </w:trPr>
        <w:tc>
          <w:tcPr>
            <w:tcW w:type="dxa" w:w="1927"/>
            <w:tcMar>
              <w:top w:w="55" w:type="dxa"/>
              <w:start w:w="70" w:type="dxa"/>
              <w:bottom w:w="55" w:type="dxa"/>
              <w:end w:w="70" w:type="dxa"/>
            </w:tcMar>
            <w:vAlign w:val="top"/>
          </w:tcPr>
          <w:p>
            <w:pPr>
              <w:pStyle w:val="TableText"/>
            </w:pPr>
            <w:r>
              <w:t>Foundation route</w:t>
            </w:r>
          </w:p>
        </w:tc>
        <w:tc>
          <w:tcPr>
            <w:tcW w:type="dxa" w:w="4195"/>
            <w:tcMar>
              <w:top w:w="55" w:type="dxa"/>
              <w:start w:w="70" w:type="dxa"/>
              <w:bottom w:w="55" w:type="dxa"/>
              <w:end w:w="70" w:type="dxa"/>
            </w:tcMar>
            <w:vAlign w:val="top"/>
          </w:tcPr>
          <w:p>
            <w:pPr>
              <w:pStyle w:val="TableText"/>
            </w:pPr>
            <w:r>
              <w:t>Check whether Cambridge’s Foundation Year or another programme is accepted for your course and circumstances. [U09]</w:t>
            </w:r>
          </w:p>
        </w:tc>
        <w:tc>
          <w:tcPr>
            <w:tcW w:type="dxa" w:w="3855"/>
            <w:tcMar>
              <w:top w:w="55" w:type="dxa"/>
              <w:start w:w="70" w:type="dxa"/>
              <w:bottom w:w="55" w:type="dxa"/>
              <w:end w:w="70" w:type="dxa"/>
            </w:tcMar>
            <w:vAlign w:val="top"/>
          </w:tcPr>
          <w:p>
            <w:pPr>
              <w:pStyle w:val="TableText"/>
            </w:pPr>
            <w:r>
              <w:t>All commercial “foundation” courses carry equal recognition.</w:t>
            </w:r>
          </w:p>
        </w:tc>
      </w:tr>
      <w:tr>
        <w:trPr>
          <w:cantSplit w:val="true"/>
        </w:trPr>
        <w:tc>
          <w:tcPr>
            <w:tcW w:type="dxa" w:w="1927"/>
            <w:shd w:fill="F5F7F8"/>
            <w:tcMar>
              <w:top w:w="55" w:type="dxa"/>
              <w:start w:w="70" w:type="dxa"/>
              <w:bottom w:w="55" w:type="dxa"/>
              <w:end w:w="70" w:type="dxa"/>
            </w:tcMar>
            <w:vAlign w:val="top"/>
          </w:tcPr>
          <w:p>
            <w:pPr>
              <w:pStyle w:val="TableText"/>
            </w:pPr>
            <w:r>
              <w:t>Second degree</w:t>
            </w:r>
          </w:p>
        </w:tc>
        <w:tc>
          <w:tcPr>
            <w:tcW w:type="dxa" w:w="4195"/>
            <w:shd w:fill="F5F7F8"/>
            <w:tcMar>
              <w:top w:w="55" w:type="dxa"/>
              <w:start w:w="70" w:type="dxa"/>
              <w:bottom w:w="55" w:type="dxa"/>
              <w:end w:w="70" w:type="dxa"/>
            </w:tcMar>
            <w:vAlign w:val="top"/>
          </w:tcPr>
          <w:p>
            <w:pPr>
              <w:pStyle w:val="TableText"/>
            </w:pPr>
            <w:r>
              <w:t>Check College willingness, course availability, finance and any affiliated-entry possibility. [U10]</w:t>
            </w:r>
          </w:p>
        </w:tc>
        <w:tc>
          <w:tcPr>
            <w:tcW w:type="dxa" w:w="3855"/>
            <w:shd w:fill="F5F7F8"/>
            <w:tcMar>
              <w:top w:w="55" w:type="dxa"/>
              <w:start w:w="70" w:type="dxa"/>
              <w:bottom w:w="55" w:type="dxa"/>
              <w:end w:w="70" w:type="dxa"/>
            </w:tcMar>
            <w:vAlign w:val="top"/>
          </w:tcPr>
          <w:p>
            <w:pPr>
              <w:pStyle w:val="TableText"/>
            </w:pPr>
            <w:r>
              <w:t>A previous degree guarantees shortened entry or public funding.</w:t>
            </w:r>
          </w:p>
        </w:tc>
      </w:tr>
      <w:tr>
        <w:trPr>
          <w:cantSplit w:val="true"/>
        </w:trPr>
        <w:tc>
          <w:tcPr>
            <w:tcW w:type="dxa" w:w="1927"/>
            <w:tcMar>
              <w:top w:w="55" w:type="dxa"/>
              <w:start w:w="70" w:type="dxa"/>
              <w:bottom w:w="55" w:type="dxa"/>
              <w:end w:w="70" w:type="dxa"/>
            </w:tcMar>
            <w:vAlign w:val="top"/>
          </w:tcPr>
          <w:p>
            <w:pPr>
              <w:pStyle w:val="TableText"/>
            </w:pPr>
            <w:r>
              <w:t>International qualification</w:t>
            </w:r>
          </w:p>
        </w:tc>
        <w:tc>
          <w:tcPr>
            <w:tcW w:type="dxa" w:w="4195"/>
            <w:tcMar>
              <w:top w:w="55" w:type="dxa"/>
              <w:start w:w="70" w:type="dxa"/>
              <w:bottom w:w="55" w:type="dxa"/>
              <w:end w:w="70" w:type="dxa"/>
            </w:tcMar>
            <w:vAlign w:val="top"/>
          </w:tcPr>
          <w:p>
            <w:pPr>
              <w:pStyle w:val="TableText"/>
            </w:pPr>
            <w:r>
              <w:t>Obtain qualification-specific guidance and verify English requirements, fee status and visa timing. [U15] [U35] [U37]</w:t>
            </w:r>
          </w:p>
        </w:tc>
        <w:tc>
          <w:tcPr>
            <w:tcW w:type="dxa" w:w="3855"/>
            <w:tcMar>
              <w:top w:w="55" w:type="dxa"/>
              <w:start w:w="70" w:type="dxa"/>
              <w:bottom w:w="55" w:type="dxa"/>
              <w:end w:w="70" w:type="dxa"/>
            </w:tcMar>
            <w:vAlign w:val="top"/>
          </w:tcPr>
          <w:p>
            <w:pPr>
              <w:pStyle w:val="TableText"/>
            </w:pPr>
            <w:r>
              <w:t>A credential that is a degree at home maps automatically to Cambridge requirements.</w:t>
            </w:r>
          </w:p>
        </w:tc>
      </w:tr>
    </w:tbl>
    <w:p>
      <w:pPr>
        <w:pStyle w:val="Heading2"/>
        <w:keepNext/>
      </w:pPr>
      <w:r>
        <w:t>Two routes that need special attention</w:t>
      </w:r>
    </w:p>
    <w:p>
      <w:pPr/>
      <w:r>
        <w:t>Cambridge’s Foundation Year in Arts, Humanities and Social Sciences is a free, fully funded, one-year residential route for eligible UK applicants whose education has been disrupted or disadvantaged. It is not a generic pre-Cambridge foundation course and it does not cover every final degree. Check eligibility and progression routes on the official site. [U09]</w:t>
      </w:r>
    </w:p>
    <w:p>
      <w:pPr/>
      <w:r>
        <w:t>If you already hold a degree, affiliated or second-degree entry can shorten some courses, but finance is often the binding constraint: previous study, subject exceptions, College fees and public-funding rules must be checked before accepting. Cambridge does not generally transfer external credits into the Tripos. [U10]</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17324D" w:val="clear"/>
          </w:tcPr>
          <w:p/>
        </w:tc>
        <w:tc>
          <w:tcPr>
            <w:tcW w:type="dxa" w:w="9877"/>
            <w:tcMar>
              <w:top w:w="80" w:type="dxa"/>
              <w:start w:w="100" w:type="dxa"/>
              <w:bottom w:w="80" w:type="dxa"/>
              <w:end w:w="100" w:type="dxa"/>
            </w:tcMar>
            <w:shd w:fill="EEF3F8" w:val="clear"/>
            <w:vAlign w:val="center"/>
          </w:tcPr>
          <w:p>
            <w:pPr>
              <w:spacing w:after="0"/>
            </w:pPr>
            <w:r>
              <w:rPr>
                <w:rFonts w:ascii="Lato" w:hAnsi="Lato"/>
                <w:b/>
                <w:color w:val="17324D"/>
                <w:sz w:val="16"/>
              </w:rPr>
              <w:t>RECENT EVIDENCE MEANS RECENT</w:t>
            </w:r>
            <w:r>
              <w:rPr>
                <w:rFonts w:ascii="Lato" w:hAnsi="Lato"/>
                <w:color w:val="222222"/>
                <w:sz w:val="16"/>
              </w:rPr>
              <w:br/>
              <w:t>The official mature-applicant page says high-level academic achievement will usually need to be within two years of starting the course. A distinguished old record or senior career is useful context, but not a substitute for current subject preparation. [U01]</w:t>
            </w:r>
          </w:p>
        </w:tc>
      </w:tr>
    </w:tbl>
    <w:p>
      <w:pPr>
        <w:spacing w:after="20"/>
      </w:pPr>
    </w:p>
    <w:p>
      <w:pPr>
        <w:pStyle w:val="Heading2"/>
        <w:keepNext/>
      </w:pPr>
      <w:r>
        <w:t>A twelve-month preparation timeline</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701"/>
        <w:gridCol w:w="8050"/>
      </w:tblGrid>
      <w:tr>
        <w:trPr>
          <w:tblHeader w:val="true"/>
          <w:cantSplit w:val="true"/>
        </w:trPr>
        <w:tc>
          <w:tcPr>
            <w:tcW w:type="dxa" w:w="1701"/>
            <w:shd w:fill="17324D"/>
            <w:tcMar>
              <w:top w:w="70" w:type="dxa"/>
              <w:start w:w="80" w:type="dxa"/>
              <w:bottom w:w="70" w:type="dxa"/>
              <w:end w:w="80" w:type="dxa"/>
            </w:tcMar>
            <w:vAlign w:val="center"/>
          </w:tcPr>
          <w:p>
            <w:pPr>
              <w:pStyle w:val="TableText"/>
              <w:jc w:val="left"/>
            </w:pPr>
            <w:r>
              <w:rPr>
                <w:b/>
                <w:color w:val="FFFFFF"/>
                <w:sz w:val="15"/>
              </w:rPr>
              <w:t>When</w:t>
            </w:r>
          </w:p>
        </w:tc>
        <w:tc>
          <w:tcPr>
            <w:tcW w:type="dxa" w:w="8051"/>
            <w:shd w:fill="17324D"/>
            <w:tcMar>
              <w:top w:w="70" w:type="dxa"/>
              <w:start w:w="80" w:type="dxa"/>
              <w:bottom w:w="70" w:type="dxa"/>
              <w:end w:w="80" w:type="dxa"/>
            </w:tcMar>
            <w:vAlign w:val="center"/>
          </w:tcPr>
          <w:p>
            <w:pPr>
              <w:pStyle w:val="TableText"/>
              <w:jc w:val="left"/>
            </w:pPr>
            <w:r>
              <w:rPr>
                <w:b/>
                <w:color w:val="FFFFFF"/>
                <w:sz w:val="15"/>
              </w:rPr>
              <w:t>Essential actions</w:t>
            </w:r>
          </w:p>
        </w:tc>
      </w:tr>
      <w:tr>
        <w:trPr>
          <w:cantSplit w:val="true"/>
        </w:trPr>
        <w:tc>
          <w:tcPr>
            <w:tcW w:type="dxa" w:w="1701"/>
            <w:tcMar>
              <w:top w:w="55" w:type="dxa"/>
              <w:start w:w="70" w:type="dxa"/>
              <w:bottom w:w="55" w:type="dxa"/>
              <w:end w:w="70" w:type="dxa"/>
            </w:tcMar>
            <w:vAlign w:val="top"/>
          </w:tcPr>
          <w:p>
            <w:pPr>
              <w:pStyle w:val="TableText"/>
            </w:pPr>
            <w:r>
              <w:t>12–10 months before deadline</w:t>
            </w:r>
          </w:p>
        </w:tc>
        <w:tc>
          <w:tcPr>
            <w:tcW w:type="dxa" w:w="8051"/>
            <w:tcMar>
              <w:top w:w="55" w:type="dxa"/>
              <w:start w:w="70" w:type="dxa"/>
              <w:bottom w:w="55" w:type="dxa"/>
              <w:end w:w="70" w:type="dxa"/>
            </w:tcMar>
            <w:vAlign w:val="top"/>
          </w:tcPr>
          <w:p>
            <w:pPr>
              <w:pStyle w:val="TableText"/>
            </w:pPr>
            <w:r>
              <w:t>Choose course first. Audit prerequisite knowledge. Contact mature Colleges and at least one other suitable College with exact qualifications, dates and circumstances. Visit or attend webinars. Begin finance and family feasibility.</w:t>
            </w:r>
          </w:p>
        </w:tc>
      </w:tr>
      <w:tr>
        <w:trPr>
          <w:cantSplit w:val="true"/>
        </w:trPr>
        <w:tc>
          <w:tcPr>
            <w:tcW w:type="dxa" w:w="1701"/>
            <w:shd w:fill="F5F7F8"/>
            <w:tcMar>
              <w:top w:w="55" w:type="dxa"/>
              <w:start w:w="70" w:type="dxa"/>
              <w:bottom w:w="55" w:type="dxa"/>
              <w:end w:w="70" w:type="dxa"/>
            </w:tcMar>
            <w:vAlign w:val="top"/>
          </w:tcPr>
          <w:p>
            <w:pPr>
              <w:pStyle w:val="TableText"/>
            </w:pPr>
            <w:r>
              <w:t>10–8 months</w:t>
            </w:r>
          </w:p>
        </w:tc>
        <w:tc>
          <w:tcPr>
            <w:tcW w:type="dxa" w:w="8051"/>
            <w:shd w:fill="F5F7F8"/>
            <w:tcMar>
              <w:top w:w="55" w:type="dxa"/>
              <w:start w:w="70" w:type="dxa"/>
              <w:bottom w:w="55" w:type="dxa"/>
              <w:end w:w="70" w:type="dxa"/>
            </w:tcMar>
            <w:vAlign w:val="top"/>
          </w:tcPr>
          <w:p>
            <w:pPr>
              <w:pStyle w:val="TableText"/>
            </w:pPr>
            <w:r>
              <w:t>Start or continue recent assessed study. Identify a referee who can discuss current academic performance. Arrange disability evidence and consider admissions-test access arrangements.</w:t>
            </w:r>
          </w:p>
        </w:tc>
      </w:tr>
      <w:tr>
        <w:trPr>
          <w:cantSplit w:val="true"/>
        </w:trPr>
        <w:tc>
          <w:tcPr>
            <w:tcW w:type="dxa" w:w="1701"/>
            <w:tcMar>
              <w:top w:w="55" w:type="dxa"/>
              <w:start w:w="70" w:type="dxa"/>
              <w:bottom w:w="55" w:type="dxa"/>
              <w:end w:w="70" w:type="dxa"/>
            </w:tcMar>
            <w:vAlign w:val="top"/>
          </w:tcPr>
          <w:p>
            <w:pPr>
              <w:pStyle w:val="TableText"/>
            </w:pPr>
            <w:r>
              <w:t>8–6 months</w:t>
            </w:r>
          </w:p>
        </w:tc>
        <w:tc>
          <w:tcPr>
            <w:tcW w:type="dxa" w:w="8051"/>
            <w:tcMar>
              <w:top w:w="55" w:type="dxa"/>
              <w:start w:w="70" w:type="dxa"/>
              <w:bottom w:w="55" w:type="dxa"/>
              <w:end w:w="70" w:type="dxa"/>
            </w:tcMar>
            <w:vAlign w:val="top"/>
          </w:tcPr>
          <w:p>
            <w:pPr>
              <w:pStyle w:val="TableText"/>
            </w:pPr>
            <w:r>
              <w:t>Read the course page paper by paper. Practise timed thinking and discussion, not rehearsed “Cambridge answers”. Collect transcripts, syllabuses and marked work.</w:t>
            </w:r>
          </w:p>
        </w:tc>
      </w:tr>
      <w:tr>
        <w:trPr>
          <w:cantSplit w:val="true"/>
        </w:trPr>
        <w:tc>
          <w:tcPr>
            <w:tcW w:type="dxa" w:w="1701"/>
            <w:shd w:fill="F5F7F8"/>
            <w:tcMar>
              <w:top w:w="55" w:type="dxa"/>
              <w:start w:w="70" w:type="dxa"/>
              <w:bottom w:w="55" w:type="dxa"/>
              <w:end w:w="70" w:type="dxa"/>
            </w:tcMar>
            <w:vAlign w:val="top"/>
          </w:tcPr>
          <w:p>
            <w:pPr>
              <w:pStyle w:val="TableText"/>
            </w:pPr>
            <w:r>
              <w:t>6–3 months</w:t>
            </w:r>
          </w:p>
        </w:tc>
        <w:tc>
          <w:tcPr>
            <w:tcW w:type="dxa" w:w="8051"/>
            <w:shd w:fill="F5F7F8"/>
            <w:tcMar>
              <w:top w:w="55" w:type="dxa"/>
              <w:start w:w="70" w:type="dxa"/>
              <w:bottom w:w="55" w:type="dxa"/>
              <w:end w:w="70" w:type="dxa"/>
            </w:tcMar>
            <w:vAlign w:val="top"/>
          </w:tcPr>
          <w:p>
            <w:pPr>
              <w:pStyle w:val="TableText"/>
            </w:pPr>
            <w:r>
              <w:t>Draft a precise application narrative: why this subject now; what recent evidence shows readiness; what you learned from changes or gaps. Check admissions assessment and written-work rules.</w:t>
            </w:r>
          </w:p>
        </w:tc>
      </w:tr>
      <w:tr>
        <w:trPr>
          <w:cantSplit w:val="true"/>
        </w:trPr>
        <w:tc>
          <w:tcPr>
            <w:tcW w:type="dxa" w:w="1701"/>
            <w:tcMar>
              <w:top w:w="55" w:type="dxa"/>
              <w:start w:w="70" w:type="dxa"/>
              <w:bottom w:w="55" w:type="dxa"/>
              <w:end w:w="70" w:type="dxa"/>
            </w:tcMar>
            <w:vAlign w:val="top"/>
          </w:tcPr>
          <w:p>
            <w:pPr>
              <w:pStyle w:val="TableText"/>
            </w:pPr>
            <w:r>
              <w:t>Final 8 weeks</w:t>
            </w:r>
          </w:p>
        </w:tc>
        <w:tc>
          <w:tcPr>
            <w:tcW w:type="dxa" w:w="8051"/>
            <w:tcMar>
              <w:top w:w="55" w:type="dxa"/>
              <w:start w:w="70" w:type="dxa"/>
              <w:bottom w:w="55" w:type="dxa"/>
              <w:end w:w="70" w:type="dxa"/>
            </w:tcMar>
            <w:vAlign w:val="top"/>
          </w:tcPr>
          <w:p>
            <w:pPr>
              <w:pStyle w:val="TableText"/>
            </w:pPr>
            <w:r>
              <w:t>Confirm deadline, College, assessment registration, reference and transcript. Submit with time for My Cambridge Application. Keep copies of every form and email.</w:t>
            </w:r>
          </w:p>
        </w:tc>
      </w:tr>
      <w:tr>
        <w:trPr>
          <w:cantSplit w:val="true"/>
        </w:trPr>
        <w:tc>
          <w:tcPr>
            <w:tcW w:type="dxa" w:w="1701"/>
            <w:shd w:fill="F5F7F8"/>
            <w:tcMar>
              <w:top w:w="55" w:type="dxa"/>
              <w:start w:w="70" w:type="dxa"/>
              <w:bottom w:w="55" w:type="dxa"/>
              <w:end w:w="70" w:type="dxa"/>
            </w:tcMar>
            <w:vAlign w:val="top"/>
          </w:tcPr>
          <w:p>
            <w:pPr>
              <w:pStyle w:val="TableText"/>
            </w:pPr>
            <w:r>
              <w:t>Interview period</w:t>
            </w:r>
          </w:p>
        </w:tc>
        <w:tc>
          <w:tcPr>
            <w:tcW w:type="dxa" w:w="8051"/>
            <w:shd w:fill="F5F7F8"/>
            <w:tcMar>
              <w:top w:w="55" w:type="dxa"/>
              <w:start w:w="70" w:type="dxa"/>
              <w:bottom w:w="55" w:type="dxa"/>
              <w:end w:w="70" w:type="dxa"/>
            </w:tcMar>
            <w:vAlign w:val="top"/>
          </w:tcPr>
          <w:p>
            <w:pPr>
              <w:pStyle w:val="TableText"/>
            </w:pPr>
            <w:r>
              <w:t>Review core concepts and submitted work. Practise explaining a line of reasoning aloud and changing your mind when evidence changes.</w:t>
            </w:r>
          </w:p>
        </w:tc>
      </w:tr>
      <w:tr>
        <w:trPr>
          <w:cantSplit w:val="true"/>
        </w:trPr>
        <w:tc>
          <w:tcPr>
            <w:tcW w:type="dxa" w:w="1701"/>
            <w:tcMar>
              <w:top w:w="55" w:type="dxa"/>
              <w:start w:w="70" w:type="dxa"/>
              <w:bottom w:w="55" w:type="dxa"/>
              <w:end w:w="70" w:type="dxa"/>
            </w:tcMar>
            <w:vAlign w:val="top"/>
          </w:tcPr>
          <w:p>
            <w:pPr>
              <w:pStyle w:val="TableText"/>
            </w:pPr>
            <w:r>
              <w:t>Decision to offer</w:t>
            </w:r>
          </w:p>
        </w:tc>
        <w:tc>
          <w:tcPr>
            <w:tcW w:type="dxa" w:w="8051"/>
            <w:tcMar>
              <w:top w:w="55" w:type="dxa"/>
              <w:start w:w="70" w:type="dxa"/>
              <w:bottom w:w="55" w:type="dxa"/>
              <w:end w:w="70" w:type="dxa"/>
            </w:tcMar>
            <w:vAlign w:val="top"/>
          </w:tcPr>
          <w:p>
            <w:pPr>
              <w:pStyle w:val="TableText"/>
            </w:pPr>
            <w:r>
              <w:t>Read every condition literally. Do not resign, move house or spend non-refundable money until conditions, finance and visa position are secure.</w:t>
            </w:r>
          </w:p>
        </w:tc>
      </w:tr>
    </w:tbl>
    <w:p>
      <w:pPr>
        <w:spacing w:after="20"/>
      </w:pPr>
    </w:p>
    <w:p>
      <w:pPr>
        <w:pStyle w:val="Heading2"/>
        <w:keepNext/>
      </w:pPr>
      <w:r>
        <w:t>How to explain a non-linear history</w:t>
      </w:r>
    </w:p>
    <w:p>
      <w:r>
        <w:t>Use a factual three-part structure. First, state the path without self-accusation: “I left school in 2011 and worked in logistics.” Second, explain the intellectual turn: “Managing procurement exposed me to supply-chain economics and led me to study…” Third, show recent proof: “In the past year I completed modules X and Y, receiving…” Do not convert the personal statement into a plea for age to compensate for evidence. Do not hide a weak period that the form already reveals; explain it proportionately and move to what is different now.</w:t>
      </w:r>
    </w:p>
    <w:p>
      <w:pPr>
        <w:pStyle w:val="Heading2"/>
        <w:keepNext/>
      </w:pPr>
      <w:r>
        <w:t>Disability, caring and extenuating circumstances</w:t>
      </w:r>
    </w:p>
    <w:p>
      <w:r>
        <w:t>Disclosure of disability is not an argument against admission and can be necessary for fair adjustments. Use the admissions disability route for interview or assessment arrangements and contact the Accessibility and Disability Resource Centre for study planning once an offer is likely. Caring responsibilities and serious disruption should be explained through the appropriate form or reference with dates and educational effect, not merely named. [U12] [U36]</w:t>
      </w:r>
    </w:p>
    <w:p>
      <w:r>
        <w:t>Ask the College who sees sensitive information and for what purpose. Admissions, welfare, accommodation and disability processes do not always share data automatically. Repeating information can be tiring, but assuming that one disclosure reaches every relevant office is risky.</w:t>
      </w:r>
    </w:p>
    <w:p>
      <w:pPr>
        <w:pStyle w:val="Heading2"/>
        <w:keepNext/>
      </w:pPr>
      <w:r>
        <w:t>Questions for admissions offices</w:t>
      </w:r>
    </w:p>
    <w:p>
      <w:pPr>
        <w:pStyle w:val="ListBullet"/>
        <w:spacing w:after="30" w:line="247" w:lineRule="auto"/>
        <w:ind w:left="312" w:hanging="142"/>
      </w:pPr>
      <w:r>
        <w:t>Is my exact qualification profile acceptable for this course, and what grades or units are required?</w:t>
      </w:r>
    </w:p>
    <w:p>
      <w:pPr>
        <w:pStyle w:val="ListBullet"/>
        <w:spacing w:after="30" w:line="247" w:lineRule="auto"/>
        <w:ind w:left="312" w:hanging="142"/>
      </w:pPr>
      <w:r>
        <w:t>What recent academic evidence would you consider sufficient? Would the proposed OU or Access modules meet it?</w:t>
      </w:r>
    </w:p>
    <w:p>
      <w:pPr>
        <w:pStyle w:val="ListBullet"/>
        <w:spacing w:after="30" w:line="247" w:lineRule="auto"/>
        <w:ind w:left="312" w:hanging="142"/>
      </w:pPr>
      <w:r>
        <w:t>Does this course participate in the January mature round at your College?</w:t>
      </w:r>
    </w:p>
    <w:p>
      <w:pPr>
        <w:pStyle w:val="ListBullet"/>
        <w:spacing w:after="30" w:line="247" w:lineRule="auto"/>
        <w:ind w:left="312" w:hanging="142"/>
      </w:pPr>
      <w:r>
        <w:t>Is there an admissions assessment, written work or language requirement? Who registers me and by when?</w:t>
      </w:r>
    </w:p>
    <w:p>
      <w:pPr>
        <w:pStyle w:val="ListBullet"/>
        <w:spacing w:after="30" w:line="247" w:lineRule="auto"/>
        <w:ind w:left="312" w:hanging="142"/>
      </w:pPr>
      <w:r>
        <w:t>Can my referee be an Access tutor, OU tutor or employer, and what academic information must the reference contain?</w:t>
      </w:r>
    </w:p>
    <w:p>
      <w:pPr>
        <w:pStyle w:val="ListBullet"/>
        <w:spacing w:after="30" w:line="247" w:lineRule="auto"/>
        <w:ind w:left="312" w:hanging="142"/>
      </w:pPr>
      <w:r>
        <w:t>How should I document extenuating circumstances or a gap without duplicating confidential detail?</w:t>
      </w:r>
    </w:p>
    <w:p>
      <w:pPr>
        <w:pStyle w:val="ListBullet"/>
        <w:spacing w:after="30" w:line="247" w:lineRule="auto"/>
        <w:ind w:left="312" w:hanging="142"/>
      </w:pPr>
      <w:r>
        <w:t>Can I discuss accommodation, childcare or disability logistics without affecting academic assessment, and with whom?</w:t>
      </w:r>
    </w:p>
    <w:tbl>
      <w:tblPr>
        <w:tblW w:type="dxa" w:w="10037"/>
        <w:jc w:val="center"/>
        <w:tblLayout w:type="fixed"/>
        <w:tblLook w:firstColumn="1" w:firstRow="1" w:lastColumn="0" w:lastRow="0" w:noHBand="0" w:noVBand="1" w:val="04A0"/>
        <w:tblBorders>
          <w:top w:val="single" w:sz="0" w:space="0" w:color="F9EEEE"/>
          <w:left w:val="single" w:sz="0" w:space="0" w:color="F9EEEE"/>
          <w:bottom w:val="single" w:sz="0" w:space="0" w:color="F9EEEE"/>
          <w:right w:val="single" w:sz="0" w:space="0" w:color="F9EEEE"/>
          <w:insideH w:val="single" w:sz="0" w:space="0" w:color="F9EEEE"/>
          <w:insideV w:val="single" w:sz="0" w:space="0" w:color="F9EEEE"/>
        </w:tblBorders>
      </w:tblPr>
      <w:tblGrid>
        <w:gridCol w:w="159"/>
        <w:gridCol w:w="9877"/>
      </w:tblGrid>
      <w:tr>
        <w:trPr>
          <w:cantSplit w:val="true"/>
        </w:trPr>
        <w:tc>
          <w:tcPr>
            <w:tcW w:type="dxa" w:w="158"/>
            <w:tcMar>
              <w:top w:w="80" w:type="dxa"/>
              <w:start w:w="100" w:type="dxa"/>
              <w:bottom w:w="80" w:type="dxa"/>
              <w:end w:w="100" w:type="dxa"/>
            </w:tcMar>
            <w:shd w:fill="A33A3A"/>
          </w:tcPr>
          <w:p/>
        </w:tc>
        <w:tc>
          <w:tcPr>
            <w:tcW w:type="dxa" w:w="9878"/>
            <w:tcMar>
              <w:top w:w="80" w:type="dxa"/>
              <w:start w:w="100" w:type="dxa"/>
              <w:bottom w:w="80" w:type="dxa"/>
              <w:end w:w="100" w:type="dxa"/>
            </w:tcMar>
            <w:shd w:fill="F9EEEE"/>
            <w:vAlign w:val="center"/>
          </w:tcPr>
          <w:p>
            <w:pPr>
              <w:pStyle w:val="BoxHeading"/>
            </w:pPr>
            <w:r>
              <w:t>MYTH: AGE LOWERS THE BAR</w:t>
            </w:r>
          </w:p>
          <w:p>
            <w:pPr>
              <w:spacing w:after="0"/>
            </w:pPr>
            <w:r>
              <w:t>False. Age can explain the route and add perspective, but the academic decision still asks whether you can thrive on the course. Mature admissions is a route for evaluating evidence fairly, not a reduced standard. [U01]</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Recent, relevant, assessed work is the strongest answer to “Can I still do this?”</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Will these exact modules meet the subject preparation? Which January or October route applies? What evidence and deadlines are course-specific?</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Paying for a qualification because it sounds impressive before obtaining written confirmation that the course will recognise it.</w:t>
            </w:r>
          </w:p>
        </w:tc>
      </w:tr>
    </w:tbl>
    <w:p>
      <w:pPr>
        <w:spacing w:after="40"/>
      </w:pPr>
    </w:p>
    <w:p>
      <w:pPr>
        <w:pStyle w:val="Heading1"/>
        <w:keepNext/>
      </w:pPr>
      <w:r>
        <w:t>4. How Cambridge actually works</w:t>
      </w:r>
    </w:p>
    <w:p>
      <w:pPr>
        <w:spacing w:after="160"/>
      </w:pPr>
      <w:r>
        <w:rPr>
          <w:i/>
          <w:color w:val="5F6B73"/>
          <w:sz w:val="20"/>
        </w:rPr>
        <w:t>Learn the map before you need to cross it in a crisis.</w:t>
      </w:r>
    </w:p>
    <w:p>
      <w:pPr>
        <w:pStyle w:val="Heading2"/>
        <w:keepNext/>
      </w:pPr>
      <w:r>
        <w:t>Three overlapping institutions</w:t>
      </w:r>
    </w:p>
    <w:p>
      <w:r>
        <w:t>The University is a confederation of Schools, Faculties, Departments and 31 autonomous Colleges. Your degree and examinations belong to the University. Your subject teaching is organised mainly by a Faculty or Department, although Colleges arrange undergraduate supervisions. Your College is your residential, pastoral and much of your social base. This is why a timetable problem, a rent problem and a health problem may require three different conversations. [U02] [U03]</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701"/>
        <w:gridCol w:w="4535"/>
        <w:gridCol w:w="3515"/>
      </w:tblGrid>
      <w:tr>
        <w:trPr>
          <w:tblHeader w:val="true"/>
          <w:cantSplit w:val="true"/>
        </w:trPr>
        <w:tc>
          <w:tcPr>
            <w:tcW w:type="dxa" w:w="1701"/>
            <w:shd w:fill="17324D"/>
            <w:tcMar>
              <w:top w:w="70" w:type="dxa"/>
              <w:start w:w="80" w:type="dxa"/>
              <w:bottom w:w="70" w:type="dxa"/>
              <w:end w:w="80" w:type="dxa"/>
            </w:tcMar>
            <w:vAlign w:val="center"/>
          </w:tcPr>
          <w:p>
            <w:pPr>
              <w:pStyle w:val="TableText"/>
              <w:jc w:val="left"/>
            </w:pPr>
            <w:r>
              <w:rPr>
                <w:b/>
                <w:color w:val="FFFFFF"/>
                <w:sz w:val="15"/>
              </w:rPr>
              <w:t>Part of Cambridge</w:t>
            </w:r>
          </w:p>
        </w:tc>
        <w:tc>
          <w:tcPr>
            <w:tcW w:type="dxa" w:w="4536"/>
            <w:shd w:fill="17324D"/>
            <w:tcMar>
              <w:top w:w="70" w:type="dxa"/>
              <w:start w:w="80" w:type="dxa"/>
              <w:bottom w:w="70" w:type="dxa"/>
              <w:end w:w="80" w:type="dxa"/>
            </w:tcMar>
            <w:vAlign w:val="center"/>
          </w:tcPr>
          <w:p>
            <w:pPr>
              <w:pStyle w:val="TableText"/>
              <w:jc w:val="left"/>
            </w:pPr>
            <w:r>
              <w:rPr>
                <w:b/>
                <w:color w:val="FFFFFF"/>
                <w:sz w:val="15"/>
              </w:rPr>
              <w:t>Usually responsible for</w:t>
            </w:r>
          </w:p>
        </w:tc>
        <w:tc>
          <w:tcPr>
            <w:tcW w:type="dxa" w:w="3515"/>
            <w:shd w:fill="17324D"/>
            <w:tcMar>
              <w:top w:w="70" w:type="dxa"/>
              <w:start w:w="80" w:type="dxa"/>
              <w:bottom w:w="70" w:type="dxa"/>
              <w:end w:w="80" w:type="dxa"/>
            </w:tcMar>
            <w:vAlign w:val="center"/>
          </w:tcPr>
          <w:p>
            <w:pPr>
              <w:pStyle w:val="TableText"/>
              <w:jc w:val="left"/>
            </w:pPr>
            <w:r>
              <w:rPr>
                <w:b/>
                <w:color w:val="FFFFFF"/>
                <w:sz w:val="15"/>
              </w:rPr>
              <w:t>Usually not the first door for</w:t>
            </w:r>
          </w:p>
        </w:tc>
      </w:tr>
      <w:tr>
        <w:trPr>
          <w:cantSplit w:val="true"/>
        </w:trPr>
        <w:tc>
          <w:tcPr>
            <w:tcW w:type="dxa" w:w="1701"/>
            <w:tcMar>
              <w:top w:w="55" w:type="dxa"/>
              <w:start w:w="70" w:type="dxa"/>
              <w:bottom w:w="55" w:type="dxa"/>
              <w:end w:w="70" w:type="dxa"/>
            </w:tcMar>
            <w:vAlign w:val="top"/>
          </w:tcPr>
          <w:p>
            <w:pPr>
              <w:pStyle w:val="TableText"/>
            </w:pPr>
            <w:r>
              <w:t>University central services</w:t>
            </w:r>
          </w:p>
        </w:tc>
        <w:tc>
          <w:tcPr>
            <w:tcW w:type="dxa" w:w="4536"/>
            <w:tcMar>
              <w:top w:w="55" w:type="dxa"/>
              <w:start w:w="70" w:type="dxa"/>
              <w:bottom w:w="55" w:type="dxa"/>
              <w:end w:w="70" w:type="dxa"/>
            </w:tcMar>
            <w:vAlign w:val="top"/>
          </w:tcPr>
          <w:p>
            <w:pPr>
              <w:pStyle w:val="TableText"/>
            </w:pPr>
            <w:r>
              <w:t>Degree regulations; central libraries and IT; disability resource; counselling and specialist welfare; careers; student complaints and central procedures.</w:t>
            </w:r>
          </w:p>
        </w:tc>
        <w:tc>
          <w:tcPr>
            <w:tcW w:type="dxa" w:w="3515"/>
            <w:tcMar>
              <w:top w:w="55" w:type="dxa"/>
              <w:start w:w="70" w:type="dxa"/>
              <w:bottom w:w="55" w:type="dxa"/>
              <w:end w:w="70" w:type="dxa"/>
            </w:tcMar>
            <w:vAlign w:val="top"/>
          </w:tcPr>
          <w:p>
            <w:pPr>
              <w:pStyle w:val="TableText"/>
            </w:pPr>
            <w:r>
              <w:t>Routine room allocation, your weekly essay topic or a College bill query.</w:t>
            </w:r>
          </w:p>
        </w:tc>
      </w:tr>
      <w:tr>
        <w:trPr>
          <w:cantSplit w:val="true"/>
        </w:trPr>
        <w:tc>
          <w:tcPr>
            <w:tcW w:type="dxa" w:w="1701"/>
            <w:shd w:fill="F5F7F8"/>
            <w:tcMar>
              <w:top w:w="55" w:type="dxa"/>
              <w:start w:w="70" w:type="dxa"/>
              <w:bottom w:w="55" w:type="dxa"/>
              <w:end w:w="70" w:type="dxa"/>
            </w:tcMar>
            <w:vAlign w:val="top"/>
          </w:tcPr>
          <w:p>
            <w:pPr>
              <w:pStyle w:val="TableText"/>
            </w:pPr>
            <w:r>
              <w:t>Faculty / Department</w:t>
            </w:r>
          </w:p>
        </w:tc>
        <w:tc>
          <w:tcPr>
            <w:tcW w:type="dxa" w:w="4536"/>
            <w:shd w:fill="F5F7F8"/>
            <w:tcMar>
              <w:top w:w="55" w:type="dxa"/>
              <w:start w:w="70" w:type="dxa"/>
              <w:bottom w:w="55" w:type="dxa"/>
              <w:end w:w="70" w:type="dxa"/>
            </w:tcMar>
            <w:vAlign w:val="top"/>
          </w:tcPr>
          <w:p>
            <w:pPr>
              <w:pStyle w:val="TableText"/>
            </w:pPr>
            <w:r>
              <w:t>Lectures, laboratories, seminars, course handbooks, paper content, placements, departmental libraries, some coursework and exam guidance.</w:t>
            </w:r>
          </w:p>
        </w:tc>
        <w:tc>
          <w:tcPr>
            <w:tcW w:type="dxa" w:w="3515"/>
            <w:shd w:fill="F5F7F8"/>
            <w:tcMar>
              <w:top w:w="55" w:type="dxa"/>
              <w:start w:w="70" w:type="dxa"/>
              <w:bottom w:w="55" w:type="dxa"/>
              <w:end w:w="70" w:type="dxa"/>
            </w:tcMar>
            <w:vAlign w:val="top"/>
          </w:tcPr>
          <w:p>
            <w:pPr>
              <w:pStyle w:val="TableText"/>
            </w:pPr>
            <w:r>
              <w:t>College rent, pastoral support or arranging most undergraduate supervisions.</w:t>
            </w:r>
          </w:p>
        </w:tc>
      </w:tr>
      <w:tr>
        <w:trPr>
          <w:cantSplit w:val="true"/>
        </w:trPr>
        <w:tc>
          <w:tcPr>
            <w:tcW w:type="dxa" w:w="1701"/>
            <w:tcMar>
              <w:top w:w="55" w:type="dxa"/>
              <w:start w:w="70" w:type="dxa"/>
              <w:bottom w:w="55" w:type="dxa"/>
              <w:end w:w="70" w:type="dxa"/>
            </w:tcMar>
            <w:vAlign w:val="top"/>
          </w:tcPr>
          <w:p>
            <w:pPr>
              <w:pStyle w:val="TableText"/>
            </w:pPr>
            <w:r>
              <w:t>College</w:t>
            </w:r>
          </w:p>
        </w:tc>
        <w:tc>
          <w:tcPr>
            <w:tcW w:type="dxa" w:w="4536"/>
            <w:tcMar>
              <w:top w:w="55" w:type="dxa"/>
              <w:start w:w="70" w:type="dxa"/>
              <w:bottom w:w="55" w:type="dxa"/>
              <w:end w:w="70" w:type="dxa"/>
            </w:tcMar>
            <w:vAlign w:val="top"/>
          </w:tcPr>
          <w:p>
            <w:pPr>
              <w:pStyle w:val="TableText"/>
            </w:pPr>
            <w:r>
              <w:t>Admission, accommodation, meals, supervisions, Director of Studies, Tutor, local welfare, College grants, community and many ceremonies.</w:t>
            </w:r>
          </w:p>
        </w:tc>
        <w:tc>
          <w:tcPr>
            <w:tcW w:type="dxa" w:w="3515"/>
            <w:tcMar>
              <w:top w:w="55" w:type="dxa"/>
              <w:start w:w="70" w:type="dxa"/>
              <w:bottom w:w="55" w:type="dxa"/>
              <w:end w:w="70" w:type="dxa"/>
            </w:tcMar>
            <w:vAlign w:val="top"/>
          </w:tcPr>
          <w:p>
            <w:pPr>
              <w:pStyle w:val="TableText"/>
            </w:pPr>
            <w:r>
              <w:t>Changing University examination regulations or a Department’s laboratory timetable.</w:t>
            </w:r>
          </w:p>
        </w:tc>
      </w:tr>
      <w:tr>
        <w:trPr>
          <w:cantSplit w:val="true"/>
        </w:trPr>
        <w:tc>
          <w:tcPr>
            <w:tcW w:type="dxa" w:w="1701"/>
            <w:shd w:fill="F5F7F8"/>
            <w:tcMar>
              <w:top w:w="55" w:type="dxa"/>
              <w:start w:w="70" w:type="dxa"/>
              <w:bottom w:w="55" w:type="dxa"/>
              <w:end w:w="70" w:type="dxa"/>
            </w:tcMar>
            <w:vAlign w:val="top"/>
          </w:tcPr>
          <w:p>
            <w:pPr>
              <w:pStyle w:val="TableText"/>
            </w:pPr>
            <w:r>
              <w:t>Course / Tripos</w:t>
            </w:r>
          </w:p>
        </w:tc>
        <w:tc>
          <w:tcPr>
            <w:tcW w:type="dxa" w:w="4536"/>
            <w:shd w:fill="F5F7F8"/>
            <w:tcMar>
              <w:top w:w="55" w:type="dxa"/>
              <w:start w:w="70" w:type="dxa"/>
              <w:bottom w:w="55" w:type="dxa"/>
              <w:end w:w="70" w:type="dxa"/>
            </w:tcMar>
            <w:vAlign w:val="top"/>
          </w:tcPr>
          <w:p>
            <w:pPr>
              <w:pStyle w:val="TableText"/>
            </w:pPr>
            <w:r>
              <w:t>The structure and progression rules for the particular degree.</w:t>
            </w:r>
          </w:p>
        </w:tc>
        <w:tc>
          <w:tcPr>
            <w:tcW w:type="dxa" w:w="3515"/>
            <w:shd w:fill="F5F7F8"/>
            <w:tcMar>
              <w:top w:w="55" w:type="dxa"/>
              <w:start w:w="70" w:type="dxa"/>
              <w:bottom w:w="55" w:type="dxa"/>
              <w:end w:w="70" w:type="dxa"/>
            </w:tcMar>
            <w:vAlign w:val="top"/>
          </w:tcPr>
          <w:p>
            <w:pPr>
              <w:pStyle w:val="TableText"/>
            </w:pPr>
            <w:r>
              <w:t>A single universal Cambridge workload or assessment pattern—there is none.</w:t>
            </w:r>
          </w:p>
        </w:tc>
      </w:tr>
    </w:tbl>
    <w:p>
      <w:pPr>
        <w:spacing w:after="20"/>
      </w:pPr>
    </w:p>
    <w:p>
      <w:pPr>
        <w:pStyle w:val="Heading2"/>
        <w:keepNext/>
      </w:pPr>
      <w:r>
        <w:t>Supervisor, Director of Studies, adviser and Tutor</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THE DISTINCTION TO REMEMBER</w:t>
            </w:r>
          </w:p>
          <w:p>
            <w:pPr>
              <w:spacing w:after="40"/>
            </w:pPr>
            <w:r>
              <w:t>Supervisor: teaches a particular subject area or paper in a small group, reads the work set for that supervision and gives detailed academic feedback.</w:t>
            </w:r>
          </w:p>
          <w:p>
            <w:pPr>
              <w:spacing w:after="40"/>
            </w:pPr>
            <w:r>
              <w:t>Director of Studies (DoS): your College’s academic coordinator for the course. They arrange or oversee supervisors, monitor reports, advise on paper choices and respond when academic difficulty is persistent or structural.</w:t>
            </w:r>
          </w:p>
          <w:p>
            <w:pPr>
              <w:spacing w:after="40"/>
            </w:pPr>
            <w:r>
              <w:t>Tutor: a College pastoral role, not normally an academic teacher for your subject. Go to the Tutor about illness, bereavement, family crisis, money, welfare, intermission and navigating College processes.</w:t>
            </w:r>
          </w:p>
          <w:p>
            <w:pPr>
              <w:spacing w:after="0"/>
            </w:pPr>
            <w:r>
              <w:t>Adviser/advisor: not one standard University-wide undergraduate office. It may mean a disability adviser, careers adviser, international adviser, financial adviser or a College-specific mentor. Ask what authority and confidentiality the role has.</w:t>
            </w:r>
          </w:p>
        </w:tc>
      </w:tr>
    </w:tbl>
    <w:p>
      <w:pPr>
        <w:spacing w:after="20"/>
      </w:pPr>
    </w:p>
    <w:p>
      <w:r>
        <w:t>A supervisor may notice that you look unwell, but is not automatically your welfare caseworker. A Tutor may be an academic in another subject, but their relationship with you is pastoral. A DoS can help redesign academic arrangements but may need the Tutor or College committee for formal welfare or intermission processes. The safest practice is often parallel communication: “I have told my Tutor about the medical issue; I am telling you because it affects this week’s supervision.”</w:t>
      </w:r>
    </w:p>
    <w:p>
      <w:pPr>
        <w:pStyle w:val="Heading2"/>
        <w:keepNext/>
      </w:pPr>
      <w:r>
        <w:t>Other people you will meet</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928"/>
        <w:gridCol w:w="4195"/>
        <w:gridCol w:w="3628"/>
      </w:tblGrid>
      <w:tr>
        <w:trPr>
          <w:tblHeader w:val="true"/>
          <w:cantSplit w:val="true"/>
        </w:trPr>
        <w:tc>
          <w:tcPr>
            <w:tcW w:type="dxa" w:w="1927"/>
            <w:shd w:fill="17324D"/>
            <w:tcMar>
              <w:top w:w="70" w:type="dxa"/>
              <w:start w:w="80" w:type="dxa"/>
              <w:bottom w:w="70" w:type="dxa"/>
              <w:end w:w="80" w:type="dxa"/>
            </w:tcMar>
            <w:vAlign w:val="center"/>
          </w:tcPr>
          <w:p>
            <w:pPr>
              <w:pStyle w:val="TableText"/>
              <w:jc w:val="left"/>
            </w:pPr>
            <w:r>
              <w:rPr>
                <w:b/>
                <w:color w:val="FFFFFF"/>
                <w:sz w:val="15"/>
              </w:rPr>
              <w:t>Role</w:t>
            </w:r>
          </w:p>
        </w:tc>
        <w:tc>
          <w:tcPr>
            <w:tcW w:type="dxa" w:w="4195"/>
            <w:shd w:fill="17324D"/>
            <w:tcMar>
              <w:top w:w="70" w:type="dxa"/>
              <w:start w:w="80" w:type="dxa"/>
              <w:bottom w:w="70" w:type="dxa"/>
              <w:end w:w="80" w:type="dxa"/>
            </w:tcMar>
            <w:vAlign w:val="center"/>
          </w:tcPr>
          <w:p>
            <w:pPr>
              <w:pStyle w:val="TableText"/>
              <w:jc w:val="left"/>
            </w:pPr>
            <w:r>
              <w:rPr>
                <w:b/>
                <w:color w:val="FFFFFF"/>
                <w:sz w:val="15"/>
              </w:rPr>
              <w:t>Plain-English function</w:t>
            </w:r>
          </w:p>
        </w:tc>
        <w:tc>
          <w:tcPr>
            <w:tcW w:type="dxa" w:w="3628"/>
            <w:shd w:fill="17324D"/>
            <w:tcMar>
              <w:top w:w="70" w:type="dxa"/>
              <w:start w:w="80" w:type="dxa"/>
              <w:bottom w:w="70" w:type="dxa"/>
              <w:end w:w="80" w:type="dxa"/>
            </w:tcMar>
            <w:vAlign w:val="center"/>
          </w:tcPr>
          <w:p>
            <w:pPr>
              <w:pStyle w:val="TableText"/>
              <w:jc w:val="left"/>
            </w:pPr>
            <w:r>
              <w:rPr>
                <w:b/>
                <w:color w:val="FFFFFF"/>
                <w:sz w:val="15"/>
              </w:rPr>
              <w:t>Useful first sentence</w:t>
            </w:r>
          </w:p>
        </w:tc>
      </w:tr>
      <w:tr>
        <w:trPr>
          <w:cantSplit w:val="true"/>
        </w:trPr>
        <w:tc>
          <w:tcPr>
            <w:tcW w:type="dxa" w:w="1927"/>
            <w:tcMar>
              <w:top w:w="55" w:type="dxa"/>
              <w:start w:w="70" w:type="dxa"/>
              <w:bottom w:w="55" w:type="dxa"/>
              <w:end w:w="70" w:type="dxa"/>
            </w:tcMar>
            <w:vAlign w:val="top"/>
          </w:tcPr>
          <w:p>
            <w:pPr>
              <w:pStyle w:val="TableText"/>
            </w:pPr>
            <w:r>
              <w:t>Senior Tutor</w:t>
            </w:r>
          </w:p>
        </w:tc>
        <w:tc>
          <w:tcPr>
            <w:tcW w:type="dxa" w:w="4195"/>
            <w:tcMar>
              <w:top w:w="55" w:type="dxa"/>
              <w:start w:w="70" w:type="dxa"/>
              <w:bottom w:w="55" w:type="dxa"/>
              <w:end w:w="70" w:type="dxa"/>
            </w:tcMar>
            <w:vAlign w:val="top"/>
          </w:tcPr>
          <w:p>
            <w:pPr>
              <w:pStyle w:val="TableText"/>
            </w:pPr>
            <w:r>
              <w:t>Senior College officer overseeing education and welfare structures; usually an escalation point rather than first contact.</w:t>
            </w:r>
          </w:p>
        </w:tc>
        <w:tc>
          <w:tcPr>
            <w:tcW w:type="dxa" w:w="3628"/>
            <w:tcMar>
              <w:top w:w="55" w:type="dxa"/>
              <w:start w:w="70" w:type="dxa"/>
              <w:bottom w:w="55" w:type="dxa"/>
              <w:end w:w="70" w:type="dxa"/>
            </w:tcMar>
            <w:vAlign w:val="top"/>
          </w:tcPr>
          <w:p>
            <w:pPr>
              <w:pStyle w:val="TableText"/>
            </w:pPr>
            <w:r>
              <w:t>“My Tutor/DoS and I have not been able to resolve…”</w:t>
            </w:r>
          </w:p>
        </w:tc>
      </w:tr>
      <w:tr>
        <w:trPr>
          <w:cantSplit w:val="true"/>
        </w:trPr>
        <w:tc>
          <w:tcPr>
            <w:tcW w:type="dxa" w:w="1927"/>
            <w:shd w:fill="F5F7F8"/>
            <w:tcMar>
              <w:top w:w="55" w:type="dxa"/>
              <w:start w:w="70" w:type="dxa"/>
              <w:bottom w:w="55" w:type="dxa"/>
              <w:end w:w="70" w:type="dxa"/>
            </w:tcMar>
            <w:vAlign w:val="top"/>
          </w:tcPr>
          <w:p>
            <w:pPr>
              <w:pStyle w:val="TableText"/>
            </w:pPr>
            <w:r>
              <w:t>Porter / Porters’ Lodge</w:t>
            </w:r>
          </w:p>
        </w:tc>
        <w:tc>
          <w:tcPr>
            <w:tcW w:type="dxa" w:w="4195"/>
            <w:shd w:fill="F5F7F8"/>
            <w:tcMar>
              <w:top w:w="55" w:type="dxa"/>
              <w:start w:w="70" w:type="dxa"/>
              <w:bottom w:w="55" w:type="dxa"/>
              <w:end w:w="70" w:type="dxa"/>
            </w:tcMar>
            <w:vAlign w:val="top"/>
          </w:tcPr>
          <w:p>
            <w:pPr>
              <w:pStyle w:val="TableText"/>
            </w:pPr>
            <w:r>
              <w:t>Front-of-house College staff handling keys, visitors, security, post and practical incidents; the Lodge often operates beyond office hours.</w:t>
            </w:r>
          </w:p>
        </w:tc>
        <w:tc>
          <w:tcPr>
            <w:tcW w:type="dxa" w:w="3628"/>
            <w:shd w:fill="F5F7F8"/>
            <w:tcMar>
              <w:top w:w="55" w:type="dxa"/>
              <w:start w:w="70" w:type="dxa"/>
              <w:bottom w:w="55" w:type="dxa"/>
              <w:end w:w="70" w:type="dxa"/>
            </w:tcMar>
            <w:vAlign w:val="top"/>
          </w:tcPr>
          <w:p>
            <w:pPr>
              <w:pStyle w:val="TableText"/>
            </w:pPr>
            <w:r>
              <w:t>“I am a resident student and need immediate practical help with…”</w:t>
            </w:r>
          </w:p>
        </w:tc>
      </w:tr>
      <w:tr>
        <w:trPr>
          <w:cantSplit w:val="true"/>
        </w:trPr>
        <w:tc>
          <w:tcPr>
            <w:tcW w:type="dxa" w:w="1927"/>
            <w:tcMar>
              <w:top w:w="55" w:type="dxa"/>
              <w:start w:w="70" w:type="dxa"/>
              <w:bottom w:w="55" w:type="dxa"/>
              <w:end w:w="70" w:type="dxa"/>
            </w:tcMar>
            <w:vAlign w:val="top"/>
          </w:tcPr>
          <w:p>
            <w:pPr>
              <w:pStyle w:val="TableText"/>
            </w:pPr>
            <w:r>
              <w:t>College nurse</w:t>
            </w:r>
          </w:p>
        </w:tc>
        <w:tc>
          <w:tcPr>
            <w:tcW w:type="dxa" w:w="4195"/>
            <w:tcMar>
              <w:top w:w="55" w:type="dxa"/>
              <w:start w:w="70" w:type="dxa"/>
              <w:bottom w:w="55" w:type="dxa"/>
              <w:end w:w="70" w:type="dxa"/>
            </w:tcMar>
            <w:vAlign w:val="top"/>
          </w:tcPr>
          <w:p>
            <w:pPr>
              <w:pStyle w:val="TableText"/>
            </w:pPr>
            <w:r>
              <w:t>College health support where provided; scope, hours and prescribing rights vary. Not a substitute for GP or emergency care.</w:t>
            </w:r>
          </w:p>
        </w:tc>
        <w:tc>
          <w:tcPr>
            <w:tcW w:type="dxa" w:w="3628"/>
            <w:tcMar>
              <w:top w:w="55" w:type="dxa"/>
              <w:start w:w="70" w:type="dxa"/>
              <w:bottom w:w="55" w:type="dxa"/>
              <w:end w:w="70" w:type="dxa"/>
            </w:tcMar>
            <w:vAlign w:val="top"/>
          </w:tcPr>
          <w:p>
            <w:pPr>
              <w:pStyle w:val="TableText"/>
            </w:pPr>
            <w:r>
              <w:t>“Is this within your service, or should I contact my GP/111?”</w:t>
            </w:r>
          </w:p>
        </w:tc>
      </w:tr>
      <w:tr>
        <w:trPr>
          <w:cantSplit w:val="true"/>
        </w:trPr>
        <w:tc>
          <w:tcPr>
            <w:tcW w:type="dxa" w:w="1927"/>
            <w:shd w:fill="F5F7F8"/>
            <w:tcMar>
              <w:top w:w="55" w:type="dxa"/>
              <w:start w:w="70" w:type="dxa"/>
              <w:bottom w:w="55" w:type="dxa"/>
              <w:end w:w="70" w:type="dxa"/>
            </w:tcMar>
            <w:vAlign w:val="top"/>
          </w:tcPr>
          <w:p>
            <w:pPr>
              <w:pStyle w:val="TableText"/>
            </w:pPr>
            <w:r>
              <w:t>College welfare officer/counsellor</w:t>
            </w:r>
          </w:p>
        </w:tc>
        <w:tc>
          <w:tcPr>
            <w:tcW w:type="dxa" w:w="4195"/>
            <w:shd w:fill="F5F7F8"/>
            <w:tcMar>
              <w:top w:w="55" w:type="dxa"/>
              <w:start w:w="70" w:type="dxa"/>
              <w:bottom w:w="55" w:type="dxa"/>
              <w:end w:w="70" w:type="dxa"/>
            </w:tcMar>
            <w:vAlign w:val="top"/>
          </w:tcPr>
          <w:p>
            <w:pPr>
              <w:pStyle w:val="TableText"/>
            </w:pPr>
            <w:r>
              <w:t>A local role in some Colleges; availability, qualifications and confidentiality differ.</w:t>
            </w:r>
          </w:p>
        </w:tc>
        <w:tc>
          <w:tcPr>
            <w:tcW w:type="dxa" w:w="3628"/>
            <w:shd w:fill="F5F7F8"/>
            <w:tcMar>
              <w:top w:w="55" w:type="dxa"/>
              <w:start w:w="70" w:type="dxa"/>
              <w:bottom w:w="55" w:type="dxa"/>
              <w:end w:w="70" w:type="dxa"/>
            </w:tcMar>
            <w:vAlign w:val="top"/>
          </w:tcPr>
          <w:p>
            <w:pPr>
              <w:pStyle w:val="TableText"/>
            </w:pPr>
            <w:r>
              <w:t>“Before I disclose details, what is confidential and what must be shared?”</w:t>
            </w:r>
          </w:p>
        </w:tc>
      </w:tr>
      <w:tr>
        <w:trPr>
          <w:cantSplit w:val="true"/>
        </w:trPr>
        <w:tc>
          <w:tcPr>
            <w:tcW w:type="dxa" w:w="1927"/>
            <w:tcMar>
              <w:top w:w="55" w:type="dxa"/>
              <w:start w:w="70" w:type="dxa"/>
              <w:bottom w:w="55" w:type="dxa"/>
              <w:end w:w="70" w:type="dxa"/>
            </w:tcMar>
            <w:vAlign w:val="top"/>
          </w:tcPr>
          <w:p>
            <w:pPr>
              <w:pStyle w:val="TableText"/>
            </w:pPr>
            <w:r>
              <w:t>Faculty administrator</w:t>
            </w:r>
          </w:p>
        </w:tc>
        <w:tc>
          <w:tcPr>
            <w:tcW w:type="dxa" w:w="4195"/>
            <w:tcMar>
              <w:top w:w="55" w:type="dxa"/>
              <w:start w:w="70" w:type="dxa"/>
              <w:bottom w:w="55" w:type="dxa"/>
              <w:end w:w="70" w:type="dxa"/>
            </w:tcMar>
            <w:vAlign w:val="top"/>
          </w:tcPr>
          <w:p>
            <w:pPr>
              <w:pStyle w:val="TableText"/>
            </w:pPr>
            <w:r>
              <w:t>Operational expert for timetables, submissions, forms and course rules.</w:t>
            </w:r>
          </w:p>
        </w:tc>
        <w:tc>
          <w:tcPr>
            <w:tcW w:type="dxa" w:w="3628"/>
            <w:tcMar>
              <w:top w:w="55" w:type="dxa"/>
              <w:start w:w="70" w:type="dxa"/>
              <w:bottom w:w="55" w:type="dxa"/>
              <w:end w:w="70" w:type="dxa"/>
            </w:tcMar>
            <w:vAlign w:val="top"/>
          </w:tcPr>
          <w:p>
            <w:pPr>
              <w:pStyle w:val="TableText"/>
            </w:pPr>
            <w:r>
              <w:t>“Which published rule applies, and where is the current form?”</w:t>
            </w:r>
          </w:p>
        </w:tc>
      </w:tr>
      <w:tr>
        <w:trPr>
          <w:cantSplit w:val="true"/>
        </w:trPr>
        <w:tc>
          <w:tcPr>
            <w:tcW w:type="dxa" w:w="1927"/>
            <w:shd w:fill="F5F7F8"/>
            <w:tcMar>
              <w:top w:w="55" w:type="dxa"/>
              <w:start w:w="70" w:type="dxa"/>
              <w:bottom w:w="55" w:type="dxa"/>
              <w:end w:w="70" w:type="dxa"/>
            </w:tcMar>
            <w:vAlign w:val="top"/>
          </w:tcPr>
          <w:p>
            <w:pPr>
              <w:pStyle w:val="TableText"/>
            </w:pPr>
            <w:r>
              <w:t>Course organiser / paper coordinator</w:t>
            </w:r>
          </w:p>
        </w:tc>
        <w:tc>
          <w:tcPr>
            <w:tcW w:type="dxa" w:w="4195"/>
            <w:shd w:fill="F5F7F8"/>
            <w:tcMar>
              <w:top w:w="55" w:type="dxa"/>
              <w:start w:w="70" w:type="dxa"/>
              <w:bottom w:w="55" w:type="dxa"/>
              <w:end w:w="70" w:type="dxa"/>
            </w:tcMar>
            <w:vAlign w:val="top"/>
          </w:tcPr>
          <w:p>
            <w:pPr>
              <w:pStyle w:val="TableText"/>
            </w:pPr>
            <w:r>
              <w:t>Academic lead for a module, practical, placement or paper.</w:t>
            </w:r>
          </w:p>
        </w:tc>
        <w:tc>
          <w:tcPr>
            <w:tcW w:type="dxa" w:w="3628"/>
            <w:shd w:fill="F5F7F8"/>
            <w:tcMar>
              <w:top w:w="55" w:type="dxa"/>
              <w:start w:w="70" w:type="dxa"/>
              <w:bottom w:w="55" w:type="dxa"/>
              <w:end w:w="70" w:type="dxa"/>
            </w:tcMar>
            <w:vAlign w:val="top"/>
          </w:tcPr>
          <w:p>
            <w:pPr>
              <w:pStyle w:val="TableText"/>
            </w:pPr>
            <w:r>
              <w:t>“The issue affects the whole paper/lab group rather than one supervision.”</w:t>
            </w:r>
          </w:p>
        </w:tc>
      </w:tr>
      <w:tr>
        <w:trPr>
          <w:cantSplit w:val="true"/>
        </w:trPr>
        <w:tc>
          <w:tcPr>
            <w:tcW w:type="dxa" w:w="1927"/>
            <w:tcMar>
              <w:top w:w="55" w:type="dxa"/>
              <w:start w:w="70" w:type="dxa"/>
              <w:bottom w:w="55" w:type="dxa"/>
              <w:end w:w="70" w:type="dxa"/>
            </w:tcMar>
            <w:vAlign w:val="top"/>
          </w:tcPr>
          <w:p>
            <w:pPr>
              <w:pStyle w:val="TableText"/>
            </w:pPr>
            <w:r>
              <w:t>JCR / MCR representative</w:t>
            </w:r>
          </w:p>
        </w:tc>
        <w:tc>
          <w:tcPr>
            <w:tcW w:type="dxa" w:w="4195"/>
            <w:tcMar>
              <w:top w:w="55" w:type="dxa"/>
              <w:start w:w="70" w:type="dxa"/>
              <w:bottom w:w="55" w:type="dxa"/>
              <w:end w:w="70" w:type="dxa"/>
            </w:tcMar>
            <w:vAlign w:val="top"/>
          </w:tcPr>
          <w:p>
            <w:pPr>
              <w:pStyle w:val="TableText"/>
            </w:pPr>
            <w:r>
              <w:t>Student representative for welfare, accommodation, equality, events or mature students.</w:t>
            </w:r>
          </w:p>
        </w:tc>
        <w:tc>
          <w:tcPr>
            <w:tcW w:type="dxa" w:w="3628"/>
            <w:tcMar>
              <w:top w:w="55" w:type="dxa"/>
              <w:start w:w="70" w:type="dxa"/>
              <w:bottom w:w="55" w:type="dxa"/>
              <w:end w:w="70" w:type="dxa"/>
            </w:tcMar>
            <w:vAlign w:val="top"/>
          </w:tcPr>
          <w:p>
            <w:pPr>
              <w:pStyle w:val="TableText"/>
            </w:pPr>
            <w:r>
              <w:t>“Is this a known pattern, and can you help me find the formal route?”</w:t>
            </w:r>
          </w:p>
        </w:tc>
      </w:tr>
      <w:tr>
        <w:trPr>
          <w:cantSplit w:val="true"/>
        </w:trPr>
        <w:tc>
          <w:tcPr>
            <w:tcW w:type="dxa" w:w="1927"/>
            <w:shd w:fill="F5F7F8"/>
            <w:tcMar>
              <w:top w:w="55" w:type="dxa"/>
              <w:start w:w="70" w:type="dxa"/>
              <w:bottom w:w="55" w:type="dxa"/>
              <w:end w:w="70" w:type="dxa"/>
            </w:tcMar>
            <w:vAlign w:val="top"/>
          </w:tcPr>
          <w:p>
            <w:pPr>
              <w:pStyle w:val="TableText"/>
            </w:pPr>
            <w:r>
              <w:t>Cambridge SU Student Advice</w:t>
            </w:r>
          </w:p>
        </w:tc>
        <w:tc>
          <w:tcPr>
            <w:tcW w:type="dxa" w:w="4195"/>
            <w:shd w:fill="F5F7F8"/>
            <w:tcMar>
              <w:top w:w="55" w:type="dxa"/>
              <w:start w:w="70" w:type="dxa"/>
              <w:bottom w:w="55" w:type="dxa"/>
              <w:end w:w="70" w:type="dxa"/>
            </w:tcMar>
            <w:vAlign w:val="top"/>
          </w:tcPr>
          <w:p>
            <w:pPr>
              <w:pStyle w:val="TableText"/>
            </w:pPr>
            <w:r>
              <w:t>Free, confidential, impartial external-to-College advice on academic, welfare, disciplinary and complaints issues. [SU01]</w:t>
            </w:r>
          </w:p>
        </w:tc>
        <w:tc>
          <w:tcPr>
            <w:tcW w:type="dxa" w:w="3628"/>
            <w:shd w:fill="F5F7F8"/>
            <w:tcMar>
              <w:top w:w="55" w:type="dxa"/>
              <w:start w:w="70" w:type="dxa"/>
              <w:bottom w:w="55" w:type="dxa"/>
              <w:end w:w="70" w:type="dxa"/>
            </w:tcMar>
            <w:vAlign w:val="top"/>
          </w:tcPr>
          <w:p>
            <w:pPr>
              <w:pStyle w:val="TableText"/>
            </w:pPr>
            <w:r>
              <w:t>“I need to understand my options before I respond to the College.”</w:t>
            </w:r>
          </w:p>
        </w:tc>
      </w:tr>
    </w:tbl>
    <w:p>
      <w:pPr>
        <w:spacing w:after="20"/>
      </w:pPr>
    </w:p>
    <w:p>
      <w:pPr>
        <w:pStyle w:val="Heading2"/>
        <w:keepNext/>
      </w:pPr>
      <w:r>
        <w:t>Who do I contact? Decision guide</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659"/>
        <w:gridCol w:w="1659"/>
        <w:gridCol w:w="3237"/>
        <w:gridCol w:w="3480"/>
      </w:tblGrid>
      <w:tr>
        <w:trPr>
          <w:tblHeader w:val="true"/>
          <w:cantSplit w:val="true"/>
        </w:trPr>
        <w:tc>
          <w:tcPr>
            <w:tcW w:type="dxa" w:w="1659"/>
            <w:shd w:fill="17324D"/>
            <w:tcMar>
              <w:top w:w="70" w:type="dxa"/>
              <w:start w:w="80" w:type="dxa"/>
              <w:bottom w:w="70" w:type="dxa"/>
              <w:end w:w="80" w:type="dxa"/>
            </w:tcMar>
            <w:vAlign w:val="center"/>
          </w:tcPr>
          <w:p>
            <w:pPr>
              <w:pStyle w:val="TableSmall"/>
              <w:jc w:val="left"/>
            </w:pPr>
            <w:r>
              <w:rPr>
                <w:b/>
                <w:color w:val="FFFFFF"/>
                <w:sz w:val="13"/>
              </w:rPr>
              <w:t>Problem</w:t>
            </w:r>
          </w:p>
        </w:tc>
        <w:tc>
          <w:tcPr>
            <w:tcW w:type="dxa" w:w="1659"/>
            <w:shd w:fill="17324D"/>
            <w:tcMar>
              <w:top w:w="70" w:type="dxa"/>
              <w:start w:w="80" w:type="dxa"/>
              <w:bottom w:w="70" w:type="dxa"/>
              <w:end w:w="80" w:type="dxa"/>
            </w:tcMar>
            <w:vAlign w:val="center"/>
          </w:tcPr>
          <w:p>
            <w:pPr>
              <w:pStyle w:val="TableSmall"/>
              <w:jc w:val="left"/>
            </w:pPr>
            <w:r>
              <w:rPr>
                <w:b/>
                <w:color w:val="FFFFFF"/>
                <w:sz w:val="13"/>
              </w:rPr>
              <w:t>First contact</w:t>
            </w:r>
          </w:p>
        </w:tc>
        <w:tc>
          <w:tcPr>
            <w:tcW w:type="dxa" w:w="3237"/>
            <w:shd w:fill="17324D"/>
            <w:tcMar>
              <w:top w:w="70" w:type="dxa"/>
              <w:start w:w="80" w:type="dxa"/>
              <w:bottom w:w="70" w:type="dxa"/>
              <w:end w:w="80" w:type="dxa"/>
            </w:tcMar>
            <w:vAlign w:val="center"/>
          </w:tcPr>
          <w:p>
            <w:pPr>
              <w:pStyle w:val="TableSmall"/>
              <w:jc w:val="left"/>
            </w:pPr>
            <w:r>
              <w:rPr>
                <w:b/>
                <w:color w:val="FFFFFF"/>
                <w:sz w:val="13"/>
              </w:rPr>
              <w:t>What to do</w:t>
            </w:r>
          </w:p>
        </w:tc>
        <w:tc>
          <w:tcPr>
            <w:tcW w:type="dxa" w:w="3480"/>
            <w:shd w:fill="17324D"/>
            <w:tcMar>
              <w:top w:w="70" w:type="dxa"/>
              <w:start w:w="80" w:type="dxa"/>
              <w:bottom w:w="70" w:type="dxa"/>
              <w:end w:w="80" w:type="dxa"/>
            </w:tcMar>
            <w:vAlign w:val="center"/>
          </w:tcPr>
          <w:p>
            <w:pPr>
              <w:pStyle w:val="TableSmall"/>
              <w:jc w:val="left"/>
            </w:pPr>
            <w:r>
              <w:rPr>
                <w:b/>
                <w:color w:val="FFFFFF"/>
                <w:sz w:val="13"/>
              </w:rPr>
              <w:t>Escalate when</w:t>
            </w:r>
          </w:p>
        </w:tc>
      </w:tr>
      <w:tr>
        <w:trPr>
          <w:cantSplit w:val="true"/>
        </w:trPr>
        <w:tc>
          <w:tcPr>
            <w:tcW w:type="dxa" w:w="1659"/>
            <w:tcMar>
              <w:top w:w="55" w:type="dxa"/>
              <w:start w:w="70" w:type="dxa"/>
              <w:bottom w:w="55" w:type="dxa"/>
              <w:end w:w="70" w:type="dxa"/>
            </w:tcMar>
            <w:vAlign w:val="top"/>
          </w:tcPr>
          <w:p>
            <w:pPr>
              <w:pStyle w:val="TableSmall"/>
            </w:pPr>
            <w:r>
              <w:rPr>
                <w:sz w:val="13"/>
              </w:rPr>
              <w:t>One difficult essay/problem set</w:t>
            </w:r>
          </w:p>
        </w:tc>
        <w:tc>
          <w:tcPr>
            <w:tcW w:type="dxa" w:w="1659"/>
            <w:tcMar>
              <w:top w:w="55" w:type="dxa"/>
              <w:start w:w="70" w:type="dxa"/>
              <w:bottom w:w="55" w:type="dxa"/>
              <w:end w:w="70" w:type="dxa"/>
            </w:tcMar>
            <w:vAlign w:val="top"/>
          </w:tcPr>
          <w:p>
            <w:pPr>
              <w:pStyle w:val="TableSmall"/>
            </w:pPr>
            <w:r>
              <w:rPr>
                <w:sz w:val="13"/>
              </w:rPr>
              <w:t>Supervisor</w:t>
            </w:r>
          </w:p>
        </w:tc>
        <w:tc>
          <w:tcPr>
            <w:tcW w:type="dxa" w:w="3237"/>
            <w:tcMar>
              <w:top w:w="55" w:type="dxa"/>
              <w:start w:w="70" w:type="dxa"/>
              <w:bottom w:w="55" w:type="dxa"/>
              <w:end w:w="70" w:type="dxa"/>
            </w:tcMar>
            <w:vAlign w:val="top"/>
          </w:tcPr>
          <w:p>
            <w:pPr>
              <w:pStyle w:val="TableSmall"/>
            </w:pPr>
            <w:r>
              <w:rPr>
                <w:sz w:val="13"/>
              </w:rPr>
              <w:t>Clarify the question, feedback and next task.</w:t>
            </w:r>
          </w:p>
        </w:tc>
        <w:tc>
          <w:tcPr>
            <w:tcW w:type="dxa" w:w="3480"/>
            <w:tcMar>
              <w:top w:w="55" w:type="dxa"/>
              <w:start w:w="70" w:type="dxa"/>
              <w:bottom w:w="55" w:type="dxa"/>
              <w:end w:w="70" w:type="dxa"/>
            </w:tcMar>
            <w:vAlign w:val="top"/>
          </w:tcPr>
          <w:p>
            <w:pPr>
              <w:pStyle w:val="TableSmall"/>
            </w:pPr>
            <w:r>
              <w:rPr>
                <w:sz w:val="13"/>
              </w:rPr>
              <w:t>DoS if the pattern repeats or expectations conflict.</w:t>
            </w:r>
          </w:p>
        </w:tc>
      </w:tr>
      <w:tr>
        <w:trPr>
          <w:cantSplit w:val="true"/>
        </w:trPr>
        <w:tc>
          <w:tcPr>
            <w:tcW w:type="dxa" w:w="1659"/>
            <w:shd w:fill="F5F7F8"/>
            <w:tcMar>
              <w:top w:w="55" w:type="dxa"/>
              <w:start w:w="70" w:type="dxa"/>
              <w:bottom w:w="55" w:type="dxa"/>
              <w:end w:w="70" w:type="dxa"/>
            </w:tcMar>
            <w:vAlign w:val="top"/>
          </w:tcPr>
          <w:p>
            <w:pPr>
              <w:pStyle w:val="TableSmall"/>
            </w:pPr>
            <w:r>
              <w:rPr>
                <w:sz w:val="13"/>
              </w:rPr>
              <w:t>Repeated academic difficulty</w:t>
            </w:r>
          </w:p>
        </w:tc>
        <w:tc>
          <w:tcPr>
            <w:tcW w:type="dxa" w:w="1659"/>
            <w:shd w:fill="F5F7F8"/>
            <w:tcMar>
              <w:top w:w="55" w:type="dxa"/>
              <w:start w:w="70" w:type="dxa"/>
              <w:bottom w:w="55" w:type="dxa"/>
              <w:end w:w="70" w:type="dxa"/>
            </w:tcMar>
            <w:vAlign w:val="top"/>
          </w:tcPr>
          <w:p>
            <w:pPr>
              <w:pStyle w:val="TableSmall"/>
            </w:pPr>
            <w:r>
              <w:rPr>
                <w:sz w:val="13"/>
              </w:rPr>
              <w:t>Director of Studies</w:t>
            </w:r>
          </w:p>
        </w:tc>
        <w:tc>
          <w:tcPr>
            <w:tcW w:type="dxa" w:w="3237"/>
            <w:shd w:fill="F5F7F8"/>
            <w:tcMar>
              <w:top w:w="55" w:type="dxa"/>
              <w:start w:w="70" w:type="dxa"/>
              <w:bottom w:w="55" w:type="dxa"/>
              <w:end w:w="70" w:type="dxa"/>
            </w:tcMar>
            <w:vAlign w:val="top"/>
          </w:tcPr>
          <w:p>
            <w:pPr>
              <w:pStyle w:val="TableSmall"/>
            </w:pPr>
            <w:r>
              <w:rPr>
                <w:sz w:val="13"/>
              </w:rPr>
              <w:t>Bring examples, supervisor reports and your weekly workload.</w:t>
            </w:r>
          </w:p>
        </w:tc>
        <w:tc>
          <w:tcPr>
            <w:tcW w:type="dxa" w:w="3480"/>
            <w:shd w:fill="F5F7F8"/>
            <w:tcMar>
              <w:top w:w="55" w:type="dxa"/>
              <w:start w:w="70" w:type="dxa"/>
              <w:bottom w:w="55" w:type="dxa"/>
              <w:end w:w="70" w:type="dxa"/>
            </w:tcMar>
            <w:vAlign w:val="top"/>
          </w:tcPr>
          <w:p>
            <w:pPr>
              <w:pStyle w:val="TableSmall"/>
            </w:pPr>
            <w:r>
              <w:rPr>
                <w:sz w:val="13"/>
              </w:rPr>
              <w:t>Tutor if health, money or family is contributing; Faculty if course-wide.</w:t>
            </w:r>
          </w:p>
        </w:tc>
      </w:tr>
      <w:tr>
        <w:trPr>
          <w:cantSplit w:val="true"/>
        </w:trPr>
        <w:tc>
          <w:tcPr>
            <w:tcW w:type="dxa" w:w="1659"/>
            <w:tcMar>
              <w:top w:w="55" w:type="dxa"/>
              <w:start w:w="70" w:type="dxa"/>
              <w:bottom w:w="55" w:type="dxa"/>
              <w:end w:w="70" w:type="dxa"/>
            </w:tcMar>
            <w:vAlign w:val="top"/>
          </w:tcPr>
          <w:p>
            <w:pPr>
              <w:pStyle w:val="TableSmall"/>
            </w:pPr>
            <w:r>
              <w:rPr>
                <w:sz w:val="13"/>
              </w:rPr>
              <w:t>Illness today</w:t>
            </w:r>
          </w:p>
        </w:tc>
        <w:tc>
          <w:tcPr>
            <w:tcW w:type="dxa" w:w="1659"/>
            <w:tcMar>
              <w:top w:w="55" w:type="dxa"/>
              <w:start w:w="70" w:type="dxa"/>
              <w:bottom w:w="55" w:type="dxa"/>
              <w:end w:w="70" w:type="dxa"/>
            </w:tcMar>
            <w:vAlign w:val="top"/>
          </w:tcPr>
          <w:p>
            <w:pPr>
              <w:pStyle w:val="TableSmall"/>
            </w:pPr>
            <w:r>
              <w:rPr>
                <w:sz w:val="13"/>
              </w:rPr>
              <w:t>College Tutor or welfare route; GP/111 as medically appropriate</w:t>
            </w:r>
          </w:p>
        </w:tc>
        <w:tc>
          <w:tcPr>
            <w:tcW w:type="dxa" w:w="3237"/>
            <w:tcMar>
              <w:top w:w="55" w:type="dxa"/>
              <w:start w:w="70" w:type="dxa"/>
              <w:bottom w:w="55" w:type="dxa"/>
              <w:end w:w="70" w:type="dxa"/>
            </w:tcMar>
            <w:vAlign w:val="top"/>
          </w:tcPr>
          <w:p>
            <w:pPr>
              <w:pStyle w:val="TableSmall"/>
            </w:pPr>
            <w:r>
              <w:rPr>
                <w:sz w:val="13"/>
              </w:rPr>
              <w:t>Tell relevant teaching staff only what they need to know; retain evidence.</w:t>
            </w:r>
          </w:p>
        </w:tc>
        <w:tc>
          <w:tcPr>
            <w:tcW w:type="dxa" w:w="3480"/>
            <w:tcMar>
              <w:top w:w="55" w:type="dxa"/>
              <w:start w:w="70" w:type="dxa"/>
              <w:bottom w:w="55" w:type="dxa"/>
              <w:end w:w="70" w:type="dxa"/>
            </w:tcMar>
            <w:vAlign w:val="top"/>
          </w:tcPr>
          <w:p>
            <w:pPr>
              <w:pStyle w:val="TableSmall"/>
            </w:pPr>
            <w:r>
              <w:rPr>
                <w:sz w:val="13"/>
              </w:rPr>
              <w:t>999/112 for danger; Senior Tutor if formal action is delayed.</w:t>
            </w:r>
          </w:p>
        </w:tc>
      </w:tr>
      <w:tr>
        <w:trPr>
          <w:cantSplit w:val="true"/>
        </w:trPr>
        <w:tc>
          <w:tcPr>
            <w:tcW w:type="dxa" w:w="1659"/>
            <w:shd w:fill="F5F7F8"/>
            <w:tcMar>
              <w:top w:w="55" w:type="dxa"/>
              <w:start w:w="70" w:type="dxa"/>
              <w:bottom w:w="55" w:type="dxa"/>
              <w:end w:w="70" w:type="dxa"/>
            </w:tcMar>
            <w:vAlign w:val="top"/>
          </w:tcPr>
          <w:p>
            <w:pPr>
              <w:pStyle w:val="TableSmall"/>
            </w:pPr>
            <w:r>
              <w:rPr>
                <w:sz w:val="13"/>
              </w:rPr>
              <w:t>Missed deadline</w:t>
            </w:r>
          </w:p>
        </w:tc>
        <w:tc>
          <w:tcPr>
            <w:tcW w:type="dxa" w:w="1659"/>
            <w:shd w:fill="F5F7F8"/>
            <w:tcMar>
              <w:top w:w="55" w:type="dxa"/>
              <w:start w:w="70" w:type="dxa"/>
              <w:bottom w:w="55" w:type="dxa"/>
              <w:end w:w="70" w:type="dxa"/>
            </w:tcMar>
            <w:vAlign w:val="top"/>
          </w:tcPr>
          <w:p>
            <w:pPr>
              <w:pStyle w:val="TableSmall"/>
            </w:pPr>
            <w:r>
              <w:rPr>
                <w:sz w:val="13"/>
              </w:rPr>
              <w:t>Person named in the submission rule, plus supervisor/DoS</w:t>
            </w:r>
          </w:p>
        </w:tc>
        <w:tc>
          <w:tcPr>
            <w:tcW w:type="dxa" w:w="3237"/>
            <w:shd w:fill="F5F7F8"/>
            <w:tcMar>
              <w:top w:w="55" w:type="dxa"/>
              <w:start w:w="70" w:type="dxa"/>
              <w:bottom w:w="55" w:type="dxa"/>
              <w:end w:w="70" w:type="dxa"/>
            </w:tcMar>
            <w:vAlign w:val="top"/>
          </w:tcPr>
          <w:p>
            <w:pPr>
              <w:pStyle w:val="TableSmall"/>
            </w:pPr>
            <w:r>
              <w:rPr>
                <w:sz w:val="13"/>
              </w:rPr>
              <w:t>Write before the deadline when possible; give a new realistic time.</w:t>
            </w:r>
          </w:p>
        </w:tc>
        <w:tc>
          <w:tcPr>
            <w:tcW w:type="dxa" w:w="3480"/>
            <w:shd w:fill="F5F7F8"/>
            <w:tcMar>
              <w:top w:w="55" w:type="dxa"/>
              <w:start w:w="70" w:type="dxa"/>
              <w:bottom w:w="55" w:type="dxa"/>
              <w:end w:w="70" w:type="dxa"/>
            </w:tcMar>
            <w:vAlign w:val="top"/>
          </w:tcPr>
          <w:p>
            <w:pPr>
              <w:pStyle w:val="TableSmall"/>
            </w:pPr>
            <w:r>
              <w:rPr>
                <w:sz w:val="13"/>
              </w:rPr>
              <w:t>Tutor and Faculty administrator if an allowance or formal process is needed.</w:t>
            </w:r>
          </w:p>
        </w:tc>
      </w:tr>
      <w:tr>
        <w:trPr>
          <w:cantSplit w:val="true"/>
        </w:trPr>
        <w:tc>
          <w:tcPr>
            <w:tcW w:type="dxa" w:w="1659"/>
            <w:tcMar>
              <w:top w:w="55" w:type="dxa"/>
              <w:start w:w="70" w:type="dxa"/>
              <w:bottom w:w="55" w:type="dxa"/>
              <w:end w:w="70" w:type="dxa"/>
            </w:tcMar>
            <w:vAlign w:val="top"/>
          </w:tcPr>
          <w:p>
            <w:pPr>
              <w:pStyle w:val="TableSmall"/>
            </w:pPr>
            <w:r>
              <w:rPr>
                <w:sz w:val="13"/>
              </w:rPr>
              <w:t>Accommodation dispute</w:t>
            </w:r>
          </w:p>
        </w:tc>
        <w:tc>
          <w:tcPr>
            <w:tcW w:type="dxa" w:w="1659"/>
            <w:tcMar>
              <w:top w:w="55" w:type="dxa"/>
              <w:start w:w="70" w:type="dxa"/>
              <w:bottom w:w="55" w:type="dxa"/>
              <w:end w:w="70" w:type="dxa"/>
            </w:tcMar>
            <w:vAlign w:val="top"/>
          </w:tcPr>
          <w:p>
            <w:pPr>
              <w:pStyle w:val="TableSmall"/>
            </w:pPr>
            <w:r>
              <w:rPr>
                <w:sz w:val="13"/>
              </w:rPr>
              <w:t>College accommodation office</w:t>
            </w:r>
          </w:p>
        </w:tc>
        <w:tc>
          <w:tcPr>
            <w:tcW w:type="dxa" w:w="3237"/>
            <w:tcMar>
              <w:top w:w="55" w:type="dxa"/>
              <w:start w:w="70" w:type="dxa"/>
              <w:bottom w:w="55" w:type="dxa"/>
              <w:end w:w="70" w:type="dxa"/>
            </w:tcMar>
            <w:vAlign w:val="top"/>
          </w:tcPr>
          <w:p>
            <w:pPr>
              <w:pStyle w:val="TableSmall"/>
            </w:pPr>
            <w:r>
              <w:rPr>
                <w:sz w:val="13"/>
              </w:rPr>
              <w:t>Use the licence, photos and dated emails.</w:t>
            </w:r>
          </w:p>
        </w:tc>
        <w:tc>
          <w:tcPr>
            <w:tcW w:type="dxa" w:w="3480"/>
            <w:tcMar>
              <w:top w:w="55" w:type="dxa"/>
              <w:start w:w="70" w:type="dxa"/>
              <w:bottom w:w="55" w:type="dxa"/>
              <w:end w:w="70" w:type="dxa"/>
            </w:tcMar>
            <w:vAlign w:val="top"/>
          </w:tcPr>
          <w:p>
            <w:pPr>
              <w:pStyle w:val="TableSmall"/>
            </w:pPr>
            <w:r>
              <w:rPr>
                <w:sz w:val="13"/>
              </w:rPr>
              <w:t>Tutor/Senior Tutor, College complaints route, SU Advice.</w:t>
            </w:r>
          </w:p>
        </w:tc>
      </w:tr>
      <w:tr>
        <w:trPr>
          <w:cantSplit w:val="true"/>
        </w:trPr>
        <w:tc>
          <w:tcPr>
            <w:tcW w:type="dxa" w:w="1659"/>
            <w:shd w:fill="F5F7F8"/>
            <w:tcMar>
              <w:top w:w="55" w:type="dxa"/>
              <w:start w:w="70" w:type="dxa"/>
              <w:bottom w:w="55" w:type="dxa"/>
              <w:end w:w="70" w:type="dxa"/>
            </w:tcMar>
            <w:vAlign w:val="top"/>
          </w:tcPr>
          <w:p>
            <w:pPr>
              <w:pStyle w:val="TableSmall"/>
            </w:pPr>
            <w:r>
              <w:rPr>
                <w:sz w:val="13"/>
              </w:rPr>
              <w:t>Financial hardship</w:t>
            </w:r>
          </w:p>
        </w:tc>
        <w:tc>
          <w:tcPr>
            <w:tcW w:type="dxa" w:w="1659"/>
            <w:shd w:fill="F5F7F8"/>
            <w:tcMar>
              <w:top w:w="55" w:type="dxa"/>
              <w:start w:w="70" w:type="dxa"/>
              <w:bottom w:w="55" w:type="dxa"/>
              <w:end w:w="70" w:type="dxa"/>
            </w:tcMar>
            <w:vAlign w:val="top"/>
          </w:tcPr>
          <w:p>
            <w:pPr>
              <w:pStyle w:val="TableSmall"/>
            </w:pPr>
            <w:r>
              <w:rPr>
                <w:sz w:val="13"/>
              </w:rPr>
              <w:t>Tutor and College financial support office</w:t>
            </w:r>
          </w:p>
        </w:tc>
        <w:tc>
          <w:tcPr>
            <w:tcW w:type="dxa" w:w="3237"/>
            <w:shd w:fill="F5F7F8"/>
            <w:tcMar>
              <w:top w:w="55" w:type="dxa"/>
              <w:start w:w="70" w:type="dxa"/>
              <w:bottom w:w="55" w:type="dxa"/>
              <w:end w:w="70" w:type="dxa"/>
            </w:tcMar>
            <w:vAlign w:val="top"/>
          </w:tcPr>
          <w:p>
            <w:pPr>
              <w:pStyle w:val="TableSmall"/>
            </w:pPr>
            <w:r>
              <w:rPr>
                <w:sz w:val="13"/>
              </w:rPr>
              <w:t>Ask about emergency bridge funding, grants and payment plans.</w:t>
            </w:r>
          </w:p>
        </w:tc>
        <w:tc>
          <w:tcPr>
            <w:tcW w:type="dxa" w:w="3480"/>
            <w:shd w:fill="F5F7F8"/>
            <w:tcMar>
              <w:top w:w="55" w:type="dxa"/>
              <w:start w:w="70" w:type="dxa"/>
              <w:bottom w:w="55" w:type="dxa"/>
              <w:end w:w="70" w:type="dxa"/>
            </w:tcMar>
            <w:vAlign w:val="top"/>
          </w:tcPr>
          <w:p>
            <w:pPr>
              <w:pStyle w:val="TableSmall"/>
            </w:pPr>
            <w:r>
              <w:rPr>
                <w:sz w:val="13"/>
              </w:rPr>
              <w:t>Central hardship scheme or SU Advice; external debt advice where needed.</w:t>
            </w:r>
          </w:p>
        </w:tc>
      </w:tr>
      <w:tr>
        <w:trPr>
          <w:cantSplit w:val="true"/>
        </w:trPr>
        <w:tc>
          <w:tcPr>
            <w:tcW w:type="dxa" w:w="1659"/>
            <w:tcMar>
              <w:top w:w="55" w:type="dxa"/>
              <w:start w:w="70" w:type="dxa"/>
              <w:bottom w:w="55" w:type="dxa"/>
              <w:end w:w="70" w:type="dxa"/>
            </w:tcMar>
            <w:vAlign w:val="top"/>
          </w:tcPr>
          <w:p>
            <w:pPr>
              <w:pStyle w:val="TableSmall"/>
            </w:pPr>
            <w:r>
              <w:rPr>
                <w:sz w:val="13"/>
              </w:rPr>
              <w:t>Reasonable adjustment</w:t>
            </w:r>
          </w:p>
        </w:tc>
        <w:tc>
          <w:tcPr>
            <w:tcW w:type="dxa" w:w="1659"/>
            <w:tcMar>
              <w:top w:w="55" w:type="dxa"/>
              <w:start w:w="70" w:type="dxa"/>
              <w:bottom w:w="55" w:type="dxa"/>
              <w:end w:w="70" w:type="dxa"/>
            </w:tcMar>
            <w:vAlign w:val="top"/>
          </w:tcPr>
          <w:p>
            <w:pPr>
              <w:pStyle w:val="TableSmall"/>
            </w:pPr>
            <w:r>
              <w:rPr>
                <w:sz w:val="13"/>
              </w:rPr>
              <w:t>ADRC plus College/Faculty implementation contact</w:t>
            </w:r>
          </w:p>
        </w:tc>
        <w:tc>
          <w:tcPr>
            <w:tcW w:type="dxa" w:w="3237"/>
            <w:tcMar>
              <w:top w:w="55" w:type="dxa"/>
              <w:start w:w="70" w:type="dxa"/>
              <w:bottom w:w="55" w:type="dxa"/>
              <w:end w:w="70" w:type="dxa"/>
            </w:tcMar>
            <w:vAlign w:val="top"/>
          </w:tcPr>
          <w:p>
            <w:pPr>
              <w:pStyle w:val="TableSmall"/>
            </w:pPr>
            <w:r>
              <w:rPr>
                <w:sz w:val="13"/>
              </w:rPr>
              <w:t>Ask for a Student Support Document and named implementation owner. [U12]</w:t>
            </w:r>
          </w:p>
        </w:tc>
        <w:tc>
          <w:tcPr>
            <w:tcW w:type="dxa" w:w="3480"/>
            <w:tcMar>
              <w:top w:w="55" w:type="dxa"/>
              <w:start w:w="70" w:type="dxa"/>
              <w:bottom w:w="55" w:type="dxa"/>
              <w:end w:w="70" w:type="dxa"/>
            </w:tcMar>
            <w:vAlign w:val="top"/>
          </w:tcPr>
          <w:p>
            <w:pPr>
              <w:pStyle w:val="TableSmall"/>
            </w:pPr>
            <w:r>
              <w:rPr>
                <w:sz w:val="13"/>
              </w:rPr>
              <w:t>Tutor/Senior Tutor and Faculty disability contact if not implemented.</w:t>
            </w:r>
          </w:p>
        </w:tc>
      </w:tr>
      <w:tr>
        <w:trPr>
          <w:cantSplit w:val="true"/>
        </w:trPr>
        <w:tc>
          <w:tcPr>
            <w:tcW w:type="dxa" w:w="1659"/>
            <w:shd w:fill="F5F7F8"/>
            <w:tcMar>
              <w:top w:w="55" w:type="dxa"/>
              <w:start w:w="70" w:type="dxa"/>
              <w:bottom w:w="55" w:type="dxa"/>
              <w:end w:w="70" w:type="dxa"/>
            </w:tcMar>
            <w:vAlign w:val="top"/>
          </w:tcPr>
          <w:p>
            <w:pPr>
              <w:pStyle w:val="TableSmall"/>
            </w:pPr>
            <w:r>
              <w:rPr>
                <w:sz w:val="13"/>
              </w:rPr>
              <w:t>Exam access</w:t>
            </w:r>
          </w:p>
        </w:tc>
        <w:tc>
          <w:tcPr>
            <w:tcW w:type="dxa" w:w="1659"/>
            <w:shd w:fill="F5F7F8"/>
            <w:tcMar>
              <w:top w:w="55" w:type="dxa"/>
              <w:start w:w="70" w:type="dxa"/>
              <w:bottom w:w="55" w:type="dxa"/>
              <w:end w:w="70" w:type="dxa"/>
            </w:tcMar>
            <w:vAlign w:val="top"/>
          </w:tcPr>
          <w:p>
            <w:pPr>
              <w:pStyle w:val="TableSmall"/>
            </w:pPr>
            <w:r>
              <w:rPr>
                <w:sz w:val="13"/>
              </w:rPr>
              <w:t>ADRC and College exam office by published deadline</w:t>
            </w:r>
          </w:p>
        </w:tc>
        <w:tc>
          <w:tcPr>
            <w:tcW w:type="dxa" w:w="3237"/>
            <w:shd w:fill="F5F7F8"/>
            <w:tcMar>
              <w:top w:w="55" w:type="dxa"/>
              <w:start w:w="70" w:type="dxa"/>
              <w:bottom w:w="55" w:type="dxa"/>
              <w:end w:w="70" w:type="dxa"/>
            </w:tcMar>
            <w:vAlign w:val="top"/>
          </w:tcPr>
          <w:p>
            <w:pPr>
              <w:pStyle w:val="TableSmall"/>
            </w:pPr>
            <w:r>
              <w:rPr>
                <w:sz w:val="13"/>
              </w:rPr>
              <w:t>Do not assume teaching adjustments automatically create exam arrangements.</w:t>
            </w:r>
          </w:p>
        </w:tc>
        <w:tc>
          <w:tcPr>
            <w:tcW w:type="dxa" w:w="3480"/>
            <w:shd w:fill="F5F7F8"/>
            <w:tcMar>
              <w:top w:w="55" w:type="dxa"/>
              <w:start w:w="70" w:type="dxa"/>
              <w:bottom w:w="55" w:type="dxa"/>
              <w:end w:w="70" w:type="dxa"/>
            </w:tcMar>
            <w:vAlign w:val="top"/>
          </w:tcPr>
          <w:p>
            <w:pPr>
              <w:pStyle w:val="TableSmall"/>
            </w:pPr>
            <w:r>
              <w:rPr>
                <w:sz w:val="13"/>
              </w:rPr>
              <w:t>Tutor and Student Registry route if deadline or evidence problem.</w:t>
            </w:r>
          </w:p>
        </w:tc>
      </w:tr>
      <w:tr>
        <w:trPr>
          <w:cantSplit w:val="true"/>
        </w:trPr>
        <w:tc>
          <w:tcPr>
            <w:tcW w:type="dxa" w:w="1659"/>
            <w:tcMar>
              <w:top w:w="55" w:type="dxa"/>
              <w:start w:w="70" w:type="dxa"/>
              <w:bottom w:w="55" w:type="dxa"/>
              <w:end w:w="70" w:type="dxa"/>
            </w:tcMar>
            <w:vAlign w:val="top"/>
          </w:tcPr>
          <w:p>
            <w:pPr>
              <w:pStyle w:val="TableSmall"/>
            </w:pPr>
            <w:r>
              <w:rPr>
                <w:sz w:val="13"/>
              </w:rPr>
              <w:t>Considering intermission</w:t>
            </w:r>
          </w:p>
        </w:tc>
        <w:tc>
          <w:tcPr>
            <w:tcW w:type="dxa" w:w="1659"/>
            <w:tcMar>
              <w:top w:w="55" w:type="dxa"/>
              <w:start w:w="70" w:type="dxa"/>
              <w:bottom w:w="55" w:type="dxa"/>
              <w:end w:w="70" w:type="dxa"/>
            </w:tcMar>
            <w:vAlign w:val="top"/>
          </w:tcPr>
          <w:p>
            <w:pPr>
              <w:pStyle w:val="TableSmall"/>
            </w:pPr>
            <w:r>
              <w:rPr>
                <w:sz w:val="13"/>
              </w:rPr>
              <w:t>Tutor first; DoS in parallel</w:t>
            </w:r>
          </w:p>
        </w:tc>
        <w:tc>
          <w:tcPr>
            <w:tcW w:type="dxa" w:w="3237"/>
            <w:tcMar>
              <w:top w:w="55" w:type="dxa"/>
              <w:start w:w="70" w:type="dxa"/>
              <w:bottom w:w="55" w:type="dxa"/>
              <w:end w:w="70" w:type="dxa"/>
            </w:tcMar>
            <w:vAlign w:val="top"/>
          </w:tcPr>
          <w:p>
            <w:pPr>
              <w:pStyle w:val="TableSmall"/>
            </w:pPr>
            <w:r>
              <w:rPr>
                <w:sz w:val="13"/>
              </w:rPr>
              <w:t>Ask about conditions, finance, housing, return plan and evidence. [U14]</w:t>
            </w:r>
          </w:p>
        </w:tc>
        <w:tc>
          <w:tcPr>
            <w:tcW w:type="dxa" w:w="3480"/>
            <w:tcMar>
              <w:top w:w="55" w:type="dxa"/>
              <w:start w:w="70" w:type="dxa"/>
              <w:bottom w:w="55" w:type="dxa"/>
              <w:end w:w="70" w:type="dxa"/>
            </w:tcMar>
            <w:vAlign w:val="top"/>
          </w:tcPr>
          <w:p>
            <w:pPr>
              <w:pStyle w:val="TableSmall"/>
            </w:pPr>
            <w:r>
              <w:rPr>
                <w:sz w:val="13"/>
              </w:rPr>
              <w:t>Senior Tutor, International Student Office if visa, SU Advice.</w:t>
            </w:r>
          </w:p>
        </w:tc>
      </w:tr>
      <w:tr>
        <w:trPr>
          <w:cantSplit w:val="true"/>
        </w:trPr>
        <w:tc>
          <w:tcPr>
            <w:tcW w:type="dxa" w:w="1659"/>
            <w:shd w:fill="F5F7F8"/>
            <w:tcMar>
              <w:top w:w="55" w:type="dxa"/>
              <w:start w:w="70" w:type="dxa"/>
              <w:bottom w:w="55" w:type="dxa"/>
              <w:end w:w="70" w:type="dxa"/>
            </w:tcMar>
            <w:vAlign w:val="top"/>
          </w:tcPr>
          <w:p>
            <w:pPr>
              <w:pStyle w:val="TableSmall"/>
            </w:pPr>
            <w:r>
              <w:rPr>
                <w:sz w:val="13"/>
              </w:rPr>
              <w:t>Harassment/discrimination</w:t>
            </w:r>
          </w:p>
        </w:tc>
        <w:tc>
          <w:tcPr>
            <w:tcW w:type="dxa" w:w="1659"/>
            <w:shd w:fill="F5F7F8"/>
            <w:tcMar>
              <w:top w:w="55" w:type="dxa"/>
              <w:start w:w="70" w:type="dxa"/>
              <w:bottom w:w="55" w:type="dxa"/>
              <w:end w:w="70" w:type="dxa"/>
            </w:tcMar>
            <w:vAlign w:val="top"/>
          </w:tcPr>
          <w:p>
            <w:pPr>
              <w:pStyle w:val="TableSmall"/>
            </w:pPr>
            <w:r>
              <w:rPr>
                <w:sz w:val="13"/>
              </w:rPr>
              <w:t>Specialist harassment/violence support or College reporting route</w:t>
            </w:r>
          </w:p>
        </w:tc>
        <w:tc>
          <w:tcPr>
            <w:tcW w:type="dxa" w:w="3237"/>
            <w:shd w:fill="F5F7F8"/>
            <w:tcMar>
              <w:top w:w="55" w:type="dxa"/>
              <w:start w:w="70" w:type="dxa"/>
              <w:bottom w:w="55" w:type="dxa"/>
              <w:end w:w="70" w:type="dxa"/>
            </w:tcMar>
            <w:vAlign w:val="top"/>
          </w:tcPr>
          <w:p>
            <w:pPr>
              <w:pStyle w:val="TableSmall"/>
            </w:pPr>
            <w:r>
              <w:rPr>
                <w:sz w:val="13"/>
              </w:rPr>
              <w:t>Prioritise safety; preserve messages, dates and witnesses. [U13]</w:t>
            </w:r>
          </w:p>
        </w:tc>
        <w:tc>
          <w:tcPr>
            <w:tcW w:type="dxa" w:w="3480"/>
            <w:shd w:fill="F5F7F8"/>
            <w:tcMar>
              <w:top w:w="55" w:type="dxa"/>
              <w:start w:w="70" w:type="dxa"/>
              <w:bottom w:w="55" w:type="dxa"/>
              <w:end w:w="70" w:type="dxa"/>
            </w:tcMar>
            <w:vAlign w:val="top"/>
          </w:tcPr>
          <w:p>
            <w:pPr>
              <w:pStyle w:val="TableSmall"/>
            </w:pPr>
            <w:r>
              <w:rPr>
                <w:sz w:val="13"/>
              </w:rPr>
              <w:t>Formal complaint, SU Advice, police where criminal/immediate.</w:t>
            </w:r>
          </w:p>
        </w:tc>
      </w:tr>
      <w:tr>
        <w:trPr>
          <w:cantSplit w:val="true"/>
        </w:trPr>
        <w:tc>
          <w:tcPr>
            <w:tcW w:type="dxa" w:w="1659"/>
            <w:tcMar>
              <w:top w:w="55" w:type="dxa"/>
              <w:start w:w="70" w:type="dxa"/>
              <w:bottom w:w="55" w:type="dxa"/>
              <w:end w:w="70" w:type="dxa"/>
            </w:tcMar>
            <w:vAlign w:val="top"/>
          </w:tcPr>
          <w:p>
            <w:pPr>
              <w:pStyle w:val="TableSmall"/>
            </w:pPr>
            <w:r>
              <w:rPr>
                <w:sz w:val="13"/>
              </w:rPr>
              <w:t>Complaint about Tutor/staff</w:t>
            </w:r>
          </w:p>
        </w:tc>
        <w:tc>
          <w:tcPr>
            <w:tcW w:type="dxa" w:w="1659"/>
            <w:tcMar>
              <w:top w:w="55" w:type="dxa"/>
              <w:start w:w="70" w:type="dxa"/>
              <w:bottom w:w="55" w:type="dxa"/>
              <w:end w:w="70" w:type="dxa"/>
            </w:tcMar>
            <w:vAlign w:val="top"/>
          </w:tcPr>
          <w:p>
            <w:pPr>
              <w:pStyle w:val="TableSmall"/>
            </w:pPr>
            <w:r>
              <w:rPr>
                <w:sz w:val="13"/>
              </w:rPr>
              <w:t>Senior Tutor or published College complaints route</w:t>
            </w:r>
          </w:p>
        </w:tc>
        <w:tc>
          <w:tcPr>
            <w:tcW w:type="dxa" w:w="3237"/>
            <w:tcMar>
              <w:top w:w="55" w:type="dxa"/>
              <w:start w:w="70" w:type="dxa"/>
              <w:bottom w:w="55" w:type="dxa"/>
              <w:end w:w="70" w:type="dxa"/>
            </w:tcMar>
            <w:vAlign w:val="top"/>
          </w:tcPr>
          <w:p>
            <w:pPr>
              <w:pStyle w:val="TableSmall"/>
            </w:pPr>
            <w:r>
              <w:rPr>
                <w:sz w:val="13"/>
              </w:rPr>
              <w:t>Ask how conflicts of interest are handled.</w:t>
            </w:r>
          </w:p>
        </w:tc>
        <w:tc>
          <w:tcPr>
            <w:tcW w:type="dxa" w:w="3480"/>
            <w:tcMar>
              <w:top w:w="55" w:type="dxa"/>
              <w:start w:w="70" w:type="dxa"/>
              <w:bottom w:w="55" w:type="dxa"/>
              <w:end w:w="70" w:type="dxa"/>
            </w:tcMar>
            <w:vAlign w:val="top"/>
          </w:tcPr>
          <w:p>
            <w:pPr>
              <w:pStyle w:val="TableSmall"/>
            </w:pPr>
            <w:r>
              <w:rPr>
                <w:sz w:val="13"/>
              </w:rPr>
              <w:t>SU Advice; University route if within central jurisdiction. [U16]</w:t>
            </w:r>
          </w:p>
        </w:tc>
      </w:tr>
    </w:tbl>
    <w:p>
      <w:pPr>
        <w:spacing w:after="20"/>
      </w:pPr>
    </w:p>
    <w:p>
      <w:pPr>
        <w:pStyle w:val="Heading2"/>
        <w:keepNext/>
      </w:pPr>
      <w:r>
        <w:t>Confidentiality: ask, do not guess</w:t>
      </w:r>
    </w:p>
    <w:p>
      <w:r>
        <w:t>Tutors, nurses, counsellors, porters, supervisors and student representatives have different professional duties. A service may keep clinical or advisory records separate, while a College officer may need to share limited information to arrange support or manage risk. Before giving sensitive detail, ask: “What will you record? Who can see it? What would require you to share it? Can the practical request be made without circulating the diagnosis?” In immediate risk situations, safety can override normal confidentiality.</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The system rewards early, correctly routed communication. Keep a small contact map on your phone.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Who is my named Tutor, DoS, Faculty administrator, exam contact and out-of-hours welfare route? What happens in vacations?</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Calling every academic “my Tutor” and expecting the person teaching this week’s paper to authorise housing, money or intermission.</w:t>
            </w:r>
          </w:p>
        </w:tc>
      </w:tr>
    </w:tbl>
    <w:p>
      <w:pPr>
        <w:spacing w:after="40"/>
      </w:pPr>
    </w:p>
    <w:p>
      <w:pPr>
        <w:pStyle w:val="Heading1"/>
        <w:keepNext/>
      </w:pPr>
      <w:r>
        <w:t>5. Academic life and returning to study</w:t>
      </w:r>
    </w:p>
    <w:p>
      <w:pPr>
        <w:spacing w:after="160"/>
      </w:pPr>
      <w:r>
        <w:rPr>
          <w:i/>
          <w:color w:val="5F6B73"/>
          <w:sz w:val="20"/>
        </w:rPr>
        <w:t>The pace is real; panic is not a study method.</w:t>
      </w:r>
    </w:p>
    <w:p>
      <w:pPr>
        <w:pStyle w:val="Heading2"/>
        <w:keepNext/>
      </w:pPr>
      <w:r>
        <w:t>What an eight-week term feels like</w:t>
      </w:r>
    </w:p>
    <w:p>
      <w:r>
        <w:t>Full Term is eight weeks, but the academic year is not only 24 weeks. Reading, preparatory work, revision, projects and dissertations extend into vacations. For 2026–27, Full Terms run 6 October–4 December, 19 January–19 March and 27 April–18 June. “Week 5” is not the midpoint of the whole workload; it is often the point at which accumulated sleep, illness and unfinished work become visible. [U04]</w:t>
      </w:r>
    </w:p>
    <w:p>
      <w:r>
        <w:t>Cambridge describes undergraduate study as at least around 35 hours a week, with considerable course variation. Laboratory sciences can have fixed practicals and problem sheets; humanities may show fewer contact hours while demanding long independent reading and weekly essays. Clinical, architecture, education and language courses can contain placements, studio work or intensive classes that make generic timetables misleading. [U03]</w:t>
      </w:r>
    </w:p>
    <w:p>
      <w:pPr>
        <w:pStyle w:val="Heading2"/>
        <w:keepNext/>
      </w:pPr>
      <w:r>
        <w:t>The supervision: what it is and is not</w:t>
      </w:r>
    </w:p>
    <w:p>
      <w:r>
        <w:t>A supervision is usually a small-group academic meeting, often about an hour, arranged through the College. It is not a private lesson purchased by the hour, a counselling session, or an oral examination in which every answer must be right. Its value lies in exposing your reasoning. Bring the exact point where you became uncertain, the assumption behind your method, and the sentence you could not make work. [U03]</w:t>
      </w:r>
    </w:p>
    <w:p>
      <w:pPr>
        <w:pStyle w:val="ListBullet"/>
        <w:spacing w:after="30" w:line="247" w:lineRule="auto"/>
        <w:ind w:left="312" w:hanging="142"/>
      </w:pPr>
      <w:r>
        <w:t>Before: read the question early; identify the task verb; choose what not to read; submit on time; write three questions you genuinely need answered.</w:t>
      </w:r>
    </w:p>
    <w:p>
      <w:pPr>
        <w:pStyle w:val="ListBullet"/>
        <w:spacing w:after="30" w:line="247" w:lineRule="auto"/>
        <w:ind w:left="312" w:hanging="142"/>
      </w:pPr>
      <w:r>
        <w:t>During: take enough notes to capture correction and next steps, but stay in the conversation. Say “I do not see why that follows” rather than nodding.</w:t>
      </w:r>
    </w:p>
    <w:p>
      <w:pPr>
        <w:pStyle w:val="ListBullet"/>
        <w:spacing w:after="30" w:line="247" w:lineRule="auto"/>
        <w:ind w:left="312" w:hanging="142"/>
      </w:pPr>
      <w:r>
        <w:t>After: spend ten minutes recording the main correction, one technique to repeat, one issue for the DoS and one concrete action before the next piece.</w:t>
      </w:r>
    </w:p>
    <w:p>
      <w:pPr>
        <w:pStyle w:val="ListBullet"/>
        <w:spacing w:after="30" w:line="247" w:lineRule="auto"/>
        <w:ind w:left="312" w:hanging="142"/>
      </w:pPr>
      <w:r>
        <w:t>When it goes badly: distinguish tough intellectual challenge from contempt, inconsistency or inaccessible practice. Discuss repeated problems with the DoS.</w:t>
      </w:r>
    </w:p>
    <w:p>
      <w:pPr>
        <w:pStyle w:val="Heading2"/>
        <w:keepNext/>
      </w:pPr>
      <w:r>
        <w:t>Rebuilding academic muscles</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513"/>
        <w:gridCol w:w="4741"/>
        <w:gridCol w:w="3782"/>
      </w:tblGrid>
      <w:tr>
        <w:trPr>
          <w:tblHeader w:val="true"/>
          <w:cantSplit w:val="true"/>
        </w:trPr>
        <w:tc>
          <w:tcPr>
            <w:tcW w:type="dxa" w:w="1513"/>
            <w:shd w:fill="17324D"/>
            <w:tcMar>
              <w:top w:w="70" w:type="dxa"/>
              <w:start w:w="80" w:type="dxa"/>
              <w:bottom w:w="70" w:type="dxa"/>
              <w:end w:w="80" w:type="dxa"/>
            </w:tcMar>
            <w:vAlign w:val="center"/>
          </w:tcPr>
          <w:p>
            <w:pPr>
              <w:pStyle w:val="TableText"/>
              <w:jc w:val="left"/>
            </w:pPr>
            <w:r>
              <w:rPr>
                <w:b/>
                <w:color w:val="FFFFFF"/>
                <w:sz w:val="15"/>
              </w:rPr>
              <w:t>Need</w:t>
            </w:r>
          </w:p>
        </w:tc>
        <w:tc>
          <w:tcPr>
            <w:tcW w:type="dxa" w:w="4741"/>
            <w:shd w:fill="17324D"/>
            <w:tcMar>
              <w:top w:w="70" w:type="dxa"/>
              <w:start w:w="80" w:type="dxa"/>
              <w:bottom w:w="70" w:type="dxa"/>
              <w:end w:w="80" w:type="dxa"/>
            </w:tcMar>
            <w:vAlign w:val="center"/>
          </w:tcPr>
          <w:p>
            <w:pPr>
              <w:pStyle w:val="TableText"/>
              <w:jc w:val="left"/>
            </w:pPr>
            <w:r>
              <w:rPr>
                <w:b/>
                <w:color w:val="FFFFFF"/>
                <w:sz w:val="15"/>
              </w:rPr>
              <w:t>A workable practice</w:t>
            </w:r>
          </w:p>
        </w:tc>
        <w:tc>
          <w:tcPr>
            <w:tcW w:type="dxa" w:w="3782"/>
            <w:shd w:fill="17324D"/>
            <w:tcMar>
              <w:top w:w="70" w:type="dxa"/>
              <w:start w:w="80" w:type="dxa"/>
              <w:bottom w:w="70" w:type="dxa"/>
              <w:end w:w="80" w:type="dxa"/>
            </w:tcMar>
            <w:vAlign w:val="center"/>
          </w:tcPr>
          <w:p>
            <w:pPr>
              <w:pStyle w:val="TableText"/>
              <w:jc w:val="left"/>
            </w:pPr>
            <w:r>
              <w:rPr>
                <w:b/>
                <w:color w:val="FFFFFF"/>
                <w:sz w:val="15"/>
              </w:rPr>
              <w:t>Warning sign</w:t>
            </w:r>
          </w:p>
        </w:tc>
      </w:tr>
      <w:tr>
        <w:trPr>
          <w:cantSplit w:val="true"/>
        </w:trPr>
        <w:tc>
          <w:tcPr>
            <w:tcW w:type="dxa" w:w="1513"/>
            <w:tcMar>
              <w:top w:w="55" w:type="dxa"/>
              <w:start w:w="70" w:type="dxa"/>
              <w:bottom w:w="55" w:type="dxa"/>
              <w:end w:w="70" w:type="dxa"/>
            </w:tcMar>
            <w:vAlign w:val="top"/>
          </w:tcPr>
          <w:p>
            <w:pPr>
              <w:pStyle w:val="TableText"/>
            </w:pPr>
            <w:r>
              <w:t>Reading after a long gap</w:t>
            </w:r>
          </w:p>
        </w:tc>
        <w:tc>
          <w:tcPr>
            <w:tcW w:type="dxa" w:w="4741"/>
            <w:tcMar>
              <w:top w:w="55" w:type="dxa"/>
              <w:start w:w="70" w:type="dxa"/>
              <w:bottom w:w="55" w:type="dxa"/>
              <w:end w:w="70" w:type="dxa"/>
            </w:tcMar>
            <w:vAlign w:val="top"/>
          </w:tcPr>
          <w:p>
            <w:pPr>
              <w:pStyle w:val="TableText"/>
            </w:pPr>
            <w:r>
              <w:t>Start with the question, handbook and one reliable overview. Preview headings and conclusions before deep reading. Stop when you can answer the task, not when the library is exhausted.</w:t>
            </w:r>
          </w:p>
        </w:tc>
        <w:tc>
          <w:tcPr>
            <w:tcW w:type="dxa" w:w="3782"/>
            <w:tcMar>
              <w:top w:w="55" w:type="dxa"/>
              <w:start w:w="70" w:type="dxa"/>
              <w:bottom w:w="55" w:type="dxa"/>
              <w:end w:w="70" w:type="dxa"/>
            </w:tcMar>
            <w:vAlign w:val="top"/>
          </w:tcPr>
          <w:p>
            <w:pPr>
              <w:pStyle w:val="TableText"/>
            </w:pPr>
            <w:r>
              <w:t>Twenty tabs, no written claim, and guilt about books you cannot possibly finish.</w:t>
            </w:r>
          </w:p>
        </w:tc>
      </w:tr>
      <w:tr>
        <w:trPr>
          <w:cantSplit w:val="true"/>
        </w:trPr>
        <w:tc>
          <w:tcPr>
            <w:tcW w:type="dxa" w:w="1513"/>
            <w:shd w:fill="F5F7F8"/>
            <w:tcMar>
              <w:top w:w="55" w:type="dxa"/>
              <w:start w:w="70" w:type="dxa"/>
              <w:bottom w:w="55" w:type="dxa"/>
              <w:end w:w="70" w:type="dxa"/>
            </w:tcMar>
            <w:vAlign w:val="top"/>
          </w:tcPr>
          <w:p>
            <w:pPr>
              <w:pStyle w:val="TableText"/>
            </w:pPr>
            <w:r>
              <w:t>Essay planning</w:t>
            </w:r>
          </w:p>
        </w:tc>
        <w:tc>
          <w:tcPr>
            <w:tcW w:type="dxa" w:w="4741"/>
            <w:shd w:fill="F5F7F8"/>
            <w:tcMar>
              <w:top w:w="55" w:type="dxa"/>
              <w:start w:w="70" w:type="dxa"/>
              <w:bottom w:w="55" w:type="dxa"/>
              <w:end w:w="70" w:type="dxa"/>
            </w:tcMar>
            <w:vAlign w:val="top"/>
          </w:tcPr>
          <w:p>
            <w:pPr>
              <w:pStyle w:val="TableText"/>
            </w:pPr>
            <w:r>
              <w:t>Write a one-sentence provisional answer; list 3–5 reasons; attach evidence and counterargument; then draft.</w:t>
            </w:r>
          </w:p>
        </w:tc>
        <w:tc>
          <w:tcPr>
            <w:tcW w:type="dxa" w:w="3782"/>
            <w:shd w:fill="F5F7F8"/>
            <w:tcMar>
              <w:top w:w="55" w:type="dxa"/>
              <w:start w:w="70" w:type="dxa"/>
              <w:bottom w:w="55" w:type="dxa"/>
              <w:end w:w="70" w:type="dxa"/>
            </w:tcMar>
            <w:vAlign w:val="top"/>
          </w:tcPr>
          <w:p>
            <w:pPr>
              <w:pStyle w:val="TableText"/>
            </w:pPr>
            <w:r>
              <w:t>Research continues until the deadline because writing feels like commitment.</w:t>
            </w:r>
          </w:p>
        </w:tc>
      </w:tr>
      <w:tr>
        <w:trPr>
          <w:cantSplit w:val="true"/>
        </w:trPr>
        <w:tc>
          <w:tcPr>
            <w:tcW w:type="dxa" w:w="1513"/>
            <w:tcMar>
              <w:top w:w="55" w:type="dxa"/>
              <w:start w:w="70" w:type="dxa"/>
              <w:bottom w:w="55" w:type="dxa"/>
              <w:end w:w="70" w:type="dxa"/>
            </w:tcMar>
            <w:vAlign w:val="top"/>
          </w:tcPr>
          <w:p>
            <w:pPr>
              <w:pStyle w:val="TableText"/>
            </w:pPr>
            <w:r>
              <w:t>Quantitative confidence</w:t>
            </w:r>
          </w:p>
        </w:tc>
        <w:tc>
          <w:tcPr>
            <w:tcW w:type="dxa" w:w="4741"/>
            <w:tcMar>
              <w:top w:w="55" w:type="dxa"/>
              <w:start w:w="70" w:type="dxa"/>
              <w:bottom w:w="55" w:type="dxa"/>
              <w:end w:w="70" w:type="dxa"/>
            </w:tcMar>
            <w:vAlign w:val="top"/>
          </w:tcPr>
          <w:p>
            <w:pPr>
              <w:pStyle w:val="TableText"/>
            </w:pPr>
            <w:r>
              <w:t>Build a diagnostic list of missing techniques; practise short, frequent sets; use office hours and subject support early.</w:t>
            </w:r>
          </w:p>
        </w:tc>
        <w:tc>
          <w:tcPr>
            <w:tcW w:type="dxa" w:w="3782"/>
            <w:tcMar>
              <w:top w:w="55" w:type="dxa"/>
              <w:start w:w="70" w:type="dxa"/>
              <w:bottom w:w="55" w:type="dxa"/>
              <w:end w:w="70" w:type="dxa"/>
            </w:tcMar>
            <w:vAlign w:val="top"/>
          </w:tcPr>
          <w:p>
            <w:pPr>
              <w:pStyle w:val="TableText"/>
            </w:pPr>
            <w:r>
              <w:t>Copying solutions produces recognition but not independent retrieval.</w:t>
            </w:r>
          </w:p>
        </w:tc>
      </w:tr>
      <w:tr>
        <w:trPr>
          <w:cantSplit w:val="true"/>
        </w:trPr>
        <w:tc>
          <w:tcPr>
            <w:tcW w:type="dxa" w:w="1513"/>
            <w:shd w:fill="F5F7F8"/>
            <w:tcMar>
              <w:top w:w="55" w:type="dxa"/>
              <w:start w:w="70" w:type="dxa"/>
              <w:bottom w:w="55" w:type="dxa"/>
              <w:end w:w="70" w:type="dxa"/>
            </w:tcMar>
            <w:vAlign w:val="top"/>
          </w:tcPr>
          <w:p>
            <w:pPr>
              <w:pStyle w:val="TableText"/>
            </w:pPr>
            <w:r>
              <w:t>Note-taking</w:t>
            </w:r>
          </w:p>
        </w:tc>
        <w:tc>
          <w:tcPr>
            <w:tcW w:type="dxa" w:w="4741"/>
            <w:shd w:fill="F5F7F8"/>
            <w:tcMar>
              <w:top w:w="55" w:type="dxa"/>
              <w:start w:w="70" w:type="dxa"/>
              <w:bottom w:w="55" w:type="dxa"/>
              <w:end w:w="70" w:type="dxa"/>
            </w:tcMar>
            <w:vAlign w:val="top"/>
          </w:tcPr>
          <w:p>
            <w:pPr>
              <w:pStyle w:val="TableText"/>
            </w:pPr>
            <w:r>
              <w:t>Keep notes tied to a purpose and source. Separate quotation, paraphrase and your inference.</w:t>
            </w:r>
          </w:p>
        </w:tc>
        <w:tc>
          <w:tcPr>
            <w:tcW w:type="dxa" w:w="3782"/>
            <w:shd w:fill="F5F7F8"/>
            <w:tcMar>
              <w:top w:w="55" w:type="dxa"/>
              <w:start w:w="70" w:type="dxa"/>
              <w:bottom w:w="55" w:type="dxa"/>
              <w:end w:w="70" w:type="dxa"/>
            </w:tcMar>
            <w:vAlign w:val="top"/>
          </w:tcPr>
          <w:p>
            <w:pPr>
              <w:pStyle w:val="TableText"/>
            </w:pPr>
            <w:r>
              <w:t>A beautiful archive that cannot answer this week’s problem.</w:t>
            </w:r>
          </w:p>
        </w:tc>
      </w:tr>
      <w:tr>
        <w:trPr>
          <w:cantSplit w:val="true"/>
        </w:trPr>
        <w:tc>
          <w:tcPr>
            <w:tcW w:type="dxa" w:w="1513"/>
            <w:tcMar>
              <w:top w:w="55" w:type="dxa"/>
              <w:start w:w="70" w:type="dxa"/>
              <w:bottom w:w="55" w:type="dxa"/>
              <w:end w:w="70" w:type="dxa"/>
            </w:tcMar>
            <w:vAlign w:val="top"/>
          </w:tcPr>
          <w:p>
            <w:pPr>
              <w:pStyle w:val="TableText"/>
            </w:pPr>
            <w:r>
              <w:t>Referencing</w:t>
            </w:r>
          </w:p>
        </w:tc>
        <w:tc>
          <w:tcPr>
            <w:tcW w:type="dxa" w:w="4741"/>
            <w:tcMar>
              <w:top w:w="55" w:type="dxa"/>
              <w:start w:w="70" w:type="dxa"/>
              <w:bottom w:w="55" w:type="dxa"/>
              <w:end w:w="70" w:type="dxa"/>
            </w:tcMar>
            <w:vAlign w:val="top"/>
          </w:tcPr>
          <w:p>
            <w:pPr>
              <w:pStyle w:val="TableText"/>
            </w:pPr>
            <w:r>
              <w:t>Use the Faculty style guide and a reference manager if appropriate; record page numbers while reading.</w:t>
            </w:r>
          </w:p>
        </w:tc>
        <w:tc>
          <w:tcPr>
            <w:tcW w:type="dxa" w:w="3782"/>
            <w:tcMar>
              <w:top w:w="55" w:type="dxa"/>
              <w:start w:w="70" w:type="dxa"/>
              <w:bottom w:w="55" w:type="dxa"/>
              <w:end w:w="70" w:type="dxa"/>
            </w:tcMar>
            <w:vAlign w:val="top"/>
          </w:tcPr>
          <w:p>
            <w:pPr>
              <w:pStyle w:val="TableText"/>
            </w:pPr>
            <w:r>
              <w:t>Adding citations from memory at 2 a.m.</w:t>
            </w:r>
          </w:p>
        </w:tc>
      </w:tr>
      <w:tr>
        <w:trPr>
          <w:cantSplit w:val="true"/>
        </w:trPr>
        <w:tc>
          <w:tcPr>
            <w:tcW w:type="dxa" w:w="1513"/>
            <w:shd w:fill="F5F7F8"/>
            <w:tcMar>
              <w:top w:w="55" w:type="dxa"/>
              <w:start w:w="70" w:type="dxa"/>
              <w:bottom w:w="55" w:type="dxa"/>
              <w:end w:w="70" w:type="dxa"/>
            </w:tcMar>
            <w:vAlign w:val="top"/>
          </w:tcPr>
          <w:p>
            <w:pPr>
              <w:pStyle w:val="TableText"/>
            </w:pPr>
            <w:r>
              <w:t>Feedback</w:t>
            </w:r>
          </w:p>
        </w:tc>
        <w:tc>
          <w:tcPr>
            <w:tcW w:type="dxa" w:w="4741"/>
            <w:shd w:fill="F5F7F8"/>
            <w:tcMar>
              <w:top w:w="55" w:type="dxa"/>
              <w:start w:w="70" w:type="dxa"/>
              <w:bottom w:w="55" w:type="dxa"/>
              <w:end w:w="70" w:type="dxa"/>
            </w:tcMar>
            <w:vAlign w:val="top"/>
          </w:tcPr>
          <w:p>
            <w:pPr>
              <w:pStyle w:val="TableText"/>
            </w:pPr>
            <w:r>
              <w:t>Translate comments into categories: argument, evidence, structure, technique, presentation. Ask which one has highest priority.</w:t>
            </w:r>
          </w:p>
        </w:tc>
        <w:tc>
          <w:tcPr>
            <w:tcW w:type="dxa" w:w="3782"/>
            <w:shd w:fill="F5F7F8"/>
            <w:tcMar>
              <w:top w:w="55" w:type="dxa"/>
              <w:start w:w="70" w:type="dxa"/>
              <w:bottom w:w="55" w:type="dxa"/>
              <w:end w:w="70" w:type="dxa"/>
            </w:tcMar>
            <w:vAlign w:val="top"/>
          </w:tcPr>
          <w:p>
            <w:pPr>
              <w:pStyle w:val="TableText"/>
            </w:pPr>
            <w:r>
              <w:t>Treating a mark as a verdict on whether you belong.</w:t>
            </w:r>
          </w:p>
        </w:tc>
      </w:tr>
      <w:tr>
        <w:trPr>
          <w:cantSplit w:val="true"/>
        </w:trPr>
        <w:tc>
          <w:tcPr>
            <w:tcW w:type="dxa" w:w="1513"/>
            <w:tcMar>
              <w:top w:w="55" w:type="dxa"/>
              <w:start w:w="70" w:type="dxa"/>
              <w:bottom w:w="55" w:type="dxa"/>
              <w:end w:w="70" w:type="dxa"/>
            </w:tcMar>
            <w:vAlign w:val="top"/>
          </w:tcPr>
          <w:p>
            <w:pPr>
              <w:pStyle w:val="TableText"/>
            </w:pPr>
            <w:r>
              <w:t>Digital systems</w:t>
            </w:r>
          </w:p>
        </w:tc>
        <w:tc>
          <w:tcPr>
            <w:tcW w:type="dxa" w:w="4741"/>
            <w:tcMar>
              <w:top w:w="55" w:type="dxa"/>
              <w:start w:w="70" w:type="dxa"/>
              <w:bottom w:w="55" w:type="dxa"/>
              <w:end w:w="70" w:type="dxa"/>
            </w:tcMar>
            <w:vAlign w:val="top"/>
          </w:tcPr>
          <w:p>
            <w:pPr>
              <w:pStyle w:val="TableText"/>
            </w:pPr>
            <w:r>
              <w:t>Practise Raven login, email rules, Moodle, file naming, cloud backup and PDF annotation before the first deadline.</w:t>
            </w:r>
          </w:p>
        </w:tc>
        <w:tc>
          <w:tcPr>
            <w:tcW w:type="dxa" w:w="3782"/>
            <w:tcMar>
              <w:top w:w="55" w:type="dxa"/>
              <w:start w:w="70" w:type="dxa"/>
              <w:bottom w:w="55" w:type="dxa"/>
              <w:end w:w="70" w:type="dxa"/>
            </w:tcMar>
            <w:vAlign w:val="top"/>
          </w:tcPr>
          <w:p>
            <w:pPr>
              <w:pStyle w:val="TableText"/>
            </w:pPr>
            <w:r>
              <w:t>One device, one local copy, no version history.</w:t>
            </w:r>
          </w:p>
        </w:tc>
      </w:tr>
      <w:tr>
        <w:trPr>
          <w:cantSplit w:val="true"/>
        </w:trPr>
        <w:tc>
          <w:tcPr>
            <w:tcW w:type="dxa" w:w="1513"/>
            <w:shd w:fill="F5F7F8"/>
            <w:tcMar>
              <w:top w:w="55" w:type="dxa"/>
              <w:start w:w="70" w:type="dxa"/>
              <w:bottom w:w="55" w:type="dxa"/>
              <w:end w:w="70" w:type="dxa"/>
            </w:tcMar>
            <w:vAlign w:val="top"/>
          </w:tcPr>
          <w:p>
            <w:pPr>
              <w:pStyle w:val="TableText"/>
            </w:pPr>
            <w:r>
              <w:t>Perfectionism</w:t>
            </w:r>
          </w:p>
        </w:tc>
        <w:tc>
          <w:tcPr>
            <w:tcW w:type="dxa" w:w="4741"/>
            <w:shd w:fill="F5F7F8"/>
            <w:tcMar>
              <w:top w:w="55" w:type="dxa"/>
              <w:start w:w="70" w:type="dxa"/>
              <w:bottom w:w="55" w:type="dxa"/>
              <w:end w:w="70" w:type="dxa"/>
            </w:tcMar>
            <w:vAlign w:val="top"/>
          </w:tcPr>
          <w:p>
            <w:pPr>
              <w:pStyle w:val="TableText"/>
            </w:pPr>
            <w:r>
              <w:t>Set a time budget and a minimum viable submission. A submitted good essay teaches more than an imaginary perfect one.</w:t>
            </w:r>
          </w:p>
        </w:tc>
        <w:tc>
          <w:tcPr>
            <w:tcW w:type="dxa" w:w="3782"/>
            <w:shd w:fill="F5F7F8"/>
            <w:tcMar>
              <w:top w:w="55" w:type="dxa"/>
              <w:start w:w="70" w:type="dxa"/>
              <w:bottom w:w="55" w:type="dxa"/>
              <w:end w:w="70" w:type="dxa"/>
            </w:tcMar>
            <w:vAlign w:val="top"/>
          </w:tcPr>
          <w:p>
            <w:pPr>
              <w:pStyle w:val="TableText"/>
            </w:pPr>
            <w:r>
              <w:t>Every task expands to consume sleep, meals and the next deadline.</w:t>
            </w:r>
          </w:p>
        </w:tc>
      </w:tr>
    </w:tbl>
    <w:p>
      <w:pPr>
        <w:spacing w:after="20"/>
      </w:pPr>
    </w:p>
    <w:p>
      <w:pPr>
        <w:pStyle w:val="Heading2"/>
        <w:keepNext/>
      </w:pPr>
      <w:r>
        <w:t>Libraries and digital resources</w:t>
      </w:r>
    </w:p>
    <w:p>
      <w:r>
        <w:t>You may use a College library, a Faculty or Department library and the University Library (UL), with electronic journals and ebooks authenticated through Raven. The best library is the one that matches the task: College for long opening hours and core texts; Faculty for specialist collections and librarians who understand the course; UL for depth, rare material and legal deposit holdings. Ask librarians for a five-minute route through the catalogue rather than silently wasting an hour. [U20]</w:t>
      </w:r>
    </w:p>
    <w:p>
      <w:r>
        <w:t>Moodle or another course platform may hold handbooks, slides, recordings and submissions. Lecture capture is not universal and should not be assumed as an attendance substitute. University Information Services supports accounts, software, security and many technical services. Back up work in at least two locations and enable multi-factor authentication. [U28]</w:t>
      </w:r>
    </w:p>
    <w:p>
      <w:pPr>
        <w:pStyle w:val="Heading2"/>
        <w:keepNext/>
      </w:pPr>
      <w:r>
        <w:t>Responsible use of AI</w:t>
      </w:r>
    </w:p>
    <w:p>
      <w:r>
        <w:t>Do not infer permission from the existence of a tool. University guidance, Faculty rules, assessment instructions and individual task directions can differ. Never submit generated language, analysis, code or references as your own where prohibited; never place confidential research, personal data or unpublished material into a public system; and check every reference because fabricated citations are common. Keep a note of permitted use and prompts where disclosure may be required. [U27]</w:t>
      </w:r>
    </w:p>
    <w:p>
      <w:pPr>
        <w:pStyle w:val="Heading2"/>
        <w:keepNext/>
      </w:pPr>
      <w:r>
        <w:t>Exams, progression, mitigation and resits</w:t>
      </w:r>
    </w:p>
    <w:p>
      <w:pPr/>
      <w:r>
        <w:t>Do not assume Cambridge offers an ordinary second-sit system in which a disappointing undergraduate examination can simply be retaken. Rules differ by Tripos and professional course, and disruption is commonly handled through examination access arrangements, allowances, progression decisions or intermission. The practical rule is simple: if illness, disability or caring may affect an examination, tell your Tutor early and ask which formal process and evidence apply. [U26]</w:t>
      </w:r>
    </w:p>
    <w:p>
      <w:pPr/>
      <w:r>
        <w:t>A University teaching review reported in 2025 explicitly addressed overwork, routine disclosure of cohort rankings, weekend teaching and teaching outside an 8am–8pm window. Implementation is not identical across subjects and should not be read as a guarantee that your timetable will already be family-friendly. [R01]</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1900"/>
            <w:shd w:fill="17324D" w:val="clear"/>
            <w:vAlign w:val="center"/>
          </w:tcPr>
          <w:p>
            <w:pPr>
              <w:spacing w:after="20"/>
              <w:jc w:val="left"/>
            </w:pPr>
            <w:r>
              <w:rPr>
                <w:rFonts w:ascii="Lato" w:hAnsi="Lato"/>
                <w:b/>
                <w:color w:val="FFFFFF"/>
                <w:sz w:val="15"/>
              </w:rPr>
              <w:t>Situation</w:t>
            </w:r>
          </w:p>
        </w:tc>
        <w:tc>
          <w:tcPr>
            <w:tcW w:type="dxa" w:w="4550"/>
            <w:shd w:fill="17324D" w:val="clear"/>
            <w:vAlign w:val="center"/>
          </w:tcPr>
          <w:p>
            <w:pPr>
              <w:spacing w:after="20"/>
              <w:jc w:val="left"/>
            </w:pPr>
            <w:r>
              <w:rPr>
                <w:rFonts w:ascii="Lato" w:hAnsi="Lato"/>
                <w:b/>
                <w:color w:val="FFFFFF"/>
                <w:sz w:val="15"/>
              </w:rPr>
              <w:t>Do now</w:t>
            </w:r>
          </w:p>
        </w:tc>
        <w:tc>
          <w:tcPr>
            <w:tcW w:type="dxa" w:w="3586"/>
            <w:shd w:fill="17324D" w:val="clear"/>
            <w:vAlign w:val="center"/>
          </w:tcPr>
          <w:p>
            <w:pPr>
              <w:spacing w:after="20"/>
              <w:jc w:val="left"/>
            </w:pPr>
            <w:r>
              <w:rPr>
                <w:rFonts w:ascii="Lato" w:hAnsi="Lato"/>
                <w:b/>
                <w:color w:val="FFFFFF"/>
                <w:sz w:val="15"/>
              </w:rPr>
              <w:t>Formal route to ask about</w:t>
            </w:r>
          </w:p>
        </w:tc>
      </w:tr>
      <w:tr>
        <w:trPr>
          <w:cantSplit w:val="true"/>
        </w:trPr>
        <w:tc>
          <w:tcPr>
            <w:tcW w:type="dxa" w:w="1900"/>
            <w:vAlign w:val="top"/>
          </w:tcPr>
          <w:p>
            <w:pPr>
              <w:spacing w:after="24" w:line="240" w:lineRule="auto"/>
            </w:pPr>
            <w:r/>
            <w:r>
              <w:rPr>
                <w:rFonts w:ascii="Lato" w:hAnsi="Lato"/>
                <w:color w:val="222222"/>
                <w:sz w:val="14"/>
              </w:rPr>
              <w:t>Poor supervision marks</w:t>
            </w:r>
          </w:p>
        </w:tc>
        <w:tc>
          <w:tcPr>
            <w:tcW w:type="dxa" w:w="4550"/>
            <w:vAlign w:val="top"/>
          </w:tcPr>
          <w:p>
            <w:pPr>
              <w:spacing w:after="24" w:line="240" w:lineRule="auto"/>
            </w:pPr>
            <w:r/>
            <w:r>
              <w:rPr>
                <w:rFonts w:ascii="Lato" w:hAnsi="Lato"/>
                <w:color w:val="222222"/>
                <w:sz w:val="14"/>
              </w:rPr>
              <w:t>Discuss the next piece with the supervisor; ask the DoS whether the pattern is normal for the paper.</w:t>
            </w:r>
          </w:p>
        </w:tc>
        <w:tc>
          <w:tcPr>
            <w:tcW w:type="dxa" w:w="3586"/>
            <w:vAlign w:val="top"/>
          </w:tcPr>
          <w:p>
            <w:pPr>
              <w:spacing w:after="24" w:line="240" w:lineRule="auto"/>
            </w:pPr>
            <w:r/>
            <w:r>
              <w:rPr>
                <w:rFonts w:ascii="Lato" w:hAnsi="Lato"/>
                <w:color w:val="222222"/>
                <w:sz w:val="14"/>
              </w:rPr>
              <w:t>Academic support, changed supervision arrangements or study-skills help.</w:t>
            </w:r>
          </w:p>
        </w:tc>
      </w:tr>
      <w:tr>
        <w:trPr>
          <w:cantSplit w:val="true"/>
        </w:trPr>
        <w:tc>
          <w:tcPr>
            <w:tcW w:type="dxa" w:w="1900"/>
            <w:shd w:fill="F5F7F8" w:val="clear"/>
            <w:vAlign w:val="top"/>
          </w:tcPr>
          <w:p>
            <w:pPr>
              <w:spacing w:after="24" w:line="240" w:lineRule="auto"/>
            </w:pPr>
            <w:r/>
            <w:r>
              <w:rPr>
                <w:rFonts w:ascii="Lato" w:hAnsi="Lato"/>
                <w:color w:val="222222"/>
                <w:sz w:val="14"/>
              </w:rPr>
              <w:t>Illness before exams</w:t>
            </w:r>
          </w:p>
        </w:tc>
        <w:tc>
          <w:tcPr>
            <w:tcW w:type="dxa" w:w="4550"/>
            <w:shd w:fill="F5F7F8" w:val="clear"/>
            <w:vAlign w:val="top"/>
          </w:tcPr>
          <w:p>
            <w:pPr>
              <w:spacing w:after="24" w:line="240" w:lineRule="auto"/>
            </w:pPr>
            <w:r/>
            <w:r>
              <w:rPr>
                <w:rFonts w:ascii="Lato" w:hAnsi="Lato"/>
                <w:color w:val="222222"/>
                <w:sz w:val="14"/>
              </w:rPr>
              <w:t>Seek clinical help and tell Tutor immediately; record dates and impact.</w:t>
            </w:r>
          </w:p>
        </w:tc>
        <w:tc>
          <w:tcPr>
            <w:tcW w:type="dxa" w:w="3586"/>
            <w:shd w:fill="F5F7F8" w:val="clear"/>
            <w:vAlign w:val="top"/>
          </w:tcPr>
          <w:p>
            <w:pPr>
              <w:spacing w:after="24" w:line="240" w:lineRule="auto"/>
            </w:pPr>
            <w:r/>
            <w:r>
              <w:rPr>
                <w:rFonts w:ascii="Lato" w:hAnsi="Lato"/>
                <w:color w:val="222222"/>
                <w:sz w:val="14"/>
              </w:rPr>
              <w:t>Exam access arrangements, allowance/mitigation or intermission.</w:t>
            </w:r>
          </w:p>
        </w:tc>
      </w:tr>
      <w:tr>
        <w:trPr>
          <w:cantSplit w:val="true"/>
        </w:trPr>
        <w:tc>
          <w:tcPr>
            <w:tcW w:type="dxa" w:w="1900"/>
            <w:vAlign w:val="top"/>
          </w:tcPr>
          <w:p>
            <w:pPr>
              <w:spacing w:after="24" w:line="240" w:lineRule="auto"/>
            </w:pPr>
            <w:r/>
            <w:r>
              <w:rPr>
                <w:rFonts w:ascii="Lato" w:hAnsi="Lato"/>
                <w:color w:val="222222"/>
                <w:sz w:val="14"/>
              </w:rPr>
              <w:t>Missed or unable to sit an exam</w:t>
            </w:r>
          </w:p>
        </w:tc>
        <w:tc>
          <w:tcPr>
            <w:tcW w:type="dxa" w:w="4550"/>
            <w:vAlign w:val="top"/>
          </w:tcPr>
          <w:p>
            <w:pPr>
              <w:spacing w:after="24" w:line="240" w:lineRule="auto"/>
            </w:pPr>
            <w:r/>
            <w:r>
              <w:rPr>
                <w:rFonts w:ascii="Lato" w:hAnsi="Lato"/>
                <w:color w:val="222222"/>
                <w:sz w:val="14"/>
              </w:rPr>
              <w:t>Contact College/Tutor as soon as safely possible; do not wait for results.</w:t>
            </w:r>
          </w:p>
        </w:tc>
        <w:tc>
          <w:tcPr>
            <w:tcW w:type="dxa" w:w="3586"/>
            <w:vAlign w:val="top"/>
          </w:tcPr>
          <w:p>
            <w:pPr>
              <w:spacing w:after="24" w:line="240" w:lineRule="auto"/>
            </w:pPr>
            <w:r/>
            <w:r>
              <w:rPr>
                <w:rFonts w:ascii="Lato" w:hAnsi="Lato"/>
                <w:color w:val="222222"/>
                <w:sz w:val="14"/>
              </w:rPr>
              <w:t>The course-specific examination process; evidence and deadlines are strict.</w:t>
            </w:r>
          </w:p>
        </w:tc>
      </w:tr>
      <w:tr>
        <w:trPr>
          <w:cantSplit w:val="true"/>
        </w:trPr>
        <w:tc>
          <w:tcPr>
            <w:tcW w:type="dxa" w:w="1900"/>
            <w:shd w:fill="F5F7F8" w:val="clear"/>
            <w:vAlign w:val="top"/>
          </w:tcPr>
          <w:p>
            <w:pPr>
              <w:spacing w:after="24" w:line="240" w:lineRule="auto"/>
            </w:pPr>
            <w:r/>
            <w:r>
              <w:rPr>
                <w:rFonts w:ascii="Lato" w:hAnsi="Lato"/>
                <w:color w:val="222222"/>
                <w:sz w:val="14"/>
              </w:rPr>
              <w:t>Need a disability adjustment</w:t>
            </w:r>
          </w:p>
        </w:tc>
        <w:tc>
          <w:tcPr>
            <w:tcW w:type="dxa" w:w="4550"/>
            <w:shd w:fill="F5F7F8" w:val="clear"/>
            <w:vAlign w:val="top"/>
          </w:tcPr>
          <w:p>
            <w:pPr>
              <w:spacing w:after="24" w:line="240" w:lineRule="auto"/>
            </w:pPr>
            <w:r/>
            <w:r>
              <w:rPr>
                <w:rFonts w:ascii="Lato" w:hAnsi="Lato"/>
                <w:color w:val="222222"/>
                <w:sz w:val="14"/>
              </w:rPr>
              <w:t>ADRC + Tutor months in advance, not in exam week.</w:t>
            </w:r>
          </w:p>
        </w:tc>
        <w:tc>
          <w:tcPr>
            <w:tcW w:type="dxa" w:w="3586"/>
            <w:shd w:fill="F5F7F8" w:val="clear"/>
            <w:vAlign w:val="top"/>
          </w:tcPr>
          <w:p>
            <w:pPr>
              <w:spacing w:after="24" w:line="240" w:lineRule="auto"/>
            </w:pPr>
            <w:r/>
            <w:r>
              <w:rPr>
                <w:rFonts w:ascii="Lato" w:hAnsi="Lato"/>
                <w:color w:val="222222"/>
                <w:sz w:val="14"/>
              </w:rPr>
              <w:t>Student Support Document and formal exam access application.</w:t>
            </w:r>
          </w:p>
        </w:tc>
      </w:tr>
      <w:tr>
        <w:trPr>
          <w:cantSplit w:val="true"/>
        </w:trPr>
        <w:tc>
          <w:tcPr>
            <w:tcW w:type="dxa" w:w="1900"/>
            <w:vAlign w:val="top"/>
          </w:tcPr>
          <w:p>
            <w:pPr>
              <w:spacing w:after="24" w:line="240" w:lineRule="auto"/>
            </w:pPr>
            <w:r/>
            <w:r>
              <w:rPr>
                <w:rFonts w:ascii="Lato" w:hAnsi="Lato"/>
                <w:color w:val="222222"/>
                <w:sz w:val="14"/>
              </w:rPr>
              <w:t>Considering time out</w:t>
            </w:r>
          </w:p>
        </w:tc>
        <w:tc>
          <w:tcPr>
            <w:tcW w:type="dxa" w:w="4550"/>
            <w:vAlign w:val="top"/>
          </w:tcPr>
          <w:p>
            <w:pPr>
              <w:spacing w:after="24" w:line="240" w:lineRule="auto"/>
            </w:pPr>
            <w:r/>
            <w:r>
              <w:rPr>
                <w:rFonts w:ascii="Lato" w:hAnsi="Lato"/>
                <w:color w:val="222222"/>
                <w:sz w:val="14"/>
              </w:rPr>
              <w:t>Information-gathering meeting with Tutor and DoS; map finance, housing, visa and return conditions.</w:t>
            </w:r>
          </w:p>
        </w:tc>
        <w:tc>
          <w:tcPr>
            <w:tcW w:type="dxa" w:w="3586"/>
            <w:vAlign w:val="top"/>
          </w:tcPr>
          <w:p>
            <w:pPr>
              <w:spacing w:after="24" w:line="240" w:lineRule="auto"/>
            </w:pPr>
            <w:r/>
            <w:r>
              <w:rPr>
                <w:rFonts w:ascii="Lato" w:hAnsi="Lato"/>
                <w:color w:val="222222"/>
                <w:sz w:val="14"/>
              </w:rPr>
              <w:t>Intermission rather than an improvised absence. [U14]</w:t>
            </w:r>
          </w:p>
        </w:tc>
      </w:tr>
    </w:tbl>
    <w:p>
      <w:pPr>
        <w:pStyle w:val="Source"/>
      </w:pPr>
      <w:r>
        <w:t>Sources and status: [U14] [U26]. [R01] is established press reporting on the 2025 teaching review; verify course-level implementation in the current handbook.</w:t>
      </w:r>
    </w:p>
    <w:p>
      <w:pPr>
        <w:pStyle w:val="Heading2"/>
        <w:keepNext/>
      </w:pPr>
      <w:r>
        <w:t>Three realistic sample weeks</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945"/>
        <w:gridCol w:w="3030"/>
        <w:gridCol w:w="3030"/>
        <w:gridCol w:w="3030"/>
      </w:tblGrid>
      <w:tr>
        <w:trPr>
          <w:tblHeader w:val="true"/>
          <w:cantSplit w:val="true"/>
        </w:trPr>
        <w:tc>
          <w:tcPr>
            <w:tcW w:type="dxa" w:w="944"/>
            <w:shd w:fill="17324D"/>
            <w:tcMar>
              <w:top w:w="70" w:type="dxa"/>
              <w:start w:w="80" w:type="dxa"/>
              <w:bottom w:w="70" w:type="dxa"/>
              <w:end w:w="80" w:type="dxa"/>
            </w:tcMar>
            <w:vAlign w:val="center"/>
          </w:tcPr>
          <w:p>
            <w:pPr>
              <w:pStyle w:val="TableSmall"/>
              <w:jc w:val="left"/>
            </w:pPr>
            <w:r>
              <w:rPr>
                <w:b/>
                <w:color w:val="FFFFFF"/>
                <w:sz w:val="13"/>
              </w:rPr>
              <w:t>Time</w:t>
            </w:r>
          </w:p>
        </w:tc>
        <w:tc>
          <w:tcPr>
            <w:tcW w:type="dxa" w:w="3030"/>
            <w:shd w:fill="17324D"/>
            <w:tcMar>
              <w:top w:w="70" w:type="dxa"/>
              <w:start w:w="80" w:type="dxa"/>
              <w:bottom w:w="70" w:type="dxa"/>
              <w:end w:w="80" w:type="dxa"/>
            </w:tcMar>
            <w:vAlign w:val="center"/>
          </w:tcPr>
          <w:p>
            <w:pPr>
              <w:pStyle w:val="TableSmall"/>
              <w:jc w:val="left"/>
            </w:pPr>
            <w:r>
              <w:rPr>
                <w:b/>
                <w:color w:val="FFFFFF"/>
                <w:sz w:val="13"/>
              </w:rPr>
              <w:t>Humanities mature student</w:t>
            </w:r>
          </w:p>
        </w:tc>
        <w:tc>
          <w:tcPr>
            <w:tcW w:type="dxa" w:w="3030"/>
            <w:shd w:fill="17324D"/>
            <w:tcMar>
              <w:top w:w="70" w:type="dxa"/>
              <w:start w:w="80" w:type="dxa"/>
              <w:bottom w:w="70" w:type="dxa"/>
              <w:end w:w="80" w:type="dxa"/>
            </w:tcMar>
            <w:vAlign w:val="center"/>
          </w:tcPr>
          <w:p>
            <w:pPr>
              <w:pStyle w:val="TableSmall"/>
              <w:jc w:val="left"/>
            </w:pPr>
            <w:r>
              <w:rPr>
                <w:b/>
                <w:color w:val="FFFFFF"/>
                <w:sz w:val="13"/>
              </w:rPr>
              <w:t>Laboratory science mature student</w:t>
            </w:r>
          </w:p>
        </w:tc>
        <w:tc>
          <w:tcPr>
            <w:tcW w:type="dxa" w:w="3030"/>
            <w:shd w:fill="17324D"/>
            <w:tcMar>
              <w:top w:w="70" w:type="dxa"/>
              <w:start w:w="80" w:type="dxa"/>
              <w:bottom w:w="70" w:type="dxa"/>
              <w:end w:w="80" w:type="dxa"/>
            </w:tcMar>
            <w:vAlign w:val="center"/>
          </w:tcPr>
          <w:p>
            <w:pPr>
              <w:pStyle w:val="TableSmall"/>
              <w:jc w:val="left"/>
            </w:pPr>
            <w:r>
              <w:rPr>
                <w:b/>
                <w:color w:val="FFFFFF"/>
                <w:sz w:val="13"/>
              </w:rPr>
              <w:t>Student with caring responsibilities</w:t>
            </w:r>
          </w:p>
        </w:tc>
      </w:tr>
      <w:tr>
        <w:trPr>
          <w:cantSplit w:val="true"/>
        </w:trPr>
        <w:tc>
          <w:tcPr>
            <w:tcW w:type="dxa" w:w="944"/>
            <w:tcMar>
              <w:top w:w="55" w:type="dxa"/>
              <w:start w:w="70" w:type="dxa"/>
              <w:bottom w:w="55" w:type="dxa"/>
              <w:end w:w="70" w:type="dxa"/>
            </w:tcMar>
            <w:vAlign w:val="top"/>
          </w:tcPr>
          <w:p>
            <w:pPr>
              <w:pStyle w:val="TableSmall"/>
            </w:pPr>
            <w:r>
              <w:rPr>
                <w:sz w:val="13"/>
              </w:rPr>
              <w:t>08:00–10:00</w:t>
            </w:r>
          </w:p>
        </w:tc>
        <w:tc>
          <w:tcPr>
            <w:tcW w:type="dxa" w:w="3030"/>
            <w:tcMar>
              <w:top w:w="55" w:type="dxa"/>
              <w:start w:w="70" w:type="dxa"/>
              <w:bottom w:w="55" w:type="dxa"/>
              <w:end w:w="70" w:type="dxa"/>
            </w:tcMar>
            <w:vAlign w:val="top"/>
          </w:tcPr>
          <w:p>
            <w:pPr>
              <w:pStyle w:val="TableSmall"/>
            </w:pPr>
            <w:r>
              <w:rPr>
                <w:sz w:val="13"/>
              </w:rPr>
              <w:t>Deep reading or essay plan before messages.</w:t>
            </w:r>
          </w:p>
        </w:tc>
        <w:tc>
          <w:tcPr>
            <w:tcW w:type="dxa" w:w="3030"/>
            <w:tcMar>
              <w:top w:w="55" w:type="dxa"/>
              <w:start w:w="70" w:type="dxa"/>
              <w:bottom w:w="55" w:type="dxa"/>
              <w:end w:w="70" w:type="dxa"/>
            </w:tcMar>
            <w:vAlign w:val="top"/>
          </w:tcPr>
          <w:p>
            <w:pPr>
              <w:pStyle w:val="TableSmall"/>
            </w:pPr>
            <w:r>
              <w:rPr>
                <w:sz w:val="13"/>
              </w:rPr>
              <w:t>Problem-set work; prepare practical.</w:t>
            </w:r>
          </w:p>
        </w:tc>
        <w:tc>
          <w:tcPr>
            <w:tcW w:type="dxa" w:w="3030"/>
            <w:tcMar>
              <w:top w:w="55" w:type="dxa"/>
              <w:start w:w="70" w:type="dxa"/>
              <w:bottom w:w="55" w:type="dxa"/>
              <w:end w:w="70" w:type="dxa"/>
            </w:tcMar>
            <w:vAlign w:val="top"/>
          </w:tcPr>
          <w:p>
            <w:pPr>
              <w:pStyle w:val="TableSmall"/>
            </w:pPr>
            <w:r>
              <w:rPr>
                <w:sz w:val="13"/>
              </w:rPr>
              <w:t>School/nursery run; 45-minute priority reading.</w:t>
            </w:r>
          </w:p>
        </w:tc>
      </w:tr>
      <w:tr>
        <w:trPr>
          <w:cantSplit w:val="true"/>
        </w:trPr>
        <w:tc>
          <w:tcPr>
            <w:tcW w:type="dxa" w:w="944"/>
            <w:shd w:fill="F5F7F8"/>
            <w:tcMar>
              <w:top w:w="55" w:type="dxa"/>
              <w:start w:w="70" w:type="dxa"/>
              <w:bottom w:w="55" w:type="dxa"/>
              <w:end w:w="70" w:type="dxa"/>
            </w:tcMar>
            <w:vAlign w:val="top"/>
          </w:tcPr>
          <w:p>
            <w:pPr>
              <w:pStyle w:val="TableSmall"/>
            </w:pPr>
            <w:r>
              <w:rPr>
                <w:sz w:val="13"/>
              </w:rPr>
              <w:t>10:00–13:00</w:t>
            </w:r>
          </w:p>
        </w:tc>
        <w:tc>
          <w:tcPr>
            <w:tcW w:type="dxa" w:w="3030"/>
            <w:shd w:fill="F5F7F8"/>
            <w:tcMar>
              <w:top w:w="55" w:type="dxa"/>
              <w:start w:w="70" w:type="dxa"/>
              <w:bottom w:w="55" w:type="dxa"/>
              <w:end w:w="70" w:type="dxa"/>
            </w:tcMar>
            <w:vAlign w:val="top"/>
          </w:tcPr>
          <w:p>
            <w:pPr>
              <w:pStyle w:val="TableSmall"/>
            </w:pPr>
            <w:r>
              <w:rPr>
                <w:sz w:val="13"/>
              </w:rPr>
              <w:t>Lectures/seminar; Faculty library.</w:t>
            </w:r>
          </w:p>
        </w:tc>
        <w:tc>
          <w:tcPr>
            <w:tcW w:type="dxa" w:w="3030"/>
            <w:shd w:fill="F5F7F8"/>
            <w:tcMar>
              <w:top w:w="55" w:type="dxa"/>
              <w:start w:w="70" w:type="dxa"/>
              <w:bottom w:w="55" w:type="dxa"/>
              <w:end w:w="70" w:type="dxa"/>
            </w:tcMar>
            <w:vAlign w:val="top"/>
          </w:tcPr>
          <w:p>
            <w:pPr>
              <w:pStyle w:val="TableSmall"/>
            </w:pPr>
            <w:r>
              <w:rPr>
                <w:sz w:val="13"/>
              </w:rPr>
              <w:t>Lectures and laboratory block.</w:t>
            </w:r>
          </w:p>
        </w:tc>
        <w:tc>
          <w:tcPr>
            <w:tcW w:type="dxa" w:w="3030"/>
            <w:shd w:fill="F5F7F8"/>
            <w:tcMar>
              <w:top w:w="55" w:type="dxa"/>
              <w:start w:w="70" w:type="dxa"/>
              <w:bottom w:w="55" w:type="dxa"/>
              <w:end w:w="70" w:type="dxa"/>
            </w:tcMar>
            <w:vAlign w:val="top"/>
          </w:tcPr>
          <w:p>
            <w:pPr>
              <w:pStyle w:val="TableSmall"/>
            </w:pPr>
            <w:r>
              <w:rPr>
                <w:sz w:val="13"/>
              </w:rPr>
              <w:t>Fixed teaching; pre-arranged backup collection.</w:t>
            </w:r>
          </w:p>
        </w:tc>
      </w:tr>
      <w:tr>
        <w:trPr>
          <w:cantSplit w:val="true"/>
        </w:trPr>
        <w:tc>
          <w:tcPr>
            <w:tcW w:type="dxa" w:w="944"/>
            <w:tcMar>
              <w:top w:w="55" w:type="dxa"/>
              <w:start w:w="70" w:type="dxa"/>
              <w:bottom w:w="55" w:type="dxa"/>
              <w:end w:w="70" w:type="dxa"/>
            </w:tcMar>
            <w:vAlign w:val="top"/>
          </w:tcPr>
          <w:p>
            <w:pPr>
              <w:pStyle w:val="TableSmall"/>
            </w:pPr>
            <w:r>
              <w:rPr>
                <w:sz w:val="13"/>
              </w:rPr>
              <w:t>13:00–14:00</w:t>
            </w:r>
          </w:p>
        </w:tc>
        <w:tc>
          <w:tcPr>
            <w:tcW w:type="dxa" w:w="3030"/>
            <w:tcMar>
              <w:top w:w="55" w:type="dxa"/>
              <w:start w:w="70" w:type="dxa"/>
              <w:bottom w:w="55" w:type="dxa"/>
              <w:end w:w="70" w:type="dxa"/>
            </w:tcMar>
            <w:vAlign w:val="top"/>
          </w:tcPr>
          <w:p>
            <w:pPr>
              <w:pStyle w:val="TableSmall"/>
            </w:pPr>
            <w:r>
              <w:rPr>
                <w:sz w:val="13"/>
              </w:rPr>
              <w:t>Lunch with course peer twice weekly; admin once.</w:t>
            </w:r>
          </w:p>
        </w:tc>
        <w:tc>
          <w:tcPr>
            <w:tcW w:type="dxa" w:w="3030"/>
            <w:tcMar>
              <w:top w:w="55" w:type="dxa"/>
              <w:start w:w="70" w:type="dxa"/>
              <w:bottom w:w="55" w:type="dxa"/>
              <w:end w:w="70" w:type="dxa"/>
            </w:tcMar>
            <w:vAlign w:val="top"/>
          </w:tcPr>
          <w:p>
            <w:pPr>
              <w:pStyle w:val="TableSmall"/>
            </w:pPr>
            <w:r>
              <w:rPr>
                <w:sz w:val="13"/>
              </w:rPr>
              <w:t>Quick lunch; lab notes.</w:t>
            </w:r>
          </w:p>
        </w:tc>
        <w:tc>
          <w:tcPr>
            <w:tcW w:type="dxa" w:w="3030"/>
            <w:tcMar>
              <w:top w:w="55" w:type="dxa"/>
              <w:start w:w="70" w:type="dxa"/>
              <w:bottom w:w="55" w:type="dxa"/>
              <w:end w:w="70" w:type="dxa"/>
            </w:tcMar>
            <w:vAlign w:val="top"/>
          </w:tcPr>
          <w:p>
            <w:pPr>
              <w:pStyle w:val="TableSmall"/>
            </w:pPr>
            <w:r>
              <w:rPr>
                <w:sz w:val="13"/>
              </w:rPr>
              <w:t>Lunch and emails; confirm evening handover.</w:t>
            </w:r>
          </w:p>
        </w:tc>
      </w:tr>
      <w:tr>
        <w:trPr>
          <w:cantSplit w:val="true"/>
        </w:trPr>
        <w:tc>
          <w:tcPr>
            <w:tcW w:type="dxa" w:w="944"/>
            <w:shd w:fill="F5F7F8"/>
            <w:tcMar>
              <w:top w:w="55" w:type="dxa"/>
              <w:start w:w="70" w:type="dxa"/>
              <w:bottom w:w="55" w:type="dxa"/>
              <w:end w:w="70" w:type="dxa"/>
            </w:tcMar>
            <w:vAlign w:val="top"/>
          </w:tcPr>
          <w:p>
            <w:pPr>
              <w:pStyle w:val="TableSmall"/>
            </w:pPr>
            <w:r>
              <w:rPr>
                <w:sz w:val="13"/>
              </w:rPr>
              <w:t>14:00–17:00</w:t>
            </w:r>
          </w:p>
        </w:tc>
        <w:tc>
          <w:tcPr>
            <w:tcW w:type="dxa" w:w="3030"/>
            <w:shd w:fill="F5F7F8"/>
            <w:tcMar>
              <w:top w:w="55" w:type="dxa"/>
              <w:start w:w="70" w:type="dxa"/>
              <w:bottom w:w="55" w:type="dxa"/>
              <w:end w:w="70" w:type="dxa"/>
            </w:tcMar>
            <w:vAlign w:val="top"/>
          </w:tcPr>
          <w:p>
            <w:pPr>
              <w:pStyle w:val="TableSmall"/>
            </w:pPr>
            <w:r>
              <w:rPr>
                <w:sz w:val="13"/>
              </w:rPr>
              <w:t>Drafting, language class or supervision.</w:t>
            </w:r>
          </w:p>
        </w:tc>
        <w:tc>
          <w:tcPr>
            <w:tcW w:type="dxa" w:w="3030"/>
            <w:shd w:fill="F5F7F8"/>
            <w:tcMar>
              <w:top w:w="55" w:type="dxa"/>
              <w:start w:w="70" w:type="dxa"/>
              <w:bottom w:w="55" w:type="dxa"/>
              <w:end w:w="70" w:type="dxa"/>
            </w:tcMar>
            <w:vAlign w:val="top"/>
          </w:tcPr>
          <w:p>
            <w:pPr>
              <w:pStyle w:val="TableSmall"/>
            </w:pPr>
            <w:r>
              <w:rPr>
                <w:sz w:val="13"/>
              </w:rPr>
              <w:t>Laboratory/department teaching; supervision.</w:t>
            </w:r>
          </w:p>
        </w:tc>
        <w:tc>
          <w:tcPr>
            <w:tcW w:type="dxa" w:w="3030"/>
            <w:shd w:fill="F5F7F8"/>
            <w:tcMar>
              <w:top w:w="55" w:type="dxa"/>
              <w:start w:w="70" w:type="dxa"/>
              <w:bottom w:w="55" w:type="dxa"/>
              <w:end w:w="70" w:type="dxa"/>
            </w:tcMar>
            <w:vAlign w:val="top"/>
          </w:tcPr>
          <w:p>
            <w:pPr>
              <w:pStyle w:val="TableSmall"/>
            </w:pPr>
            <w:r>
              <w:rPr>
                <w:sz w:val="13"/>
              </w:rPr>
              <w:t>Library sprint or supervision; leave buffer for travel.</w:t>
            </w:r>
          </w:p>
        </w:tc>
      </w:tr>
      <w:tr>
        <w:trPr>
          <w:cantSplit w:val="true"/>
        </w:trPr>
        <w:tc>
          <w:tcPr>
            <w:tcW w:type="dxa" w:w="944"/>
            <w:tcMar>
              <w:top w:w="55" w:type="dxa"/>
              <w:start w:w="70" w:type="dxa"/>
              <w:bottom w:w="55" w:type="dxa"/>
              <w:end w:w="70" w:type="dxa"/>
            </w:tcMar>
            <w:vAlign w:val="top"/>
          </w:tcPr>
          <w:p>
            <w:pPr>
              <w:pStyle w:val="TableSmall"/>
            </w:pPr>
            <w:r>
              <w:rPr>
                <w:sz w:val="13"/>
              </w:rPr>
              <w:t>17:00–19:00</w:t>
            </w:r>
          </w:p>
        </w:tc>
        <w:tc>
          <w:tcPr>
            <w:tcW w:type="dxa" w:w="3030"/>
            <w:tcMar>
              <w:top w:w="55" w:type="dxa"/>
              <w:start w:w="70" w:type="dxa"/>
              <w:bottom w:w="55" w:type="dxa"/>
              <w:end w:w="70" w:type="dxa"/>
            </w:tcMar>
            <w:vAlign w:val="top"/>
          </w:tcPr>
          <w:p>
            <w:pPr>
              <w:pStyle w:val="TableSmall"/>
            </w:pPr>
            <w:r>
              <w:rPr>
                <w:sz w:val="13"/>
              </w:rPr>
              <w:t>Exercise, meal, society or rest.</w:t>
            </w:r>
          </w:p>
        </w:tc>
        <w:tc>
          <w:tcPr>
            <w:tcW w:type="dxa" w:w="3030"/>
            <w:tcMar>
              <w:top w:w="55" w:type="dxa"/>
              <w:start w:w="70" w:type="dxa"/>
              <w:bottom w:w="55" w:type="dxa"/>
              <w:end w:w="70" w:type="dxa"/>
            </w:tcMar>
            <w:vAlign w:val="top"/>
          </w:tcPr>
          <w:p>
            <w:pPr>
              <w:pStyle w:val="TableSmall"/>
            </w:pPr>
            <w:r>
              <w:rPr>
                <w:sz w:val="13"/>
              </w:rPr>
              <w:t>Finish practical notes; meal.</w:t>
            </w:r>
          </w:p>
        </w:tc>
        <w:tc>
          <w:tcPr>
            <w:tcW w:type="dxa" w:w="3030"/>
            <w:tcMar>
              <w:top w:w="55" w:type="dxa"/>
              <w:start w:w="70" w:type="dxa"/>
              <w:bottom w:w="55" w:type="dxa"/>
              <w:end w:w="70" w:type="dxa"/>
            </w:tcMar>
            <w:vAlign w:val="top"/>
          </w:tcPr>
          <w:p>
            <w:pPr>
              <w:pStyle w:val="TableSmall"/>
            </w:pPr>
            <w:r>
              <w:rPr>
                <w:sz w:val="13"/>
              </w:rPr>
              <w:t>Collection, family meal and bedtime.</w:t>
            </w:r>
          </w:p>
        </w:tc>
      </w:tr>
      <w:tr>
        <w:trPr>
          <w:cantSplit w:val="true"/>
        </w:trPr>
        <w:tc>
          <w:tcPr>
            <w:tcW w:type="dxa" w:w="944"/>
            <w:shd w:fill="F5F7F8"/>
            <w:tcMar>
              <w:top w:w="55" w:type="dxa"/>
              <w:start w:w="70" w:type="dxa"/>
              <w:bottom w:w="55" w:type="dxa"/>
              <w:end w:w="70" w:type="dxa"/>
            </w:tcMar>
            <w:vAlign w:val="top"/>
          </w:tcPr>
          <w:p>
            <w:pPr>
              <w:pStyle w:val="TableSmall"/>
            </w:pPr>
            <w:r>
              <w:rPr>
                <w:sz w:val="13"/>
              </w:rPr>
              <w:t>19:00–21:00</w:t>
            </w:r>
          </w:p>
        </w:tc>
        <w:tc>
          <w:tcPr>
            <w:tcW w:type="dxa" w:w="3030"/>
            <w:shd w:fill="F5F7F8"/>
            <w:tcMar>
              <w:top w:w="55" w:type="dxa"/>
              <w:start w:w="70" w:type="dxa"/>
              <w:bottom w:w="55" w:type="dxa"/>
              <w:end w:w="70" w:type="dxa"/>
            </w:tcMar>
            <w:vAlign w:val="top"/>
          </w:tcPr>
          <w:p>
            <w:pPr>
              <w:pStyle w:val="TableSmall"/>
            </w:pPr>
            <w:r>
              <w:rPr>
                <w:sz w:val="13"/>
              </w:rPr>
              <w:t>Two planned work evenings; one social evening; others off.</w:t>
            </w:r>
          </w:p>
        </w:tc>
        <w:tc>
          <w:tcPr>
            <w:tcW w:type="dxa" w:w="3030"/>
            <w:shd w:fill="F5F7F8"/>
            <w:tcMar>
              <w:top w:w="55" w:type="dxa"/>
              <w:start w:w="70" w:type="dxa"/>
              <w:bottom w:w="55" w:type="dxa"/>
              <w:end w:w="70" w:type="dxa"/>
            </w:tcMar>
            <w:vAlign w:val="top"/>
          </w:tcPr>
          <w:p>
            <w:pPr>
              <w:pStyle w:val="TableSmall"/>
            </w:pPr>
            <w:r>
              <w:rPr>
                <w:sz w:val="13"/>
              </w:rPr>
              <w:t>Problem sheet on selected evenings.</w:t>
            </w:r>
          </w:p>
        </w:tc>
        <w:tc>
          <w:tcPr>
            <w:tcW w:type="dxa" w:w="3030"/>
            <w:shd w:fill="F5F7F8"/>
            <w:tcMar>
              <w:top w:w="55" w:type="dxa"/>
              <w:start w:w="70" w:type="dxa"/>
              <w:bottom w:w="55" w:type="dxa"/>
              <w:end w:w="70" w:type="dxa"/>
            </w:tcMar>
            <w:vAlign w:val="top"/>
          </w:tcPr>
          <w:p>
            <w:pPr>
              <w:pStyle w:val="TableSmall"/>
            </w:pPr>
            <w:r>
              <w:rPr>
                <w:sz w:val="13"/>
              </w:rPr>
              <w:t>Two protected work blocks with partner/backup care; one daytime social event.</w:t>
            </w:r>
          </w:p>
        </w:tc>
      </w:tr>
      <w:tr>
        <w:trPr>
          <w:cantSplit w:val="true"/>
        </w:trPr>
        <w:tc>
          <w:tcPr>
            <w:tcW w:type="dxa" w:w="944"/>
            <w:tcMar>
              <w:top w:w="55" w:type="dxa"/>
              <w:start w:w="70" w:type="dxa"/>
              <w:bottom w:w="55" w:type="dxa"/>
              <w:end w:w="70" w:type="dxa"/>
            </w:tcMar>
            <w:vAlign w:val="top"/>
          </w:tcPr>
          <w:p>
            <w:pPr>
              <w:pStyle w:val="TableSmall"/>
            </w:pPr>
            <w:r>
              <w:rPr>
                <w:sz w:val="13"/>
              </w:rPr>
              <w:t>Weekend</w:t>
            </w:r>
          </w:p>
        </w:tc>
        <w:tc>
          <w:tcPr>
            <w:tcW w:type="dxa" w:w="3030"/>
            <w:tcMar>
              <w:top w:w="55" w:type="dxa"/>
              <w:start w:w="70" w:type="dxa"/>
              <w:bottom w:w="55" w:type="dxa"/>
              <w:end w:w="70" w:type="dxa"/>
            </w:tcMar>
            <w:vAlign w:val="top"/>
          </w:tcPr>
          <w:p>
            <w:pPr>
              <w:pStyle w:val="TableSmall"/>
            </w:pPr>
            <w:r>
              <w:rPr>
                <w:sz w:val="13"/>
              </w:rPr>
              <w:t>One half-day work, one protected rest block.</w:t>
            </w:r>
          </w:p>
        </w:tc>
        <w:tc>
          <w:tcPr>
            <w:tcW w:type="dxa" w:w="3030"/>
            <w:tcMar>
              <w:top w:w="55" w:type="dxa"/>
              <w:start w:w="70" w:type="dxa"/>
              <w:bottom w:w="55" w:type="dxa"/>
              <w:end w:w="70" w:type="dxa"/>
            </w:tcMar>
            <w:vAlign w:val="top"/>
          </w:tcPr>
          <w:p>
            <w:pPr>
              <w:pStyle w:val="TableSmall"/>
            </w:pPr>
            <w:r>
              <w:rPr>
                <w:sz w:val="13"/>
              </w:rPr>
              <w:t>Consolidation and practical prep; protected rest.</w:t>
            </w:r>
          </w:p>
        </w:tc>
        <w:tc>
          <w:tcPr>
            <w:tcW w:type="dxa" w:w="3030"/>
            <w:tcMar>
              <w:top w:w="55" w:type="dxa"/>
              <w:start w:w="70" w:type="dxa"/>
              <w:bottom w:w="55" w:type="dxa"/>
              <w:end w:w="70" w:type="dxa"/>
            </w:tcMar>
            <w:vAlign w:val="top"/>
          </w:tcPr>
          <w:p>
            <w:pPr>
              <w:pStyle w:val="TableSmall"/>
            </w:pPr>
            <w:r>
              <w:rPr>
                <w:sz w:val="13"/>
              </w:rPr>
              <w:t>Early work block; family time; contingency block only if needed.</w:t>
            </w:r>
          </w:p>
        </w:tc>
      </w:tr>
    </w:tbl>
    <w:p>
      <w:pPr>
        <w:spacing w:after="20"/>
      </w:pPr>
    </w:p>
    <w:p>
      <w:r>
        <w:t>These are planning examples, not expectations. Fixed hours can be much higher on some courses. The mature-student advantage is often scheduling realism; the danger is treating every non-contact hour as infinitely movable.</w:t>
      </w:r>
    </w:p>
    <w:p>
      <w:pPr>
        <w:pStyle w:val="Heading2"/>
        <w:keepNext/>
      </w:pPr>
      <w:r>
        <w:t>When the workload problem is structural</w:t>
      </w:r>
    </w:p>
    <w:p>
      <w:pPr>
        <w:pStyle w:val="ListBullet"/>
        <w:spacing w:after="30" w:line="247" w:lineRule="auto"/>
        <w:ind w:left="312" w:hanging="142"/>
      </w:pPr>
      <w:r>
        <w:t>You are consistently working beyond a healthy full-time week yet cannot meet core tasks.</w:t>
      </w:r>
    </w:p>
    <w:p>
      <w:pPr>
        <w:pStyle w:val="ListBullet"/>
        <w:spacing w:after="30" w:line="247" w:lineRule="auto"/>
        <w:ind w:left="312" w:hanging="142"/>
      </w:pPr>
      <w:r>
        <w:t>Two supervisors set incompatible assumptions or deadlines and neither sees the whole load.</w:t>
      </w:r>
    </w:p>
    <w:p>
      <w:pPr>
        <w:pStyle w:val="ListBullet"/>
        <w:spacing w:after="30" w:line="247" w:lineRule="auto"/>
        <w:ind w:left="312" w:hanging="142"/>
      </w:pPr>
      <w:r>
        <w:t>An adjustment exists on paper but is not implemented in lectures, laboratories or submissions.</w:t>
      </w:r>
    </w:p>
    <w:p>
      <w:pPr>
        <w:pStyle w:val="ListBullet"/>
        <w:spacing w:after="30" w:line="247" w:lineRule="auto"/>
        <w:ind w:left="312" w:hanging="142"/>
      </w:pPr>
      <w:r>
        <w:t>Childcare or a placement timetable makes required attendance impossible, not merely inconvenient.</w:t>
      </w:r>
    </w:p>
    <w:p>
      <w:pPr>
        <w:pStyle w:val="ListBullet"/>
        <w:spacing w:after="30" w:line="247" w:lineRule="auto"/>
        <w:ind w:left="312" w:hanging="142"/>
      </w:pPr>
      <w:r>
        <w:t>Illness has removed enough time that “catching up” would require sacrificing the next week as well.</w:t>
      </w:r>
    </w:p>
    <w:p>
      <w:pPr>
        <w:pStyle w:val="ListBullet"/>
        <w:spacing w:after="30" w:line="247" w:lineRule="auto"/>
        <w:ind w:left="312" w:hanging="142"/>
      </w:pPr>
      <w:r>
        <w:t>You understand material in conversation but inaccessible formats, speed or environment block demonstration.</w:t>
      </w:r>
    </w:p>
    <w:p>
      <w:r>
        <w:t>Bring a one-week time log, deadlines and examples to the DoS. Ask which tasks are essential, what can be reduced, what can be rescheduled, and whether a formal adjustment or intermission conversation is needed. “Work harder” is not a complete plan when the arithmetic does not fit.</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Recent A-level knowledge is only one kind of readiness. Build retrieval and academic conventions deliberately, without discarding professional judgement.</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How many weekly supervisions and fixed hours are typical? Where are paper-specific writing, maths, lab or language supports? How are missed teaching and adjustments handled?</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Trying to conceal confusion until you can present a fully solved problem. The supervision is where reasoning is meant to be tested.</w:t>
            </w:r>
          </w:p>
        </w:tc>
      </w:tr>
    </w:tbl>
    <w:p>
      <w:pPr>
        <w:spacing w:after="40"/>
      </w:pPr>
    </w:p>
    <w:p>
      <w:pPr>
        <w:pStyle w:val="Heading1"/>
        <w:keepNext/>
      </w:pPr>
      <w:r>
        <w:t>6. Money, funding and hidden costs</w:t>
      </w:r>
    </w:p>
    <w:p>
      <w:pPr>
        <w:spacing w:after="160"/>
      </w:pPr>
      <w:r>
        <w:rPr>
          <w:i/>
          <w:color w:val="5F6B73"/>
          <w:sz w:val="20"/>
        </w:rPr>
        <w:t>A Cambridge budget must survive twelve months, not just the prospectus average.</w:t>
      </w:r>
    </w:p>
    <w:p>
      <w:pPr>
        <w:pStyle w:val="Heading2"/>
        <w:keepNext/>
      </w:pPr>
      <w:r>
        <w:t>Tuition and fee status</w:t>
      </w:r>
    </w:p>
    <w:p>
      <w:r>
        <w:t>For Home students beginning a first undergraduate degree in 2027, Cambridge lists a tuition fee of £10,050, subject to Government confirmation and possible inflationary change. International tuition varies by course and normally carries an additional College fee. Fee status is a legal classification based on residence and other rules, not simply nationality. Obtain a written assessment if your position is complex. [U05] [U37]</w:t>
      </w:r>
    </w:p>
    <w:p>
      <w:r>
        <w:t>Second-degree funding is especially difficult. Eligibility depends on the subject, previous study, residency, public-funding exceptions and personal circumstances. Do not assume that admission creates Student Finance entitlement. Check the Government calculator and the University’s second-degree guidance before accepting. [U10] [G02]</w:t>
      </w:r>
    </w:p>
    <w:p>
      <w:pPr>
        <w:pStyle w:val="Heading2"/>
        <w:keepNext/>
      </w:pPr>
      <w:r>
        <w:t>Cambridge’s published living-cost baseline</w:t>
      </w:r>
    </w:p>
    <w:p>
      <w:r>
        <w:t>For 2026–27 the University estimates average living costs of £1,305 per month: accommodation £865, food £195, personal items £80, social activities £95, study costs £20 and miscellaneous £50. That is £11,745 for nine months or £15,660 for twelve. It is an average planning figure, not a quotation for your room or family. [U06]</w:t>
      </w:r>
    </w:p>
    <w:p>
      <w:pPr>
        <w:pStyle w:val="Heading2"/>
        <w:keepNext/>
      </w:pPr>
      <w:r>
        <w:t>2026–27 financial reference points</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450"/>
            <w:shd w:fill="17324D" w:val="clear"/>
            <w:vAlign w:val="center"/>
          </w:tcPr>
          <w:p>
            <w:pPr>
              <w:spacing w:after="20"/>
              <w:jc w:val="left"/>
            </w:pPr>
            <w:r>
              <w:rPr>
                <w:rFonts w:ascii="Lato" w:hAnsi="Lato"/>
                <w:b/>
                <w:color w:val="FFFFFF"/>
                <w:sz w:val="14"/>
              </w:rPr>
              <w:t>Item</w:t>
            </w:r>
          </w:p>
        </w:tc>
        <w:tc>
          <w:tcPr>
            <w:tcW w:type="dxa" w:w="3950"/>
            <w:shd w:fill="17324D" w:val="clear"/>
            <w:vAlign w:val="center"/>
          </w:tcPr>
          <w:p>
            <w:pPr>
              <w:spacing w:after="20"/>
              <w:jc w:val="left"/>
            </w:pPr>
            <w:r>
              <w:rPr>
                <w:rFonts w:ascii="Lato" w:hAnsi="Lato"/>
                <w:b/>
                <w:color w:val="FFFFFF"/>
                <w:sz w:val="14"/>
              </w:rPr>
              <w:t>Published reference</w:t>
            </w:r>
          </w:p>
        </w:tc>
        <w:tc>
          <w:tcPr>
            <w:tcW w:type="dxa" w:w="3636"/>
            <w:shd w:fill="17324D" w:val="clear"/>
            <w:vAlign w:val="center"/>
          </w:tcPr>
          <w:p>
            <w:pPr>
              <w:spacing w:after="20"/>
              <w:jc w:val="left"/>
            </w:pPr>
            <w:r>
              <w:rPr>
                <w:rFonts w:ascii="Lato" w:hAnsi="Lato"/>
                <w:b/>
                <w:color w:val="FFFFFF"/>
                <w:sz w:val="14"/>
              </w:rPr>
              <w:t>What it does not tell you</w:t>
            </w:r>
          </w:p>
        </w:tc>
      </w:tr>
      <w:tr>
        <w:trPr>
          <w:cantSplit w:val="true"/>
        </w:trPr>
        <w:tc>
          <w:tcPr>
            <w:tcW w:type="dxa" w:w="2450"/>
            <w:vAlign w:val="top"/>
          </w:tcPr>
          <w:p>
            <w:pPr>
              <w:spacing w:after="24" w:line="240" w:lineRule="auto"/>
            </w:pPr>
            <w:r/>
            <w:r>
              <w:rPr>
                <w:rFonts w:ascii="Lato" w:hAnsi="Lato"/>
                <w:color w:val="222222"/>
                <w:sz w:val="14"/>
              </w:rPr>
              <w:t>Home tuition / Tuition Fee Loan</w:t>
            </w:r>
          </w:p>
        </w:tc>
        <w:tc>
          <w:tcPr>
            <w:tcW w:type="dxa" w:w="3950"/>
            <w:vAlign w:val="top"/>
          </w:tcPr>
          <w:p>
            <w:pPr>
              <w:spacing w:after="24" w:line="240" w:lineRule="auto"/>
            </w:pPr>
            <w:r/>
            <w:r>
              <w:rPr>
                <w:rFonts w:ascii="Lato" w:hAnsi="Lato"/>
                <w:color w:val="222222"/>
                <w:sz w:val="14"/>
              </w:rPr>
              <w:t>£9,790 for 2026–27; 2027 Cambridge Home first-degree fee £10,050. [G06] [U05]</w:t>
            </w:r>
          </w:p>
        </w:tc>
        <w:tc>
          <w:tcPr>
            <w:tcW w:type="dxa" w:w="3636"/>
            <w:vAlign w:val="top"/>
          </w:tcPr>
          <w:p>
            <w:pPr>
              <w:spacing w:after="24" w:line="240" w:lineRule="auto"/>
            </w:pPr>
            <w:r/>
            <w:r>
              <w:rPr>
                <w:rFonts w:ascii="Lato" w:hAnsi="Lato"/>
                <w:color w:val="222222"/>
                <w:sz w:val="14"/>
              </w:rPr>
              <w:t>Whether previous study or second-degree rules remove your loan entitlement.</w:t>
            </w:r>
          </w:p>
        </w:tc>
      </w:tr>
      <w:tr>
        <w:trPr>
          <w:cantSplit w:val="true"/>
        </w:trPr>
        <w:tc>
          <w:tcPr>
            <w:tcW w:type="dxa" w:w="2450"/>
            <w:shd w:fill="F5F7F8" w:val="clear"/>
            <w:vAlign w:val="top"/>
          </w:tcPr>
          <w:p>
            <w:pPr>
              <w:spacing w:after="24" w:line="240" w:lineRule="auto"/>
            </w:pPr>
            <w:r/>
            <w:r>
              <w:rPr>
                <w:rFonts w:ascii="Lato" w:hAnsi="Lato"/>
                <w:color w:val="222222"/>
                <w:sz w:val="14"/>
              </w:rPr>
              <w:t>Maintenance Loan, England</w:t>
            </w:r>
          </w:p>
        </w:tc>
        <w:tc>
          <w:tcPr>
            <w:tcW w:type="dxa" w:w="3950"/>
            <w:shd w:fill="F5F7F8" w:val="clear"/>
            <w:vAlign w:val="top"/>
          </w:tcPr>
          <w:p>
            <w:pPr>
              <w:spacing w:after="24" w:line="240" w:lineRule="auto"/>
            </w:pPr>
            <w:r/>
            <w:r>
              <w:rPr>
                <w:rFonts w:ascii="Lato" w:hAnsi="Lato"/>
                <w:color w:val="222222"/>
                <w:sz w:val="14"/>
              </w:rPr>
              <w:t>Up to £10,830 living away outside London; £9,118 living with parents; £4,582 maximum if 60+ at course start. [G06]</w:t>
            </w:r>
          </w:p>
        </w:tc>
        <w:tc>
          <w:tcPr>
            <w:tcW w:type="dxa" w:w="3636"/>
            <w:shd w:fill="F5F7F8" w:val="clear"/>
            <w:vAlign w:val="top"/>
          </w:tcPr>
          <w:p>
            <w:pPr>
              <w:spacing w:after="24" w:line="240" w:lineRule="auto"/>
            </w:pPr>
            <w:r/>
            <w:r>
              <w:rPr>
                <w:rFonts w:ascii="Lato" w:hAnsi="Lato"/>
                <w:color w:val="222222"/>
                <w:sz w:val="14"/>
              </w:rPr>
              <w:t>Your assessed amount, partner/parent income, previous study and cash timing.</w:t>
            </w:r>
          </w:p>
        </w:tc>
      </w:tr>
      <w:tr>
        <w:trPr>
          <w:cantSplit w:val="true"/>
        </w:trPr>
        <w:tc>
          <w:tcPr>
            <w:tcW w:type="dxa" w:w="2450"/>
            <w:vAlign w:val="top"/>
          </w:tcPr>
          <w:p>
            <w:pPr>
              <w:spacing w:after="24" w:line="240" w:lineRule="auto"/>
            </w:pPr>
            <w:r/>
            <w:r>
              <w:rPr>
                <w:rFonts w:ascii="Lato" w:hAnsi="Lato"/>
                <w:color w:val="222222"/>
                <w:sz w:val="14"/>
              </w:rPr>
              <w:t>Cambridge living-cost baseline</w:t>
            </w:r>
          </w:p>
        </w:tc>
        <w:tc>
          <w:tcPr>
            <w:tcW w:type="dxa" w:w="3950"/>
            <w:vAlign w:val="top"/>
          </w:tcPr>
          <w:p>
            <w:pPr>
              <w:spacing w:after="24" w:line="240" w:lineRule="auto"/>
            </w:pPr>
            <w:r/>
            <w:r>
              <w:rPr>
                <w:rFonts w:ascii="Lato" w:hAnsi="Lato"/>
                <w:color w:val="222222"/>
                <w:sz w:val="14"/>
              </w:rPr>
              <w:t>£1,305/month; 9 months £11,745; 12 months £15,660. [U06]</w:t>
            </w:r>
          </w:p>
        </w:tc>
        <w:tc>
          <w:tcPr>
            <w:tcW w:type="dxa" w:w="3636"/>
            <w:vAlign w:val="top"/>
          </w:tcPr>
          <w:p>
            <w:pPr>
              <w:spacing w:after="24" w:line="240" w:lineRule="auto"/>
            </w:pPr>
            <w:r/>
            <w:r>
              <w:rPr>
                <w:rFonts w:ascii="Lato" w:hAnsi="Lato"/>
                <w:color w:val="222222"/>
                <w:sz w:val="14"/>
              </w:rPr>
              <w:t>Dependants, double housing, deposits, disability costs, a car, or the cost of staying through vacations.</w:t>
            </w:r>
          </w:p>
        </w:tc>
      </w:tr>
      <w:tr>
        <w:trPr>
          <w:cantSplit w:val="true"/>
        </w:trPr>
        <w:tc>
          <w:tcPr>
            <w:tcW w:type="dxa" w:w="2450"/>
            <w:shd w:fill="F5F7F8" w:val="clear"/>
            <w:vAlign w:val="top"/>
          </w:tcPr>
          <w:p>
            <w:pPr>
              <w:spacing w:after="24" w:line="240" w:lineRule="auto"/>
            </w:pPr>
            <w:r/>
            <w:r>
              <w:rPr>
                <w:rFonts w:ascii="Lato" w:hAnsi="Lato"/>
                <w:color w:val="222222"/>
                <w:sz w:val="14"/>
              </w:rPr>
              <w:t>Cambridge Bursary</w:t>
            </w:r>
          </w:p>
        </w:tc>
        <w:tc>
          <w:tcPr>
            <w:tcW w:type="dxa" w:w="3950"/>
            <w:shd w:fill="F5F7F8" w:val="clear"/>
            <w:vAlign w:val="top"/>
          </w:tcPr>
          <w:p>
            <w:pPr>
              <w:spacing w:after="24" w:line="240" w:lineRule="auto"/>
            </w:pPr>
            <w:r/>
            <w:r>
              <w:rPr>
                <w:rFonts w:ascii="Lato" w:hAnsi="Lato"/>
                <w:color w:val="222222"/>
                <w:sz w:val="14"/>
              </w:rPr>
              <w:t>Base up to £3,500; enhanced independent total up to £5,600; care-leaver total up to £8,350. [U41]</w:t>
            </w:r>
          </w:p>
        </w:tc>
        <w:tc>
          <w:tcPr>
            <w:tcW w:type="dxa" w:w="3636"/>
            <w:shd w:fill="F5F7F8" w:val="clear"/>
            <w:vAlign w:val="top"/>
          </w:tcPr>
          <w:p>
            <w:pPr>
              <w:spacing w:after="24" w:line="240" w:lineRule="auto"/>
            </w:pPr>
            <w:r/>
            <w:r>
              <w:rPr>
                <w:rFonts w:ascii="Lato" w:hAnsi="Lato"/>
                <w:color w:val="222222"/>
                <w:sz w:val="14"/>
              </w:rPr>
              <w:t>College top-ups and hardship decisions, which vary.</w:t>
            </w:r>
          </w:p>
        </w:tc>
      </w:tr>
      <w:tr>
        <w:trPr>
          <w:cantSplit w:val="true"/>
        </w:trPr>
        <w:tc>
          <w:tcPr>
            <w:tcW w:type="dxa" w:w="2450"/>
            <w:vAlign w:val="top"/>
          </w:tcPr>
          <w:p>
            <w:pPr>
              <w:spacing w:after="24" w:line="240" w:lineRule="auto"/>
            </w:pPr>
            <w:r/>
            <w:r>
              <w:rPr>
                <w:rFonts w:ascii="Lato" w:hAnsi="Lato"/>
                <w:color w:val="222222"/>
                <w:sz w:val="14"/>
              </w:rPr>
              <w:t>Childcare Grant, England</w:t>
            </w:r>
          </w:p>
        </w:tc>
        <w:tc>
          <w:tcPr>
            <w:tcW w:type="dxa" w:w="3950"/>
            <w:vAlign w:val="top"/>
          </w:tcPr>
          <w:p>
            <w:pPr>
              <w:spacing w:after="24" w:line="240" w:lineRule="auto"/>
            </w:pPr>
            <w:r/>
            <w:r>
              <w:rPr>
                <w:rFonts w:ascii="Lato" w:hAnsi="Lato"/>
                <w:color w:val="222222"/>
                <w:sz w:val="14"/>
              </w:rPr>
              <w:t>85% up to £199.62/week one child or £342.24/week two+. [G07]</w:t>
            </w:r>
          </w:p>
        </w:tc>
        <w:tc>
          <w:tcPr>
            <w:tcW w:type="dxa" w:w="3636"/>
            <w:vAlign w:val="top"/>
          </w:tcPr>
          <w:p>
            <w:pPr>
              <w:spacing w:after="24" w:line="240" w:lineRule="auto"/>
            </w:pPr>
            <w:r/>
            <w:r>
              <w:rPr>
                <w:rFonts w:ascii="Lato" w:hAnsi="Lato"/>
                <w:color w:val="222222"/>
                <w:sz w:val="14"/>
              </w:rPr>
              <w:t>Deposits, care outside eligibility, or the 6pm-to-evening-event gap.</w:t>
            </w:r>
          </w:p>
        </w:tc>
      </w:tr>
      <w:tr>
        <w:trPr>
          <w:cantSplit w:val="true"/>
        </w:trPr>
        <w:tc>
          <w:tcPr>
            <w:tcW w:type="dxa" w:w="2450"/>
            <w:shd w:fill="F5F7F8" w:val="clear"/>
            <w:vAlign w:val="top"/>
          </w:tcPr>
          <w:p>
            <w:pPr>
              <w:spacing w:after="24" w:line="240" w:lineRule="auto"/>
            </w:pPr>
            <w:r/>
            <w:r>
              <w:rPr>
                <w:rFonts w:ascii="Lato" w:hAnsi="Lato"/>
                <w:color w:val="222222"/>
                <w:sz w:val="14"/>
              </w:rPr>
              <w:t>DSA</w:t>
            </w:r>
          </w:p>
        </w:tc>
        <w:tc>
          <w:tcPr>
            <w:tcW w:type="dxa" w:w="3950"/>
            <w:shd w:fill="F5F7F8" w:val="clear"/>
            <w:vAlign w:val="top"/>
          </w:tcPr>
          <w:p>
            <w:pPr>
              <w:spacing w:after="24" w:line="240" w:lineRule="auto"/>
            </w:pPr>
            <w:r/>
            <w:r>
              <w:rPr>
                <w:rFonts w:ascii="Lato" w:hAnsi="Lato"/>
                <w:color w:val="222222"/>
                <w:sz w:val="14"/>
              </w:rPr>
              <w:t>Non-repayable support for study-related disability costs, subject to assessment. [G04]</w:t>
            </w:r>
          </w:p>
        </w:tc>
        <w:tc>
          <w:tcPr>
            <w:tcW w:type="dxa" w:w="3636"/>
            <w:shd w:fill="F5F7F8" w:val="clear"/>
            <w:vAlign w:val="top"/>
          </w:tcPr>
          <w:p>
            <w:pPr>
              <w:spacing w:after="24" w:line="240" w:lineRule="auto"/>
            </w:pPr>
            <w:r/>
            <w:r>
              <w:rPr>
                <w:rFonts w:ascii="Lato" w:hAnsi="Lato"/>
                <w:color w:val="222222"/>
                <w:sz w:val="14"/>
              </w:rPr>
              <w:t>Ordinary living costs or the University’s separate duty to make reasonable adjustments.</w:t>
            </w:r>
          </w:p>
        </w:tc>
      </w:tr>
    </w:tbl>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A84040" w:val="clear"/>
          </w:tcPr>
          <w:p/>
        </w:tc>
        <w:tc>
          <w:tcPr>
            <w:tcW w:type="dxa" w:w="9877"/>
            <w:tcMar>
              <w:top w:w="80" w:type="dxa"/>
              <w:start w:w="100" w:type="dxa"/>
              <w:bottom w:w="80" w:type="dxa"/>
              <w:end w:w="100" w:type="dxa"/>
            </w:tcMar>
            <w:shd w:fill="F9ECEC" w:val="clear"/>
            <w:vAlign w:val="center"/>
          </w:tcPr>
          <w:p>
            <w:pPr>
              <w:spacing w:after="0"/>
            </w:pPr>
            <w:r>
              <w:rPr>
                <w:rFonts w:ascii="Lato" w:hAnsi="Lato"/>
                <w:b/>
                <w:color w:val="A84040"/>
                <w:sz w:val="16"/>
              </w:rPr>
              <w:t>THE CASH-FLOW COLLISION</w:t>
            </w:r>
            <w:r>
              <w:rPr>
                <w:rFonts w:ascii="Lato" w:hAnsi="Lato"/>
                <w:color w:val="222222"/>
                <w:sz w:val="16"/>
              </w:rPr>
              <w:br/>
              <w:t>College bills may be due in large termly blocks while maintenance, bursary, wages or partner income arrive on different dates. Ask for the first bill date and payment-plan route before arrival. A solvent annual budget can still fail in Week 1 if the timing is wrong.</w:t>
            </w:r>
          </w:p>
        </w:tc>
      </w:tr>
    </w:tbl>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414"/>
        <w:gridCol w:w="2497"/>
        <w:gridCol w:w="2827"/>
        <w:gridCol w:w="3298"/>
      </w:tblGrid>
      <w:tr>
        <w:trPr>
          <w:tblHeader w:val="true"/>
          <w:cantSplit w:val="true"/>
        </w:trPr>
        <w:tc>
          <w:tcPr>
            <w:tcW w:type="dxa" w:w="1413"/>
            <w:shd w:fill="17324D"/>
            <w:tcMar>
              <w:top w:w="70" w:type="dxa"/>
              <w:start w:w="80" w:type="dxa"/>
              <w:bottom w:w="70" w:type="dxa"/>
              <w:end w:w="80" w:type="dxa"/>
            </w:tcMar>
            <w:vAlign w:val="center"/>
          </w:tcPr>
          <w:p>
            <w:pPr>
              <w:pStyle w:val="TableSmall"/>
              <w:jc w:val="left"/>
            </w:pPr>
            <w:r>
              <w:rPr>
                <w:b/>
                <w:color w:val="FFFFFF"/>
                <w:sz w:val="13"/>
              </w:rPr>
              <w:t>Item</w:t>
            </w:r>
          </w:p>
        </w:tc>
        <w:tc>
          <w:tcPr>
            <w:tcW w:type="dxa" w:w="2497"/>
            <w:shd w:fill="17324D"/>
            <w:tcMar>
              <w:top w:w="70" w:type="dxa"/>
              <w:start w:w="80" w:type="dxa"/>
              <w:bottom w:w="70" w:type="dxa"/>
              <w:end w:w="80" w:type="dxa"/>
            </w:tcMar>
            <w:vAlign w:val="center"/>
          </w:tcPr>
          <w:p>
            <w:pPr>
              <w:pStyle w:val="TableSmall"/>
              <w:jc w:val="left"/>
            </w:pPr>
            <w:r>
              <w:rPr>
                <w:b/>
                <w:color w:val="FFFFFF"/>
                <w:sz w:val="13"/>
              </w:rPr>
              <w:t>Single mature student: planning range/month</w:t>
            </w:r>
          </w:p>
        </w:tc>
        <w:tc>
          <w:tcPr>
            <w:tcW w:type="dxa" w:w="2827"/>
            <w:shd w:fill="17324D"/>
            <w:tcMar>
              <w:top w:w="70" w:type="dxa"/>
              <w:start w:w="80" w:type="dxa"/>
              <w:bottom w:w="70" w:type="dxa"/>
              <w:end w:w="80" w:type="dxa"/>
            </w:tcMar>
            <w:vAlign w:val="center"/>
          </w:tcPr>
          <w:p>
            <w:pPr>
              <w:pStyle w:val="TableSmall"/>
              <w:jc w:val="left"/>
            </w:pPr>
            <w:r>
              <w:rPr>
                <w:b/>
                <w:color w:val="FFFFFF"/>
                <w:sz w:val="13"/>
              </w:rPr>
              <w:t>Student with partner or one child: planning range/month</w:t>
            </w:r>
          </w:p>
        </w:tc>
        <w:tc>
          <w:tcPr>
            <w:tcW w:type="dxa" w:w="3298"/>
            <w:shd w:fill="17324D"/>
            <w:tcMar>
              <w:top w:w="70" w:type="dxa"/>
              <w:start w:w="80" w:type="dxa"/>
              <w:bottom w:w="70" w:type="dxa"/>
              <w:end w:w="80" w:type="dxa"/>
            </w:tcMar>
            <w:vAlign w:val="center"/>
          </w:tcPr>
          <w:p>
            <w:pPr>
              <w:pStyle w:val="TableSmall"/>
              <w:jc w:val="left"/>
            </w:pPr>
            <w:r>
              <w:rPr>
                <w:b/>
                <w:color w:val="FFFFFF"/>
                <w:sz w:val="13"/>
              </w:rPr>
              <w:t>Why it varies</w:t>
            </w:r>
          </w:p>
        </w:tc>
      </w:tr>
      <w:tr>
        <w:trPr>
          <w:cantSplit w:val="true"/>
        </w:trPr>
        <w:tc>
          <w:tcPr>
            <w:tcW w:type="dxa" w:w="1413"/>
            <w:tcMar>
              <w:top w:w="55" w:type="dxa"/>
              <w:start w:w="70" w:type="dxa"/>
              <w:bottom w:w="55" w:type="dxa"/>
              <w:end w:w="70" w:type="dxa"/>
            </w:tcMar>
            <w:vAlign w:val="top"/>
          </w:tcPr>
          <w:p>
            <w:pPr>
              <w:pStyle w:val="TableSmall"/>
            </w:pPr>
            <w:r>
              <w:rPr>
                <w:sz w:val="13"/>
              </w:rPr>
              <w:t>Housing and utilities</w:t>
            </w:r>
          </w:p>
        </w:tc>
        <w:tc>
          <w:tcPr>
            <w:tcW w:type="dxa" w:w="2497"/>
            <w:tcMar>
              <w:top w:w="55" w:type="dxa"/>
              <w:start w:w="70" w:type="dxa"/>
              <w:bottom w:w="55" w:type="dxa"/>
              <w:end w:w="70" w:type="dxa"/>
            </w:tcMar>
            <w:vAlign w:val="top"/>
          </w:tcPr>
          <w:p>
            <w:pPr>
              <w:pStyle w:val="TableSmall"/>
            </w:pPr>
            <w:r>
              <w:rPr>
                <w:sz w:val="13"/>
              </w:rPr>
              <w:t>£750–£1,150</w:t>
            </w:r>
          </w:p>
        </w:tc>
        <w:tc>
          <w:tcPr>
            <w:tcW w:type="dxa" w:w="2827"/>
            <w:tcMar>
              <w:top w:w="55" w:type="dxa"/>
              <w:start w:w="70" w:type="dxa"/>
              <w:bottom w:w="55" w:type="dxa"/>
              <w:end w:w="70" w:type="dxa"/>
            </w:tcMar>
            <w:vAlign w:val="top"/>
          </w:tcPr>
          <w:p>
            <w:pPr>
              <w:pStyle w:val="TableSmall"/>
            </w:pPr>
            <w:r>
              <w:rPr>
                <w:sz w:val="13"/>
              </w:rPr>
              <w:t>£1,300–£2,100</w:t>
            </w:r>
          </w:p>
        </w:tc>
        <w:tc>
          <w:tcPr>
            <w:tcW w:type="dxa" w:w="3298"/>
            <w:tcMar>
              <w:top w:w="55" w:type="dxa"/>
              <w:start w:w="70" w:type="dxa"/>
              <w:bottom w:w="55" w:type="dxa"/>
              <w:end w:w="70" w:type="dxa"/>
            </w:tcMar>
            <w:vAlign w:val="top"/>
          </w:tcPr>
          <w:p>
            <w:pPr>
              <w:pStyle w:val="TableSmall"/>
            </w:pPr>
            <w:r>
              <w:rPr>
                <w:sz w:val="13"/>
              </w:rPr>
              <w:t>College room vs private flat; contract length; bills; location; accessibility.</w:t>
            </w:r>
          </w:p>
        </w:tc>
      </w:tr>
      <w:tr>
        <w:trPr>
          <w:cantSplit w:val="true"/>
        </w:trPr>
        <w:tc>
          <w:tcPr>
            <w:tcW w:type="dxa" w:w="1413"/>
            <w:shd w:fill="F5F7F8"/>
            <w:tcMar>
              <w:top w:w="55" w:type="dxa"/>
              <w:start w:w="70" w:type="dxa"/>
              <w:bottom w:w="55" w:type="dxa"/>
              <w:end w:w="70" w:type="dxa"/>
            </w:tcMar>
            <w:vAlign w:val="top"/>
          </w:tcPr>
          <w:p>
            <w:pPr>
              <w:pStyle w:val="TableSmall"/>
            </w:pPr>
            <w:r>
              <w:rPr>
                <w:sz w:val="13"/>
              </w:rPr>
              <w:t>Food/household</w:t>
            </w:r>
          </w:p>
        </w:tc>
        <w:tc>
          <w:tcPr>
            <w:tcW w:type="dxa" w:w="2497"/>
            <w:shd w:fill="F5F7F8"/>
            <w:tcMar>
              <w:top w:w="55" w:type="dxa"/>
              <w:start w:w="70" w:type="dxa"/>
              <w:bottom w:w="55" w:type="dxa"/>
              <w:end w:w="70" w:type="dxa"/>
            </w:tcMar>
            <w:vAlign w:val="top"/>
          </w:tcPr>
          <w:p>
            <w:pPr>
              <w:pStyle w:val="TableSmall"/>
            </w:pPr>
            <w:r>
              <w:rPr>
                <w:sz w:val="13"/>
              </w:rPr>
              <w:t>£220–£380</w:t>
            </w:r>
          </w:p>
        </w:tc>
        <w:tc>
          <w:tcPr>
            <w:tcW w:type="dxa" w:w="2827"/>
            <w:shd w:fill="F5F7F8"/>
            <w:tcMar>
              <w:top w:w="55" w:type="dxa"/>
              <w:start w:w="70" w:type="dxa"/>
              <w:bottom w:w="55" w:type="dxa"/>
              <w:end w:w="70" w:type="dxa"/>
            </w:tcMar>
            <w:vAlign w:val="top"/>
          </w:tcPr>
          <w:p>
            <w:pPr>
              <w:pStyle w:val="TableSmall"/>
            </w:pPr>
            <w:r>
              <w:rPr>
                <w:sz w:val="13"/>
              </w:rPr>
              <w:t>£450–£750</w:t>
            </w:r>
          </w:p>
        </w:tc>
        <w:tc>
          <w:tcPr>
            <w:tcW w:type="dxa" w:w="3298"/>
            <w:shd w:fill="F5F7F8"/>
            <w:tcMar>
              <w:top w:w="55" w:type="dxa"/>
              <w:start w:w="70" w:type="dxa"/>
              <w:bottom w:w="55" w:type="dxa"/>
              <w:end w:w="70" w:type="dxa"/>
            </w:tcMar>
            <w:vAlign w:val="top"/>
          </w:tcPr>
          <w:p>
            <w:pPr>
              <w:pStyle w:val="TableSmall"/>
            </w:pPr>
            <w:r>
              <w:rPr>
                <w:sz w:val="13"/>
              </w:rPr>
              <w:t>Catering dependency, dietary needs, child meals, household products.</w:t>
            </w:r>
          </w:p>
        </w:tc>
      </w:tr>
      <w:tr>
        <w:trPr>
          <w:cantSplit w:val="true"/>
        </w:trPr>
        <w:tc>
          <w:tcPr>
            <w:tcW w:type="dxa" w:w="1413"/>
            <w:tcMar>
              <w:top w:w="55" w:type="dxa"/>
              <w:start w:w="70" w:type="dxa"/>
              <w:bottom w:w="55" w:type="dxa"/>
              <w:end w:w="70" w:type="dxa"/>
            </w:tcMar>
            <w:vAlign w:val="top"/>
          </w:tcPr>
          <w:p>
            <w:pPr>
              <w:pStyle w:val="TableSmall"/>
            </w:pPr>
            <w:r>
              <w:rPr>
                <w:sz w:val="13"/>
              </w:rPr>
              <w:t>Transport</w:t>
            </w:r>
          </w:p>
        </w:tc>
        <w:tc>
          <w:tcPr>
            <w:tcW w:type="dxa" w:w="2497"/>
            <w:tcMar>
              <w:top w:w="55" w:type="dxa"/>
              <w:start w:w="70" w:type="dxa"/>
              <w:bottom w:w="55" w:type="dxa"/>
              <w:end w:w="70" w:type="dxa"/>
            </w:tcMar>
            <w:vAlign w:val="top"/>
          </w:tcPr>
          <w:p>
            <w:pPr>
              <w:pStyle w:val="TableSmall"/>
            </w:pPr>
            <w:r>
              <w:rPr>
                <w:sz w:val="13"/>
              </w:rPr>
              <w:t>£25–£100</w:t>
            </w:r>
          </w:p>
        </w:tc>
        <w:tc>
          <w:tcPr>
            <w:tcW w:type="dxa" w:w="2827"/>
            <w:tcMar>
              <w:top w:w="55" w:type="dxa"/>
              <w:start w:w="70" w:type="dxa"/>
              <w:bottom w:w="55" w:type="dxa"/>
              <w:end w:w="70" w:type="dxa"/>
            </w:tcMar>
            <w:vAlign w:val="top"/>
          </w:tcPr>
          <w:p>
            <w:pPr>
              <w:pStyle w:val="TableSmall"/>
            </w:pPr>
            <w:r>
              <w:rPr>
                <w:sz w:val="13"/>
              </w:rPr>
              <w:t>£80–£250</w:t>
            </w:r>
          </w:p>
        </w:tc>
        <w:tc>
          <w:tcPr>
            <w:tcW w:type="dxa" w:w="3298"/>
            <w:tcMar>
              <w:top w:w="55" w:type="dxa"/>
              <w:start w:w="70" w:type="dxa"/>
              <w:bottom w:w="55" w:type="dxa"/>
              <w:end w:w="70" w:type="dxa"/>
            </w:tcMar>
            <w:vAlign w:val="top"/>
          </w:tcPr>
          <w:p>
            <w:pPr>
              <w:pStyle w:val="TableSmall"/>
            </w:pPr>
            <w:r>
              <w:rPr>
                <w:sz w:val="13"/>
              </w:rPr>
              <w:t>Bike purchase/repairs, bus, rail, school/placement travel, car costs.</w:t>
            </w:r>
          </w:p>
        </w:tc>
      </w:tr>
      <w:tr>
        <w:trPr>
          <w:cantSplit w:val="true"/>
        </w:trPr>
        <w:tc>
          <w:tcPr>
            <w:tcW w:type="dxa" w:w="1413"/>
            <w:shd w:fill="F5F7F8"/>
            <w:tcMar>
              <w:top w:w="55" w:type="dxa"/>
              <w:start w:w="70" w:type="dxa"/>
              <w:bottom w:w="55" w:type="dxa"/>
              <w:end w:w="70" w:type="dxa"/>
            </w:tcMar>
            <w:vAlign w:val="top"/>
          </w:tcPr>
          <w:p>
            <w:pPr>
              <w:pStyle w:val="TableSmall"/>
            </w:pPr>
            <w:r>
              <w:rPr>
                <w:sz w:val="13"/>
              </w:rPr>
              <w:t>Study/technology</w:t>
            </w:r>
          </w:p>
        </w:tc>
        <w:tc>
          <w:tcPr>
            <w:tcW w:type="dxa" w:w="2497"/>
            <w:shd w:fill="F5F7F8"/>
            <w:tcMar>
              <w:top w:w="55" w:type="dxa"/>
              <w:start w:w="70" w:type="dxa"/>
              <w:bottom w:w="55" w:type="dxa"/>
              <w:end w:w="70" w:type="dxa"/>
            </w:tcMar>
            <w:vAlign w:val="top"/>
          </w:tcPr>
          <w:p>
            <w:pPr>
              <w:pStyle w:val="TableSmall"/>
            </w:pPr>
            <w:r>
              <w:rPr>
                <w:sz w:val="13"/>
              </w:rPr>
              <w:t>£30–£100</w:t>
            </w:r>
          </w:p>
        </w:tc>
        <w:tc>
          <w:tcPr>
            <w:tcW w:type="dxa" w:w="2827"/>
            <w:shd w:fill="F5F7F8"/>
            <w:tcMar>
              <w:top w:w="55" w:type="dxa"/>
              <w:start w:w="70" w:type="dxa"/>
              <w:bottom w:w="55" w:type="dxa"/>
              <w:end w:w="70" w:type="dxa"/>
            </w:tcMar>
            <w:vAlign w:val="top"/>
          </w:tcPr>
          <w:p>
            <w:pPr>
              <w:pStyle w:val="TableSmall"/>
            </w:pPr>
            <w:r>
              <w:rPr>
                <w:sz w:val="13"/>
              </w:rPr>
              <w:t>£30–£120</w:t>
            </w:r>
          </w:p>
        </w:tc>
        <w:tc>
          <w:tcPr>
            <w:tcW w:type="dxa" w:w="3298"/>
            <w:shd w:fill="F5F7F8"/>
            <w:tcMar>
              <w:top w:w="55" w:type="dxa"/>
              <w:start w:w="70" w:type="dxa"/>
              <w:bottom w:w="55" w:type="dxa"/>
              <w:end w:w="70" w:type="dxa"/>
            </w:tcMar>
            <w:vAlign w:val="top"/>
          </w:tcPr>
          <w:p>
            <w:pPr>
              <w:pStyle w:val="TableSmall"/>
            </w:pPr>
            <w:r>
              <w:rPr>
                <w:sz w:val="13"/>
              </w:rPr>
              <w:t>Laptop replacement, printing, specialist equipment, fieldwork.</w:t>
            </w:r>
          </w:p>
        </w:tc>
      </w:tr>
      <w:tr>
        <w:trPr>
          <w:cantSplit w:val="true"/>
        </w:trPr>
        <w:tc>
          <w:tcPr>
            <w:tcW w:type="dxa" w:w="1413"/>
            <w:tcMar>
              <w:top w:w="55" w:type="dxa"/>
              <w:start w:w="70" w:type="dxa"/>
              <w:bottom w:w="55" w:type="dxa"/>
              <w:end w:w="70" w:type="dxa"/>
            </w:tcMar>
            <w:vAlign w:val="top"/>
          </w:tcPr>
          <w:p>
            <w:pPr>
              <w:pStyle w:val="TableSmall"/>
            </w:pPr>
            <w:r>
              <w:rPr>
                <w:sz w:val="13"/>
              </w:rPr>
              <w:t>Health/access</w:t>
            </w:r>
          </w:p>
        </w:tc>
        <w:tc>
          <w:tcPr>
            <w:tcW w:type="dxa" w:w="2497"/>
            <w:tcMar>
              <w:top w:w="55" w:type="dxa"/>
              <w:start w:w="70" w:type="dxa"/>
              <w:bottom w:w="55" w:type="dxa"/>
              <w:end w:w="70" w:type="dxa"/>
            </w:tcMar>
            <w:vAlign w:val="top"/>
          </w:tcPr>
          <w:p>
            <w:pPr>
              <w:pStyle w:val="TableSmall"/>
            </w:pPr>
            <w:r>
              <w:rPr>
                <w:sz w:val="13"/>
              </w:rPr>
              <w:t>£10–£120</w:t>
            </w:r>
          </w:p>
        </w:tc>
        <w:tc>
          <w:tcPr>
            <w:tcW w:type="dxa" w:w="2827"/>
            <w:tcMar>
              <w:top w:w="55" w:type="dxa"/>
              <w:start w:w="70" w:type="dxa"/>
              <w:bottom w:w="55" w:type="dxa"/>
              <w:end w:w="70" w:type="dxa"/>
            </w:tcMar>
            <w:vAlign w:val="top"/>
          </w:tcPr>
          <w:p>
            <w:pPr>
              <w:pStyle w:val="TableSmall"/>
            </w:pPr>
            <w:r>
              <w:rPr>
                <w:sz w:val="13"/>
              </w:rPr>
              <w:t>£20–£180</w:t>
            </w:r>
          </w:p>
        </w:tc>
        <w:tc>
          <w:tcPr>
            <w:tcW w:type="dxa" w:w="3298"/>
            <w:tcMar>
              <w:top w:w="55" w:type="dxa"/>
              <w:start w:w="70" w:type="dxa"/>
              <w:bottom w:w="55" w:type="dxa"/>
              <w:end w:w="70" w:type="dxa"/>
            </w:tcMar>
            <w:vAlign w:val="top"/>
          </w:tcPr>
          <w:p>
            <w:pPr>
              <w:pStyle w:val="TableSmall"/>
            </w:pPr>
            <w:r>
              <w:rPr>
                <w:sz w:val="13"/>
              </w:rPr>
              <w:t>Dental, prescriptions, glasses, therapy gap, equipment not funded.</w:t>
            </w:r>
          </w:p>
        </w:tc>
      </w:tr>
      <w:tr>
        <w:trPr>
          <w:cantSplit w:val="true"/>
        </w:trPr>
        <w:tc>
          <w:tcPr>
            <w:tcW w:type="dxa" w:w="1413"/>
            <w:shd w:fill="F5F7F8"/>
            <w:tcMar>
              <w:top w:w="55" w:type="dxa"/>
              <w:start w:w="70" w:type="dxa"/>
              <w:bottom w:w="55" w:type="dxa"/>
              <w:end w:w="70" w:type="dxa"/>
            </w:tcMar>
            <w:vAlign w:val="top"/>
          </w:tcPr>
          <w:p>
            <w:pPr>
              <w:pStyle w:val="TableSmall"/>
            </w:pPr>
            <w:r>
              <w:rPr>
                <w:sz w:val="13"/>
              </w:rPr>
              <w:t>Social/formal</w:t>
            </w:r>
          </w:p>
        </w:tc>
        <w:tc>
          <w:tcPr>
            <w:tcW w:type="dxa" w:w="2497"/>
            <w:shd w:fill="F5F7F8"/>
            <w:tcMar>
              <w:top w:w="55" w:type="dxa"/>
              <w:start w:w="70" w:type="dxa"/>
              <w:bottom w:w="55" w:type="dxa"/>
              <w:end w:w="70" w:type="dxa"/>
            </w:tcMar>
            <w:vAlign w:val="top"/>
          </w:tcPr>
          <w:p>
            <w:pPr>
              <w:pStyle w:val="TableSmall"/>
            </w:pPr>
            <w:r>
              <w:rPr>
                <w:sz w:val="13"/>
              </w:rPr>
              <w:t>£30–£160</w:t>
            </w:r>
          </w:p>
        </w:tc>
        <w:tc>
          <w:tcPr>
            <w:tcW w:type="dxa" w:w="2827"/>
            <w:shd w:fill="F5F7F8"/>
            <w:tcMar>
              <w:top w:w="55" w:type="dxa"/>
              <w:start w:w="70" w:type="dxa"/>
              <w:bottom w:w="55" w:type="dxa"/>
              <w:end w:w="70" w:type="dxa"/>
            </w:tcMar>
            <w:vAlign w:val="top"/>
          </w:tcPr>
          <w:p>
            <w:pPr>
              <w:pStyle w:val="TableSmall"/>
            </w:pPr>
            <w:r>
              <w:rPr>
                <w:sz w:val="13"/>
              </w:rPr>
              <w:t>£20–£120</w:t>
            </w:r>
          </w:p>
        </w:tc>
        <w:tc>
          <w:tcPr>
            <w:tcW w:type="dxa" w:w="3298"/>
            <w:shd w:fill="F5F7F8"/>
            <w:tcMar>
              <w:top w:w="55" w:type="dxa"/>
              <w:start w:w="70" w:type="dxa"/>
              <w:bottom w:w="55" w:type="dxa"/>
              <w:end w:w="70" w:type="dxa"/>
            </w:tcMar>
            <w:vAlign w:val="top"/>
          </w:tcPr>
          <w:p>
            <w:pPr>
              <w:pStyle w:val="TableSmall"/>
            </w:pPr>
            <w:r>
              <w:rPr>
                <w:sz w:val="13"/>
              </w:rPr>
              <w:t>Formals, societies, childcare for events; Ball months can be much higher.</w:t>
            </w:r>
          </w:p>
        </w:tc>
      </w:tr>
      <w:tr>
        <w:trPr>
          <w:cantSplit w:val="true"/>
        </w:trPr>
        <w:tc>
          <w:tcPr>
            <w:tcW w:type="dxa" w:w="1413"/>
            <w:tcMar>
              <w:top w:w="55" w:type="dxa"/>
              <w:start w:w="70" w:type="dxa"/>
              <w:bottom w:w="55" w:type="dxa"/>
              <w:end w:w="70" w:type="dxa"/>
            </w:tcMar>
            <w:vAlign w:val="top"/>
          </w:tcPr>
          <w:p>
            <w:pPr>
              <w:pStyle w:val="TableSmall"/>
            </w:pPr>
            <w:r>
              <w:rPr>
                <w:sz w:val="13"/>
              </w:rPr>
              <w:t>Childcare</w:t>
            </w:r>
          </w:p>
        </w:tc>
        <w:tc>
          <w:tcPr>
            <w:tcW w:type="dxa" w:w="2497"/>
            <w:tcMar>
              <w:top w:w="55" w:type="dxa"/>
              <w:start w:w="70" w:type="dxa"/>
              <w:bottom w:w="55" w:type="dxa"/>
              <w:end w:w="70" w:type="dxa"/>
            </w:tcMar>
            <w:vAlign w:val="top"/>
          </w:tcPr>
          <w:p>
            <w:pPr>
              <w:pStyle w:val="TableSmall"/>
            </w:pPr>
            <w:r>
              <w:rPr>
                <w:sz w:val="13"/>
              </w:rPr>
              <w:t>—</w:t>
            </w:r>
          </w:p>
        </w:tc>
        <w:tc>
          <w:tcPr>
            <w:tcW w:type="dxa" w:w="2827"/>
            <w:tcMar>
              <w:top w:w="55" w:type="dxa"/>
              <w:start w:w="70" w:type="dxa"/>
              <w:bottom w:w="55" w:type="dxa"/>
              <w:end w:w="70" w:type="dxa"/>
            </w:tcMar>
            <w:vAlign w:val="top"/>
          </w:tcPr>
          <w:p>
            <w:pPr>
              <w:pStyle w:val="TableSmall"/>
            </w:pPr>
            <w:r>
              <w:rPr>
                <w:sz w:val="13"/>
              </w:rPr>
              <w:t>£0–£1,500+</w:t>
            </w:r>
          </w:p>
        </w:tc>
        <w:tc>
          <w:tcPr>
            <w:tcW w:type="dxa" w:w="3298"/>
            <w:tcMar>
              <w:top w:w="55" w:type="dxa"/>
              <w:start w:w="70" w:type="dxa"/>
              <w:bottom w:w="55" w:type="dxa"/>
              <w:end w:w="70" w:type="dxa"/>
            </w:tcMar>
            <w:vAlign w:val="top"/>
          </w:tcPr>
          <w:p>
            <w:pPr>
              <w:pStyle w:val="TableSmall"/>
            </w:pPr>
            <w:r>
              <w:rPr>
                <w:sz w:val="13"/>
              </w:rPr>
              <w:t>Hours, age, funded entitlement, provider and term coverage.</w:t>
            </w:r>
          </w:p>
        </w:tc>
      </w:tr>
      <w:tr>
        <w:trPr>
          <w:cantSplit w:val="true"/>
        </w:trPr>
        <w:tc>
          <w:tcPr>
            <w:tcW w:type="dxa" w:w="1413"/>
            <w:shd w:fill="F5F7F8"/>
            <w:tcMar>
              <w:top w:w="55" w:type="dxa"/>
              <w:start w:w="70" w:type="dxa"/>
              <w:bottom w:w="55" w:type="dxa"/>
              <w:end w:w="70" w:type="dxa"/>
            </w:tcMar>
            <w:vAlign w:val="top"/>
          </w:tcPr>
          <w:p>
            <w:pPr>
              <w:pStyle w:val="TableSmall"/>
            </w:pPr>
            <w:r>
              <w:rPr>
                <w:sz w:val="13"/>
              </w:rPr>
              <w:t>Contingency/savings</w:t>
            </w:r>
          </w:p>
        </w:tc>
        <w:tc>
          <w:tcPr>
            <w:tcW w:type="dxa" w:w="2497"/>
            <w:shd w:fill="F5F7F8"/>
            <w:tcMar>
              <w:top w:w="55" w:type="dxa"/>
              <w:start w:w="70" w:type="dxa"/>
              <w:bottom w:w="55" w:type="dxa"/>
              <w:end w:w="70" w:type="dxa"/>
            </w:tcMar>
            <w:vAlign w:val="top"/>
          </w:tcPr>
          <w:p>
            <w:pPr>
              <w:pStyle w:val="TableSmall"/>
            </w:pPr>
            <w:r>
              <w:rPr>
                <w:sz w:val="13"/>
              </w:rPr>
              <w:t>£75–£200</w:t>
            </w:r>
          </w:p>
        </w:tc>
        <w:tc>
          <w:tcPr>
            <w:tcW w:type="dxa" w:w="2827"/>
            <w:shd w:fill="F5F7F8"/>
            <w:tcMar>
              <w:top w:w="55" w:type="dxa"/>
              <w:start w:w="70" w:type="dxa"/>
              <w:bottom w:w="55" w:type="dxa"/>
              <w:end w:w="70" w:type="dxa"/>
            </w:tcMar>
            <w:vAlign w:val="top"/>
          </w:tcPr>
          <w:p>
            <w:pPr>
              <w:pStyle w:val="TableSmall"/>
            </w:pPr>
            <w:r>
              <w:rPr>
                <w:sz w:val="13"/>
              </w:rPr>
              <w:t>£150–£350</w:t>
            </w:r>
          </w:p>
        </w:tc>
        <w:tc>
          <w:tcPr>
            <w:tcW w:type="dxa" w:w="3298"/>
            <w:shd w:fill="F5F7F8"/>
            <w:tcMar>
              <w:top w:w="55" w:type="dxa"/>
              <w:start w:w="70" w:type="dxa"/>
              <w:bottom w:w="55" w:type="dxa"/>
              <w:end w:w="70" w:type="dxa"/>
            </w:tcMar>
            <w:vAlign w:val="top"/>
          </w:tcPr>
          <w:p>
            <w:pPr>
              <w:pStyle w:val="TableSmall"/>
            </w:pPr>
            <w:r>
              <w:rPr>
                <w:sz w:val="13"/>
              </w:rPr>
              <w:t>Deposits, travel home, broken bike/laptop, emergency care.</w:t>
            </w:r>
          </w:p>
        </w:tc>
      </w:tr>
    </w:tbl>
    <w:p>
      <w:pPr>
        <w:spacing w:after="20"/>
      </w:pPr>
    </w:p>
    <w:p>
      <w:pPr>
        <w:pStyle w:val="Source"/>
      </w:pPr>
      <w:r>
        <w:rPr>
          <w:b/>
        </w:rPr>
        <w:t xml:space="preserve">Sources and status: </w:t>
      </w:r>
      <w:r>
        <w:t>The University baseline is [U06]. The broader ranges are editorial stress-test figures, not price quotations; obtain live housing and childcare costs.</w:t>
      </w:r>
    </w:p>
    <w:p>
      <w:pPr>
        <w:pStyle w:val="Heading2"/>
        <w:keepNext/>
      </w:pPr>
      <w:r>
        <w:t>Bursaries, grants and support</w:t>
      </w:r>
    </w:p>
    <w:p>
      <w:r>
        <w:t>The Cambridge Bursary is non-repayable. The published base award reaches £3,500 at lower household incomes; independent students can receive an additional enhanced element of up to £2,100, bringing the total to £5,600, and care-leaver support can reach £8,350. A £1,000 Education Premium is available to eligible former free-school-meals students. Assessment depends on information shared through the student-finance process, so consent and an up-to-date household-income assessment matter. Colleges can add grants, book funds, travel awards or emergency help, but criteria differ. [U41]</w:t>
      </w:r>
    </w:p>
    <w:p>
      <w:r>
        <w:t>Disabled Students’ Allowance can fund study-related disability costs and is not means-tested in the same way as maintenance support. It does not ordinarily pay everyday living costs or erase the need for the University and College to make reasonable adjustments. Apply early because assessment, quotations, equipment and training take time. [G04] [U12]</w:t>
      </w:r>
    </w:p>
    <w:p>
      <w:r>
        <w:t>For eligible full-time students funded by Student Finance England in 2026–27, the Childcare Grant can cover 85% of registered childcare costs up to £199.62 a week for one child or £342.24 for two or more. It does not pay upfront deposits. Cambridge Childcare Services also publishes information on University nurseries, holiday provision and support funds. Waiting lists, opening hours and vacation study remain practical constraints. [G07] [U18]</w:t>
      </w:r>
    </w:p>
    <w:p>
      <w:pPr>
        <w:pStyle w:val="Heading2"/>
        <w:keepNext/>
      </w:pPr>
      <w:r>
        <w:t>Costs official estimates often fail to make vivid</w:t>
      </w:r>
    </w:p>
    <w:p>
      <w:pPr>
        <w:pStyle w:val="ListBullet"/>
        <w:spacing w:after="30" w:line="247" w:lineRule="auto"/>
        <w:ind w:left="312" w:hanging="142"/>
      </w:pPr>
      <w:r>
        <w:t>Room deposit, private tenancy deposit, holding deposit, first month in advance and a guarantor requirement.</w:t>
      </w:r>
    </w:p>
    <w:p>
      <w:pPr>
        <w:pStyle w:val="ListBullet"/>
        <w:spacing w:after="30" w:line="247" w:lineRule="auto"/>
        <w:ind w:left="312" w:hanging="142"/>
      </w:pPr>
      <w:r>
        <w:t>Vacation residence charges, summer storage, travel between College and home, or paying rent on two places during a move.</w:t>
      </w:r>
    </w:p>
    <w:p>
      <w:pPr>
        <w:pStyle w:val="ListBullet"/>
        <w:spacing w:after="30" w:line="247" w:lineRule="auto"/>
        <w:ind w:left="312" w:hanging="142"/>
      </w:pPr>
      <w:r>
        <w:t>Kitchen fixed charges or minimum meal contributions even when you cook; College bills arriving in large termly blocks.</w:t>
      </w:r>
    </w:p>
    <w:p>
      <w:pPr>
        <w:pStyle w:val="ListBullet"/>
        <w:spacing w:after="30" w:line="247" w:lineRule="auto"/>
        <w:ind w:left="312" w:hanging="142"/>
      </w:pPr>
      <w:r>
        <w:t>Gown purchase or hire, Formal Hall guests, matriculation photograph, society subscriptions, stash and sports equipment.</w:t>
      </w:r>
    </w:p>
    <w:p>
      <w:pPr>
        <w:pStyle w:val="ListBullet"/>
        <w:spacing w:after="30" w:line="247" w:lineRule="auto"/>
        <w:ind w:left="312" w:hanging="142"/>
      </w:pPr>
      <w:r>
        <w:t>Bike, strong lock, lights, maintenance, theft excess and replacement transport.</w:t>
      </w:r>
    </w:p>
    <w:p>
      <w:pPr>
        <w:pStyle w:val="ListBullet"/>
        <w:spacing w:after="30" w:line="247" w:lineRule="auto"/>
        <w:ind w:left="312" w:hanging="142"/>
      </w:pPr>
      <w:r>
        <w:t>Ball ticket, black-tie clothing, shoes, guest ticket, transfer fee, childcare, taxi and food before entry.</w:t>
      </w:r>
    </w:p>
    <w:p>
      <w:pPr>
        <w:pStyle w:val="ListBullet"/>
        <w:spacing w:after="30" w:line="247" w:lineRule="auto"/>
        <w:ind w:left="312" w:hanging="142"/>
      </w:pPr>
      <w:r>
        <w:t>Field trips, laboratory clothing, studio materials, clinical travel, language-year costs or placement transport.</w:t>
      </w:r>
    </w:p>
    <w:p>
      <w:pPr>
        <w:pStyle w:val="ListBullet"/>
        <w:spacing w:after="30" w:line="247" w:lineRule="auto"/>
        <w:ind w:left="312" w:hanging="142"/>
      </w:pPr>
      <w:r>
        <w:t>Printing, specialist software/hardware, ergonomic furniture and a sudden laptop failure.</w:t>
      </w:r>
    </w:p>
    <w:p>
      <w:pPr>
        <w:pStyle w:val="ListBullet"/>
        <w:spacing w:after="30" w:line="247" w:lineRule="auto"/>
        <w:ind w:left="312" w:hanging="142"/>
      </w:pPr>
      <w:r>
        <w:t>Dental work, glasses, prescriptions, private diagnostic evidence or therapy while waiting for another service.</w:t>
      </w:r>
    </w:p>
    <w:p>
      <w:pPr>
        <w:pStyle w:val="ListBullet"/>
        <w:spacing w:after="30" w:line="247" w:lineRule="auto"/>
        <w:ind w:left="312" w:hanging="142"/>
      </w:pPr>
      <w:r>
        <w:t>Graduation dress, guest travel, accommodation, photography and celebration.</w:t>
      </w:r>
    </w:p>
    <w:p>
      <w:pPr>
        <w:pStyle w:val="Heading2"/>
        <w:keepNext/>
      </w:pPr>
      <w:r>
        <w:t>Paid work during term</w:t>
      </w:r>
    </w:p>
    <w:p>
      <w:r>
        <w:t>The practical constraint is workload, not a single slogan. Some Colleges discourage or require permission for paid work; courses with laboratories or placements leave little flexibility; student visas impose legal limits and restrictions. A small predictable job can be safer than emergency gig work, but it must fit the academic arithmetic. International students should obtain advice from the International Student Office and follow their visa conditions. [U15]</w:t>
      </w:r>
    </w:p>
    <w:p>
      <w:r>
        <w:t>Ask in writing: Is permission required? Is there a recommended weekly maximum? Does work for the College count? Are there course-specific prohibitions? What changes in vacations? Never rely on another student’s visa interpretation.</w:t>
      </w:r>
    </w:p>
    <w:p>
      <w:pPr>
        <w:pStyle w:val="Heading2"/>
        <w:keepNext/>
      </w:pPr>
      <w:r>
        <w:t>Funding calendar</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757"/>
        <w:gridCol w:w="7994"/>
      </w:tblGrid>
      <w:tr>
        <w:trPr>
          <w:tblHeader w:val="true"/>
          <w:cantSplit w:val="true"/>
        </w:trPr>
        <w:tc>
          <w:tcPr>
            <w:tcW w:type="dxa" w:w="1757"/>
            <w:shd w:fill="17324D"/>
            <w:tcMar>
              <w:top w:w="70" w:type="dxa"/>
              <w:start w:w="80" w:type="dxa"/>
              <w:bottom w:w="70" w:type="dxa"/>
              <w:end w:w="80" w:type="dxa"/>
            </w:tcMar>
            <w:vAlign w:val="center"/>
          </w:tcPr>
          <w:p>
            <w:pPr>
              <w:pStyle w:val="TableText"/>
              <w:jc w:val="left"/>
            </w:pPr>
            <w:r>
              <w:rPr>
                <w:b/>
                <w:color w:val="FFFFFF"/>
                <w:sz w:val="15"/>
              </w:rPr>
              <w:t>Period</w:t>
            </w:r>
          </w:p>
        </w:tc>
        <w:tc>
          <w:tcPr>
            <w:tcW w:type="dxa" w:w="7994"/>
            <w:shd w:fill="17324D"/>
            <w:tcMar>
              <w:top w:w="70" w:type="dxa"/>
              <w:start w:w="80" w:type="dxa"/>
              <w:bottom w:w="70" w:type="dxa"/>
              <w:end w:w="80" w:type="dxa"/>
            </w:tcMar>
            <w:vAlign w:val="center"/>
          </w:tcPr>
          <w:p>
            <w:pPr>
              <w:pStyle w:val="TableText"/>
              <w:jc w:val="left"/>
            </w:pPr>
            <w:r>
              <w:rPr>
                <w:b/>
                <w:color w:val="FFFFFF"/>
                <w:sz w:val="15"/>
              </w:rPr>
              <w:t>Action</w:t>
            </w:r>
          </w:p>
        </w:tc>
      </w:tr>
      <w:tr>
        <w:trPr>
          <w:cantSplit w:val="true"/>
        </w:trPr>
        <w:tc>
          <w:tcPr>
            <w:tcW w:type="dxa" w:w="1757"/>
            <w:tcMar>
              <w:top w:w="55" w:type="dxa"/>
              <w:start w:w="70" w:type="dxa"/>
              <w:bottom w:w="55" w:type="dxa"/>
              <w:end w:w="70" w:type="dxa"/>
            </w:tcMar>
            <w:vAlign w:val="top"/>
          </w:tcPr>
          <w:p>
            <w:pPr>
              <w:pStyle w:val="TableText"/>
            </w:pPr>
            <w:r>
              <w:t>Before application</w:t>
            </w:r>
          </w:p>
        </w:tc>
        <w:tc>
          <w:tcPr>
            <w:tcW w:type="dxa" w:w="7994"/>
            <w:tcMar>
              <w:top w:w="55" w:type="dxa"/>
              <w:start w:w="70" w:type="dxa"/>
              <w:bottom w:w="55" w:type="dxa"/>
              <w:end w:w="70" w:type="dxa"/>
            </w:tcMar>
            <w:vAlign w:val="top"/>
          </w:tcPr>
          <w:p>
            <w:pPr>
              <w:pStyle w:val="TableText"/>
            </w:pPr>
            <w:r>
              <w:t>Check first/second-degree eligibility; model Home/international fee status; identify recent-study costs.</w:t>
            </w:r>
          </w:p>
        </w:tc>
      </w:tr>
      <w:tr>
        <w:trPr>
          <w:cantSplit w:val="true"/>
        </w:trPr>
        <w:tc>
          <w:tcPr>
            <w:tcW w:type="dxa" w:w="1757"/>
            <w:shd w:fill="F5F7F8"/>
            <w:tcMar>
              <w:top w:w="55" w:type="dxa"/>
              <w:start w:w="70" w:type="dxa"/>
              <w:bottom w:w="55" w:type="dxa"/>
              <w:end w:w="70" w:type="dxa"/>
            </w:tcMar>
            <w:vAlign w:val="top"/>
          </w:tcPr>
          <w:p>
            <w:pPr>
              <w:pStyle w:val="TableText"/>
            </w:pPr>
            <w:r>
              <w:t>Spring before entry</w:t>
            </w:r>
          </w:p>
        </w:tc>
        <w:tc>
          <w:tcPr>
            <w:tcW w:type="dxa" w:w="7994"/>
            <w:shd w:fill="F5F7F8"/>
            <w:tcMar>
              <w:top w:w="55" w:type="dxa"/>
              <w:start w:w="70" w:type="dxa"/>
              <w:bottom w:w="55" w:type="dxa"/>
              <w:end w:w="70" w:type="dxa"/>
            </w:tcMar>
            <w:vAlign w:val="top"/>
          </w:tcPr>
          <w:p>
            <w:pPr>
              <w:pStyle w:val="TableText"/>
            </w:pPr>
            <w:r>
              <w:t>Apply for Student Finance when the cycle opens; consent to household-income sharing; apply for DSA; obtain childcare quotations.</w:t>
            </w:r>
          </w:p>
        </w:tc>
      </w:tr>
      <w:tr>
        <w:trPr>
          <w:cantSplit w:val="true"/>
        </w:trPr>
        <w:tc>
          <w:tcPr>
            <w:tcW w:type="dxa" w:w="1757"/>
            <w:tcMar>
              <w:top w:w="55" w:type="dxa"/>
              <w:start w:w="70" w:type="dxa"/>
              <w:bottom w:w="55" w:type="dxa"/>
              <w:end w:w="70" w:type="dxa"/>
            </w:tcMar>
            <w:vAlign w:val="top"/>
          </w:tcPr>
          <w:p>
            <w:pPr>
              <w:pStyle w:val="TableText"/>
            </w:pPr>
            <w:r>
              <w:t>After offer</w:t>
            </w:r>
          </w:p>
        </w:tc>
        <w:tc>
          <w:tcPr>
            <w:tcW w:type="dxa" w:w="7994"/>
            <w:tcMar>
              <w:top w:w="55" w:type="dxa"/>
              <w:start w:w="70" w:type="dxa"/>
              <w:bottom w:w="55" w:type="dxa"/>
              <w:end w:w="70" w:type="dxa"/>
            </w:tcMar>
            <w:vAlign w:val="top"/>
          </w:tcPr>
          <w:p>
            <w:pPr>
              <w:pStyle w:val="TableText"/>
            </w:pPr>
            <w:r>
              <w:t>Read College grants and room charges; ask about deposit and payment dates; disclose care experience/estrangement through the proper route.</w:t>
            </w:r>
          </w:p>
        </w:tc>
      </w:tr>
      <w:tr>
        <w:trPr>
          <w:cantSplit w:val="true"/>
        </w:trPr>
        <w:tc>
          <w:tcPr>
            <w:tcW w:type="dxa" w:w="1757"/>
            <w:shd w:fill="F5F7F8"/>
            <w:tcMar>
              <w:top w:w="55" w:type="dxa"/>
              <w:start w:w="70" w:type="dxa"/>
              <w:bottom w:w="55" w:type="dxa"/>
              <w:end w:w="70" w:type="dxa"/>
            </w:tcMar>
            <w:vAlign w:val="top"/>
          </w:tcPr>
          <w:p>
            <w:pPr>
              <w:pStyle w:val="TableText"/>
            </w:pPr>
            <w:r>
              <w:t>Summer</w:t>
            </w:r>
          </w:p>
        </w:tc>
        <w:tc>
          <w:tcPr>
            <w:tcW w:type="dxa" w:w="7994"/>
            <w:shd w:fill="F5F7F8"/>
            <w:tcMar>
              <w:top w:w="55" w:type="dxa"/>
              <w:start w:w="70" w:type="dxa"/>
              <w:bottom w:w="55" w:type="dxa"/>
              <w:end w:w="70" w:type="dxa"/>
            </w:tcMar>
            <w:vAlign w:val="top"/>
          </w:tcPr>
          <w:p>
            <w:pPr>
              <w:pStyle w:val="TableText"/>
            </w:pPr>
            <w:r>
              <w:t>Confirm award letters and cash-arrival dates; create bridge funding for arrival deposits and first bill; apply for College bursaries with early deadlines.</w:t>
            </w:r>
          </w:p>
        </w:tc>
      </w:tr>
      <w:tr>
        <w:trPr>
          <w:cantSplit w:val="true"/>
        </w:trPr>
        <w:tc>
          <w:tcPr>
            <w:tcW w:type="dxa" w:w="1757"/>
            <w:tcMar>
              <w:top w:w="55" w:type="dxa"/>
              <w:start w:w="70" w:type="dxa"/>
              <w:bottom w:w="55" w:type="dxa"/>
              <w:end w:w="70" w:type="dxa"/>
            </w:tcMar>
            <w:vAlign w:val="top"/>
          </w:tcPr>
          <w:p>
            <w:pPr>
              <w:pStyle w:val="TableText"/>
            </w:pPr>
            <w:r>
              <w:t>Each term</w:t>
            </w:r>
          </w:p>
        </w:tc>
        <w:tc>
          <w:tcPr>
            <w:tcW w:type="dxa" w:w="7994"/>
            <w:tcMar>
              <w:top w:w="55" w:type="dxa"/>
              <w:start w:w="70" w:type="dxa"/>
              <w:bottom w:w="55" w:type="dxa"/>
              <w:end w:w="70" w:type="dxa"/>
            </w:tcMar>
            <w:vAlign w:val="top"/>
          </w:tcPr>
          <w:p>
            <w:pPr>
              <w:pStyle w:val="TableText"/>
            </w:pPr>
            <w:r>
              <w:t>Open the College bill immediately; reconcile charges; apply for travel/book grants before spending where rules require prior approval.</w:t>
            </w:r>
          </w:p>
        </w:tc>
      </w:tr>
      <w:tr>
        <w:trPr>
          <w:cantSplit w:val="true"/>
        </w:trPr>
        <w:tc>
          <w:tcPr>
            <w:tcW w:type="dxa" w:w="1757"/>
            <w:shd w:fill="F5F7F8"/>
            <w:tcMar>
              <w:top w:w="55" w:type="dxa"/>
              <w:start w:w="70" w:type="dxa"/>
              <w:bottom w:w="55" w:type="dxa"/>
              <w:end w:w="70" w:type="dxa"/>
            </w:tcMar>
            <w:vAlign w:val="top"/>
          </w:tcPr>
          <w:p>
            <w:pPr>
              <w:pStyle w:val="TableText"/>
            </w:pPr>
            <w:r>
              <w:t>Before summer</w:t>
            </w:r>
          </w:p>
        </w:tc>
        <w:tc>
          <w:tcPr>
            <w:tcW w:type="dxa" w:w="7994"/>
            <w:shd w:fill="F5F7F8"/>
            <w:tcMar>
              <w:top w:w="55" w:type="dxa"/>
              <w:start w:w="70" w:type="dxa"/>
              <w:bottom w:w="55" w:type="dxa"/>
              <w:end w:w="70" w:type="dxa"/>
            </w:tcMar>
            <w:vAlign w:val="top"/>
          </w:tcPr>
          <w:p>
            <w:pPr>
              <w:pStyle w:val="TableText"/>
            </w:pPr>
            <w:r>
              <w:t>Plan rent and income through the long vacation; check room exit/storage and internship costs; reapply for recurring funds if required.</w:t>
            </w:r>
          </w:p>
        </w:tc>
      </w:tr>
    </w:tbl>
    <w:p>
      <w:pPr>
        <w:spacing w:after="20"/>
      </w:pPr>
    </w:p>
    <w:p>
      <w:pPr>
        <w:pStyle w:val="Heading2"/>
        <w:keepNext/>
      </w:pPr>
      <w:r>
        <w:t>Financial emergency: the next 24 hours</w:t>
      </w:r>
    </w:p>
    <w:p>
      <w:pPr>
        <w:spacing w:after="40"/>
        <w:ind w:left="351" w:hanging="272"/>
      </w:pPr>
      <w:r>
        <w:rPr>
          <w:b/>
        </w:rPr>
        <w:t xml:space="preserve">1.  </w:t>
      </w:r>
      <w:r>
        <w:t>Protect food, medication, safe housing and essential travel. Do not use a high-cost lender to hide the problem for 48 hours.</w:t>
      </w:r>
    </w:p>
    <w:p>
      <w:pPr>
        <w:spacing w:after="40"/>
        <w:ind w:left="351" w:hanging="272"/>
      </w:pPr>
      <w:r>
        <w:rPr>
          <w:b/>
        </w:rPr>
        <w:t xml:space="preserve">2.  </w:t>
      </w:r>
      <w:r>
        <w:t>Email your Tutor and the College financial-support contact with the amount needed, deadline and reason. Ask specifically about emergency payment, meal credit, bill deferral and hardship grants.</w:t>
      </w:r>
    </w:p>
    <w:p>
      <w:pPr>
        <w:spacing w:after="40"/>
        <w:ind w:left="351" w:hanging="272"/>
      </w:pPr>
      <w:r>
        <w:rPr>
          <w:b/>
        </w:rPr>
        <w:t xml:space="preserve">3.  </w:t>
      </w:r>
      <w:r>
        <w:t>Open all bills and statements. List cash, debts due in seven days and expected income. Keep screenshots and notices.</w:t>
      </w:r>
    </w:p>
    <w:p>
      <w:pPr>
        <w:spacing w:after="40"/>
        <w:ind w:left="351" w:hanging="272"/>
      </w:pPr>
      <w:r>
        <w:rPr>
          <w:b/>
        </w:rPr>
        <w:t xml:space="preserve">4.  </w:t>
      </w:r>
      <w:r>
        <w:t>Contact Cambridge SU Student Advice for an independent view of process and evidence. [SU01]</w:t>
      </w:r>
    </w:p>
    <w:p>
      <w:pPr>
        <w:spacing w:after="40"/>
        <w:ind w:left="351" w:hanging="272"/>
      </w:pPr>
      <w:r>
        <w:rPr>
          <w:b/>
        </w:rPr>
        <w:t xml:space="preserve">5.  </w:t>
      </w:r>
      <w:r>
        <w:t>If rent or Council Tax is involved, obtain specialist housing/debt advice before agreeing to leave or accepting liability.</w:t>
      </w:r>
    </w:p>
    <w:p>
      <w:pPr>
        <w:spacing w:after="40"/>
        <w:ind w:left="351" w:hanging="272"/>
      </w:pPr>
      <w:r>
        <w:rPr>
          <w:b/>
        </w:rPr>
        <w:t xml:space="preserve">6.  </w:t>
      </w:r>
      <w:r>
        <w:t>After the immediate gap is bridged, rebuild the whole-term cash flow; a repeated monthly deficit requires a structural change, not another emergency grant.</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Money problems escalate quickly in short terms. Early disclosure usually preserves more options and dignity than silence.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grants, emergency payments, meal credits and bill plans exist? What evidence is required? Are summer and family costs eligible?</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Budgeting only for eight teaching weeks and treating deposits, vacations, childcare and College bills as surprises.</w:t>
            </w:r>
          </w:p>
        </w:tc>
      </w:tr>
    </w:tbl>
    <w:p>
      <w:pPr>
        <w:spacing w:after="40"/>
      </w:pPr>
    </w:p>
    <w:p>
      <w:pPr>
        <w:pStyle w:val="Heading1"/>
        <w:keepNext/>
      </w:pPr>
      <w:r>
        <w:t>7. Accommodation and living arrangements</w:t>
      </w:r>
    </w:p>
    <w:p>
      <w:pPr>
        <w:spacing w:after="160"/>
      </w:pPr>
      <w:r>
        <w:rPr>
          <w:i/>
          <w:color w:val="5F6B73"/>
          <w:sz w:val="20"/>
        </w:rPr>
        <w:t>The room is not just where you sleep; it controls cooking, family life, cost and recovery.</w:t>
      </w:r>
    </w:p>
    <w:p>
      <w:pPr>
        <w:pStyle w:val="Heading2"/>
        <w:keepNext/>
      </w:pPr>
      <w:r>
        <w:t>College accommodation</w:t>
      </w:r>
    </w:p>
    <w:p>
      <w:r>
        <w:t>College accommodation can be cheaper and simpler than private rent, often includes utilities and places you near libraries and community. It can also be designed around a single student who leaves during vacations, eats in Hall and accepts rules about guests, cooking and room access. The University’s living-cost page notes that College accommodation contracts in 2025–26 commonly ranged from a minimum of 27 to 39 weeks. Your actual licence is the authority. [U06]</w:t>
      </w:r>
    </w:p>
    <w:p>
      <w:r>
        <w:t>Rooms may be allocated by ballot, price band, year group, need or a combination. Ask whether disability, parenting or caring need is considered before the general ballot, what evidence is required, and whether an offer is for a specific room or only a category. Photograph condition at entry and report defects promptly.</w:t>
      </w:r>
    </w:p>
    <w:p>
      <w:pPr>
        <w:pStyle w:val="Heading2"/>
        <w:keepNext/>
      </w:pPr>
      <w:r>
        <w:t>The questions hidden inside “vacation accommodation”</w:t>
      </w:r>
    </w:p>
    <w:p>
      <w:pPr>
        <w:pStyle w:val="ListBullet"/>
        <w:spacing w:after="30" w:line="247" w:lineRule="auto"/>
        <w:ind w:left="312" w:hanging="142"/>
      </w:pPr>
      <w:r>
        <w:t>Can you remain in the same room during Christmas and Easter, or must you move belongings?</w:t>
      </w:r>
    </w:p>
    <w:p>
      <w:pPr>
        <w:pStyle w:val="ListBullet"/>
        <w:spacing w:after="30" w:line="247" w:lineRule="auto"/>
        <w:ind w:left="312" w:hanging="142"/>
      </w:pPr>
      <w:r>
        <w:t>Is residence permitted only for academic reasons, or are work, family, visa and housing need accepted?</w:t>
      </w:r>
    </w:p>
    <w:p>
      <w:pPr>
        <w:pStyle w:val="ListBullet"/>
        <w:spacing w:after="30" w:line="247" w:lineRule="auto"/>
        <w:ind w:left="312" w:hanging="142"/>
      </w:pPr>
      <w:r>
        <w:t>What nightly or weekly charge applies, and are meals, heating, cleaning and access reduced?</w:t>
      </w:r>
    </w:p>
    <w:p>
      <w:pPr>
        <w:pStyle w:val="ListBullet"/>
        <w:spacing w:after="30" w:line="247" w:lineRule="auto"/>
        <w:ind w:left="312" w:hanging="142"/>
      </w:pPr>
      <w:r>
        <w:t>Is storage available, insured and accessible? Can you store a bicycle, assistive equipment or child items?</w:t>
      </w:r>
    </w:p>
    <w:p>
      <w:pPr>
        <w:pStyle w:val="ListBullet"/>
        <w:spacing w:after="30" w:line="247" w:lineRule="auto"/>
        <w:ind w:left="312" w:hanging="142"/>
      </w:pPr>
      <w:r>
        <w:t>Does the College host conferences that displace students? When must you apply, and when is the decision final?</w:t>
      </w:r>
    </w:p>
    <w:p>
      <w:pPr>
        <w:pStyle w:val="ListBullet"/>
        <w:spacing w:after="30" w:line="247" w:lineRule="auto"/>
        <w:ind w:left="312" w:hanging="142"/>
      </w:pPr>
      <w:r>
        <w:t>Can an international student or estranged student treat College as the only home without repeated applications?</w:t>
      </w:r>
    </w:p>
    <w:p>
      <w:pPr>
        <w:pStyle w:val="Heading2"/>
        <w:keepNext/>
      </w:pPr>
      <w:r>
        <w:t>Couples and family accommodation</w:t>
      </w:r>
    </w:p>
    <w:p>
      <w:r>
        <w:t>Stock is limited and concentrated in some Colleges and University-managed properties. “Family accommodation available” does not mean guaranteed, affordable, close to your Faculty or suitable for your child’s school. Ask for the number of units, allocation priority, waiting-list position, lease length, furniture, bills, parking, play space, accessibility and what happens if the relationship changes. A partner is not automatically a College member and may have restricted access to libraries, dining, gyms or events.</w:t>
      </w:r>
    </w:p>
    <w:p>
      <w:r>
        <w:t>Bringing children into College spaces is College-specific. Do not infer that because a garden is open to tourists it is an unsupervised play space, or that a child may enter a laboratory, library, Formal Hall or bar. Ask for written guest and safeguarding rules, and identify daytime social spaces where family life is welcome.</w:t>
      </w:r>
    </w:p>
    <w:p>
      <w:pPr>
        <w:pStyle w:val="Heading2"/>
        <w:keepNext/>
      </w:pPr>
      <w:r>
        <w:t>Private renting</w:t>
      </w:r>
    </w:p>
    <w:p>
      <w:pPr>
        <w:pStyle w:val="ListBullet"/>
        <w:spacing w:after="30" w:line="247" w:lineRule="auto"/>
        <w:ind w:left="312" w:hanging="142"/>
      </w:pPr>
      <w:r>
        <w:t>View in person or by reliable live video. Check damp, heating, hot-water pressure, locks, smoke/CO alarms, bike storage, noise and the actual commute.</w:t>
      </w:r>
    </w:p>
    <w:p>
      <w:pPr>
        <w:pStyle w:val="ListBullet"/>
        <w:spacing w:after="30" w:line="247" w:lineRule="auto"/>
        <w:ind w:left="312" w:hanging="142"/>
      </w:pPr>
      <w:r>
        <w:t>Confirm who protects the tenancy deposit, what fees are lawful, which bills are included and whether the landlord requires a UK guarantor or rent in advance.</w:t>
      </w:r>
    </w:p>
    <w:p>
      <w:pPr>
        <w:pStyle w:val="ListBullet"/>
        <w:spacing w:after="30" w:line="247" w:lineRule="auto"/>
        <w:ind w:left="312" w:hanging="142"/>
      </w:pPr>
      <w:r>
        <w:t>Read break clauses, joint-and-several liability and replacement-tenant rules. In a joint tenancy, another person’s non-payment may become your problem.</w:t>
      </w:r>
    </w:p>
    <w:p>
      <w:pPr>
        <w:pStyle w:val="ListBullet"/>
        <w:spacing w:after="30" w:line="247" w:lineRule="auto"/>
        <w:ind w:left="312" w:hanging="142"/>
      </w:pPr>
      <w:r>
        <w:t>Ask whether the property is licensed where required and who handles repairs. Keep the advert, inventory, meter readings and every repair request.</w:t>
      </w:r>
    </w:p>
    <w:p>
      <w:pPr>
        <w:pStyle w:val="ListBullet"/>
        <w:spacing w:after="30" w:line="247" w:lineRule="auto"/>
        <w:ind w:left="312" w:hanging="142"/>
      </w:pPr>
      <w:r>
        <w:t>Calculate Council Tax before signing. A household occupied only by full-time students is generally exempt; one countable non-student may produce a 25% discount, while a mixed household can owe a larger bill. [G05] [L02]</w:t>
      </w:r>
    </w:p>
    <w:p>
      <w:pPr>
        <w:pStyle w:val="Heading2"/>
        <w:keepNext/>
      </w:pPr>
      <w:r>
        <w:t>Living out and commuting</w:t>
      </w:r>
    </w:p>
    <w:p>
      <w:r>
        <w:t>Living out can preserve adult autonomy, partner relationships and stable schooling. The costs are travel time, weaker spontaneous contact, fewer late-night options and the risk that a cancelled bus turns a one-hour supervision into a half-day operation. Before committing, test the route at 08:30, after 18:00 and in bad weather. Check whether the College expects permission to live outside a defined radius or whether course, visa or keeping-term rules affect residence.</w:t>
      </w:r>
    </w:p>
    <w:p>
      <w:r>
        <w:t>Cycling is usually the fastest cross-city mode, but it is not mandatory. Budget for a mechanically sound bicycle, lights, a high-quality D-lock, waterproofs and secure storage. Cambridge bike theft is a practical risk. A car is often inconvenient in the centre; parking at Colleges and Departments is restricted, and a family car can become a liability unless your home and destinations provide permits.</w:t>
      </w:r>
    </w:p>
    <w:p>
      <w:pPr>
        <w:pStyle w:val="Heading2"/>
        <w:keepNext/>
      </w:pPr>
      <w:r>
        <w:t>Keeping term: why commuting has limits</w:t>
      </w:r>
    </w:p>
    <w:p>
      <w:pPr/>
      <w:r>
        <w:t>Cambridge undergraduates must satisfy the University’s residence or “keeping term” requirement, which is certified through the College. The detailed approved-location, absence and night-count rules are applied through College and University regulations rather than by a casual idea of being “near enough”. Do not build a plan around commuting from another city, frequent overnight caring trips or a split household until your Tutor or College has confirmed in writing how the rule applies.</w:t>
      </w:r>
    </w:p>
    <w:p>
      <w:pPr/>
      <w:r>
        <w:t>Some College handbooks express the ordinary residence expectation as roughly 59 nights in Michaelmas, 59 in Lent and 52 in Easter, but the counting windows, permitted absences and course/visa consequences must be verified locally. A nearby-village commute can be workable; a London commute is not an informal loophole. [COLLEGE-SPECIFIC — VERIFY]</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D5A72E" w:val="clear"/>
          </w:tcPr>
          <w:p/>
        </w:tc>
        <w:tc>
          <w:tcPr>
            <w:tcW w:type="dxa" w:w="9877"/>
            <w:tcMar>
              <w:top w:w="80" w:type="dxa"/>
              <w:start w:w="100" w:type="dxa"/>
              <w:bottom w:w="80" w:type="dxa"/>
              <w:end w:w="100" w:type="dxa"/>
            </w:tcMar>
            <w:shd w:fill="FBF6E7" w:val="clear"/>
            <w:vAlign w:val="center"/>
          </w:tcPr>
          <w:p>
            <w:pPr>
              <w:spacing w:after="0"/>
            </w:pPr>
            <w:r>
              <w:rPr>
                <w:rFonts w:ascii="Lato" w:hAnsi="Lato"/>
                <w:b/>
                <w:color w:val="D5A72E"/>
                <w:sz w:val="16"/>
              </w:rPr>
              <w:t>FOR PARENTS AND CARERS</w:t>
            </w:r>
            <w:r>
              <w:rPr>
                <w:rFonts w:ascii="Lato" w:hAnsi="Lato"/>
                <w:color w:val="222222"/>
                <w:sz w:val="16"/>
              </w:rPr>
              <w:br/>
              <w:t>Ask before arrival how custody patterns, emergency travel and nights away are recorded. The right route is advance approval and a plan, not hoping that no one notices.</w:t>
            </w:r>
          </w:p>
        </w:tc>
      </w:tr>
    </w:tbl>
    <w:p>
      <w:pPr>
        <w:pStyle w:val="Heading2"/>
        <w:keepNext/>
      </w:pPr>
      <w:r>
        <w:t>Housing checklist before signing</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871"/>
        <w:gridCol w:w="7880"/>
      </w:tblGrid>
      <w:tr>
        <w:trPr>
          <w:tblHeader w:val="true"/>
          <w:cantSplit w:val="true"/>
        </w:trPr>
        <w:tc>
          <w:tcPr>
            <w:tcW w:type="dxa" w:w="1871"/>
            <w:shd w:fill="17324D"/>
            <w:tcMar>
              <w:top w:w="70" w:type="dxa"/>
              <w:start w:w="80" w:type="dxa"/>
              <w:bottom w:w="70" w:type="dxa"/>
              <w:end w:w="80" w:type="dxa"/>
            </w:tcMar>
            <w:vAlign w:val="center"/>
          </w:tcPr>
          <w:p>
            <w:pPr>
              <w:pStyle w:val="TableText"/>
              <w:jc w:val="left"/>
            </w:pPr>
            <w:r>
              <w:rPr>
                <w:b/>
                <w:color w:val="FFFFFF"/>
                <w:sz w:val="15"/>
              </w:rPr>
              <w:t>Check</w:t>
            </w:r>
          </w:p>
        </w:tc>
        <w:tc>
          <w:tcPr>
            <w:tcW w:type="dxa" w:w="7881"/>
            <w:shd w:fill="17324D"/>
            <w:tcMar>
              <w:top w:w="70" w:type="dxa"/>
              <w:start w:w="80" w:type="dxa"/>
              <w:bottom w:w="70" w:type="dxa"/>
              <w:end w:w="80" w:type="dxa"/>
            </w:tcMar>
            <w:vAlign w:val="center"/>
          </w:tcPr>
          <w:p>
            <w:pPr>
              <w:pStyle w:val="TableText"/>
              <w:jc w:val="left"/>
            </w:pPr>
            <w:r>
              <w:rPr>
                <w:b/>
                <w:color w:val="FFFFFF"/>
                <w:sz w:val="15"/>
              </w:rPr>
              <w:t>Question to ask / evidence to obtain</w:t>
            </w:r>
          </w:p>
        </w:tc>
      </w:tr>
      <w:tr>
        <w:trPr>
          <w:cantSplit w:val="true"/>
        </w:trPr>
        <w:tc>
          <w:tcPr>
            <w:tcW w:type="dxa" w:w="1871"/>
            <w:tcMar>
              <w:top w:w="55" w:type="dxa"/>
              <w:start w:w="70" w:type="dxa"/>
              <w:bottom w:w="55" w:type="dxa"/>
              <w:end w:w="70" w:type="dxa"/>
            </w:tcMar>
            <w:vAlign w:val="top"/>
          </w:tcPr>
          <w:p>
            <w:pPr>
              <w:pStyle w:val="TableText"/>
            </w:pPr>
            <w:r>
              <w:t>Total cost</w:t>
            </w:r>
          </w:p>
        </w:tc>
        <w:tc>
          <w:tcPr>
            <w:tcW w:type="dxa" w:w="7881"/>
            <w:tcMar>
              <w:top w:w="55" w:type="dxa"/>
              <w:start w:w="70" w:type="dxa"/>
              <w:bottom w:w="55" w:type="dxa"/>
              <w:end w:w="70" w:type="dxa"/>
            </w:tcMar>
            <w:vAlign w:val="top"/>
          </w:tcPr>
          <w:p>
            <w:pPr>
              <w:pStyle w:val="TableText"/>
            </w:pPr>
            <w:r>
              <w:t>Rent, utilities, internet, kitchen/catering charge, deposit, insurance, laundry, Council Tax and travel.</w:t>
            </w:r>
          </w:p>
        </w:tc>
      </w:tr>
      <w:tr>
        <w:trPr>
          <w:cantSplit w:val="true"/>
        </w:trPr>
        <w:tc>
          <w:tcPr>
            <w:tcW w:type="dxa" w:w="1871"/>
            <w:shd w:fill="F5F7F8"/>
            <w:tcMar>
              <w:top w:w="55" w:type="dxa"/>
              <w:start w:w="70" w:type="dxa"/>
              <w:bottom w:w="55" w:type="dxa"/>
              <w:end w:w="70" w:type="dxa"/>
            </w:tcMar>
            <w:vAlign w:val="top"/>
          </w:tcPr>
          <w:p>
            <w:pPr>
              <w:pStyle w:val="TableText"/>
            </w:pPr>
            <w:r>
              <w:t>Dates</w:t>
            </w:r>
          </w:p>
        </w:tc>
        <w:tc>
          <w:tcPr>
            <w:tcW w:type="dxa" w:w="7881"/>
            <w:shd w:fill="F5F7F8"/>
            <w:tcMar>
              <w:top w:w="55" w:type="dxa"/>
              <w:start w:w="70" w:type="dxa"/>
              <w:bottom w:w="55" w:type="dxa"/>
              <w:end w:w="70" w:type="dxa"/>
            </w:tcMar>
            <w:vAlign w:val="top"/>
          </w:tcPr>
          <w:p>
            <w:pPr>
              <w:pStyle w:val="TableText"/>
            </w:pPr>
            <w:r>
              <w:t>Exact start/end, Full Term versus vacation, move-out days, summer, early arrival, intermission and graduation.</w:t>
            </w:r>
          </w:p>
        </w:tc>
      </w:tr>
      <w:tr>
        <w:trPr>
          <w:cantSplit w:val="true"/>
        </w:trPr>
        <w:tc>
          <w:tcPr>
            <w:tcW w:type="dxa" w:w="1871"/>
            <w:tcMar>
              <w:top w:w="55" w:type="dxa"/>
              <w:start w:w="70" w:type="dxa"/>
              <w:bottom w:w="55" w:type="dxa"/>
              <w:end w:w="70" w:type="dxa"/>
            </w:tcMar>
            <w:vAlign w:val="top"/>
          </w:tcPr>
          <w:p>
            <w:pPr>
              <w:pStyle w:val="TableText"/>
            </w:pPr>
            <w:r>
              <w:t>Cooking</w:t>
            </w:r>
          </w:p>
        </w:tc>
        <w:tc>
          <w:tcPr>
            <w:tcW w:type="dxa" w:w="7881"/>
            <w:tcMar>
              <w:top w:w="55" w:type="dxa"/>
              <w:start w:w="70" w:type="dxa"/>
              <w:bottom w:w="55" w:type="dxa"/>
              <w:end w:w="70" w:type="dxa"/>
            </w:tcMar>
            <w:vAlign w:val="top"/>
          </w:tcPr>
          <w:p>
            <w:pPr>
              <w:pStyle w:val="TableText"/>
            </w:pPr>
            <w:r>
              <w:t>Hob, oven, microwave, freezer space, utensils, ventilation, food storage and allergy arrangements.</w:t>
            </w:r>
          </w:p>
        </w:tc>
      </w:tr>
      <w:tr>
        <w:trPr>
          <w:cantSplit w:val="true"/>
        </w:trPr>
        <w:tc>
          <w:tcPr>
            <w:tcW w:type="dxa" w:w="1871"/>
            <w:shd w:fill="F5F7F8"/>
            <w:tcMar>
              <w:top w:w="55" w:type="dxa"/>
              <w:start w:w="70" w:type="dxa"/>
              <w:bottom w:w="55" w:type="dxa"/>
              <w:end w:w="70" w:type="dxa"/>
            </w:tcMar>
            <w:vAlign w:val="top"/>
          </w:tcPr>
          <w:p>
            <w:pPr>
              <w:pStyle w:val="TableText"/>
            </w:pPr>
            <w:r>
              <w:t>Household</w:t>
            </w:r>
          </w:p>
        </w:tc>
        <w:tc>
          <w:tcPr>
            <w:tcW w:type="dxa" w:w="7881"/>
            <w:shd w:fill="F5F7F8"/>
            <w:tcMar>
              <w:top w:w="55" w:type="dxa"/>
              <w:start w:w="70" w:type="dxa"/>
              <w:bottom w:w="55" w:type="dxa"/>
              <w:end w:w="70" w:type="dxa"/>
            </w:tcMar>
            <w:vAlign w:val="top"/>
          </w:tcPr>
          <w:p>
            <w:pPr>
              <w:pStyle w:val="TableText"/>
            </w:pPr>
            <w:r>
              <w:t>Partner/child occupancy, overnight guests, visitors, childcare collection, pet/assistance animal rules.</w:t>
            </w:r>
          </w:p>
        </w:tc>
      </w:tr>
      <w:tr>
        <w:trPr>
          <w:cantSplit w:val="true"/>
        </w:trPr>
        <w:tc>
          <w:tcPr>
            <w:tcW w:type="dxa" w:w="1871"/>
            <w:tcMar>
              <w:top w:w="55" w:type="dxa"/>
              <w:start w:w="70" w:type="dxa"/>
              <w:bottom w:w="55" w:type="dxa"/>
              <w:end w:w="70" w:type="dxa"/>
            </w:tcMar>
            <w:vAlign w:val="top"/>
          </w:tcPr>
          <w:p>
            <w:pPr>
              <w:pStyle w:val="TableText"/>
            </w:pPr>
            <w:r>
              <w:t>Accessibility</w:t>
            </w:r>
          </w:p>
        </w:tc>
        <w:tc>
          <w:tcPr>
            <w:tcW w:type="dxa" w:w="7881"/>
            <w:tcMar>
              <w:top w:w="55" w:type="dxa"/>
              <w:start w:w="70" w:type="dxa"/>
              <w:bottom w:w="55" w:type="dxa"/>
              <w:end w:w="70" w:type="dxa"/>
            </w:tcMar>
            <w:vAlign w:val="top"/>
          </w:tcPr>
          <w:p>
            <w:pPr>
              <w:pStyle w:val="TableText"/>
            </w:pPr>
            <w:r>
              <w:t>Step-free route, door widths, lift reliability, bathroom, alarm, evacuation and accessible laundry/kitchen.</w:t>
            </w:r>
          </w:p>
        </w:tc>
      </w:tr>
      <w:tr>
        <w:trPr>
          <w:cantSplit w:val="true"/>
        </w:trPr>
        <w:tc>
          <w:tcPr>
            <w:tcW w:type="dxa" w:w="1871"/>
            <w:shd w:fill="F5F7F8"/>
            <w:tcMar>
              <w:top w:w="55" w:type="dxa"/>
              <w:start w:w="70" w:type="dxa"/>
              <w:bottom w:w="55" w:type="dxa"/>
              <w:end w:w="70" w:type="dxa"/>
            </w:tcMar>
            <w:vAlign w:val="top"/>
          </w:tcPr>
          <w:p>
            <w:pPr>
              <w:pStyle w:val="TableText"/>
            </w:pPr>
            <w:r>
              <w:t>Study</w:t>
            </w:r>
          </w:p>
        </w:tc>
        <w:tc>
          <w:tcPr>
            <w:tcW w:type="dxa" w:w="7881"/>
            <w:shd w:fill="F5F7F8"/>
            <w:tcMar>
              <w:top w:w="55" w:type="dxa"/>
              <w:start w:w="70" w:type="dxa"/>
              <w:bottom w:w="55" w:type="dxa"/>
              <w:end w:w="70" w:type="dxa"/>
            </w:tcMar>
            <w:vAlign w:val="top"/>
          </w:tcPr>
          <w:p>
            <w:pPr>
              <w:pStyle w:val="TableText"/>
            </w:pPr>
            <w:r>
              <w:t>Desk, chair, noise, internet, heating, daylight and alternative quiet space.</w:t>
            </w:r>
          </w:p>
        </w:tc>
      </w:tr>
      <w:tr>
        <w:trPr>
          <w:cantSplit w:val="true"/>
        </w:trPr>
        <w:tc>
          <w:tcPr>
            <w:tcW w:type="dxa" w:w="1871"/>
            <w:tcMar>
              <w:top w:w="55" w:type="dxa"/>
              <w:start w:w="70" w:type="dxa"/>
              <w:bottom w:w="55" w:type="dxa"/>
              <w:end w:w="70" w:type="dxa"/>
            </w:tcMar>
            <w:vAlign w:val="top"/>
          </w:tcPr>
          <w:p>
            <w:pPr>
              <w:pStyle w:val="TableText"/>
            </w:pPr>
            <w:r>
              <w:t>Repairs/safety</w:t>
            </w:r>
          </w:p>
        </w:tc>
        <w:tc>
          <w:tcPr>
            <w:tcW w:type="dxa" w:w="7881"/>
            <w:tcMar>
              <w:top w:w="55" w:type="dxa"/>
              <w:start w:w="70" w:type="dxa"/>
              <w:bottom w:w="55" w:type="dxa"/>
              <w:end w:w="70" w:type="dxa"/>
            </w:tcMar>
            <w:vAlign w:val="top"/>
          </w:tcPr>
          <w:p>
            <w:pPr>
              <w:pStyle w:val="TableText"/>
            </w:pPr>
            <w:r>
              <w:t>Named reporting route, emergency repair, locks, alarms, damp, electrical condition and security.</w:t>
            </w:r>
          </w:p>
        </w:tc>
      </w:tr>
      <w:tr>
        <w:trPr>
          <w:cantSplit w:val="true"/>
        </w:trPr>
        <w:tc>
          <w:tcPr>
            <w:tcW w:type="dxa" w:w="1871"/>
            <w:shd w:fill="F5F7F8"/>
            <w:tcMar>
              <w:top w:w="55" w:type="dxa"/>
              <w:start w:w="70" w:type="dxa"/>
              <w:bottom w:w="55" w:type="dxa"/>
              <w:end w:w="70" w:type="dxa"/>
            </w:tcMar>
            <w:vAlign w:val="top"/>
          </w:tcPr>
          <w:p>
            <w:pPr>
              <w:pStyle w:val="TableText"/>
            </w:pPr>
            <w:r>
              <w:t>Exit</w:t>
            </w:r>
          </w:p>
        </w:tc>
        <w:tc>
          <w:tcPr>
            <w:tcW w:type="dxa" w:w="7881"/>
            <w:shd w:fill="F5F7F8"/>
            <w:tcMar>
              <w:top w:w="55" w:type="dxa"/>
              <w:start w:w="70" w:type="dxa"/>
              <w:bottom w:w="55" w:type="dxa"/>
              <w:end w:w="70" w:type="dxa"/>
            </w:tcMar>
            <w:vAlign w:val="top"/>
          </w:tcPr>
          <w:p>
            <w:pPr>
              <w:pStyle w:val="TableText"/>
            </w:pPr>
            <w:r>
              <w:t>Notice/break clause, room transfer, relationship breakdown, intermission, deposit deductions and storage.</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Choose housing by your worst ordinary week—ill child, rain, 09:00 lab—not by the open-day photograph.</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Can I see the licence and exact room? What happens in every vacation, during intermission and if my household changes?</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Assuming a College room includes year-round occupancy, meaningful cooking or unrestricted partner/child access.</w:t>
            </w:r>
          </w:p>
        </w:tc>
      </w:tr>
    </w:tbl>
    <w:p>
      <w:pPr>
        <w:spacing w:after="40"/>
      </w:pPr>
    </w:p>
    <w:p>
      <w:pPr>
        <w:pStyle w:val="Heading1"/>
        <w:keepNext/>
      </w:pPr>
      <w:r>
        <w:t>8. Cambridge the town: schools, childcare, gyms, shopping and everyday life</w:t>
      </w:r>
    </w:p>
    <w:p>
      <w:pPr>
        <w:spacing w:after="160"/>
      </w:pPr>
      <w:r>
        <w:rPr>
          <w:i/>
          <w:color w:val="5F6B73"/>
          <w:sz w:val="20"/>
        </w:rPr>
        <w:t>The University is only one layer of the place where you will actually live.</w:t>
      </w:r>
    </w:p>
    <w:p>
      <w:pPr>
        <w:pStyle w:val="Heading2"/>
        <w:keepNext/>
      </w:pPr>
      <w:r>
        <w:t>A compact city with uneven journeys</w:t>
      </w:r>
    </w:p>
    <w:p>
      <w:r>
        <w:t>Central Cambridge is walkable and cyclable, but “Cambridge” stretches across distinct corridors. A home near Addenbrooke’s may be excellent for medicine and difficult for West Cambridge; a room near Sidgwick is ideal for many humanities students and awkward for Homerton placements. Tourist congestion, one-way streets, river crossings and school-run traffic make straight-line distance deceptive.</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268"/>
        <w:gridCol w:w="4535"/>
        <w:gridCol w:w="2948"/>
      </w:tblGrid>
      <w:tr>
        <w:trPr>
          <w:tblHeader w:val="true"/>
          <w:cantSplit w:val="true"/>
        </w:trPr>
        <w:tc>
          <w:tcPr>
            <w:tcW w:type="dxa" w:w="2268"/>
            <w:shd w:fill="17324D"/>
            <w:tcMar>
              <w:top w:w="70" w:type="dxa"/>
              <w:start w:w="80" w:type="dxa"/>
              <w:bottom w:w="70" w:type="dxa"/>
              <w:end w:w="80" w:type="dxa"/>
            </w:tcMar>
            <w:vAlign w:val="center"/>
          </w:tcPr>
          <w:p>
            <w:pPr>
              <w:pStyle w:val="TableText"/>
              <w:jc w:val="left"/>
            </w:pPr>
            <w:r>
              <w:rPr>
                <w:b/>
                <w:color w:val="FFFFFF"/>
                <w:sz w:val="15"/>
              </w:rPr>
              <w:t>Area</w:t>
            </w:r>
          </w:p>
        </w:tc>
        <w:tc>
          <w:tcPr>
            <w:tcW w:type="dxa" w:w="4536"/>
            <w:shd w:fill="17324D"/>
            <w:tcMar>
              <w:top w:w="70" w:type="dxa"/>
              <w:start w:w="80" w:type="dxa"/>
              <w:bottom w:w="70" w:type="dxa"/>
              <w:end w:w="80" w:type="dxa"/>
            </w:tcMar>
            <w:vAlign w:val="center"/>
          </w:tcPr>
          <w:p>
            <w:pPr>
              <w:pStyle w:val="TableText"/>
              <w:jc w:val="left"/>
            </w:pPr>
            <w:r>
              <w:rPr>
                <w:b/>
                <w:color w:val="FFFFFF"/>
                <w:sz w:val="15"/>
              </w:rPr>
              <w:t>What it feels like / useful for</w:t>
            </w:r>
          </w:p>
        </w:tc>
        <w:tc>
          <w:tcPr>
            <w:tcW w:type="dxa" w:w="2948"/>
            <w:shd w:fill="17324D"/>
            <w:tcMar>
              <w:top w:w="70" w:type="dxa"/>
              <w:start w:w="80" w:type="dxa"/>
              <w:bottom w:w="70" w:type="dxa"/>
              <w:end w:w="80" w:type="dxa"/>
            </w:tcMar>
            <w:vAlign w:val="center"/>
          </w:tcPr>
          <w:p>
            <w:pPr>
              <w:pStyle w:val="TableText"/>
              <w:jc w:val="left"/>
            </w:pPr>
            <w:r>
              <w:rPr>
                <w:b/>
                <w:color w:val="FFFFFF"/>
                <w:sz w:val="15"/>
              </w:rPr>
              <w:t>Watch for</w:t>
            </w:r>
          </w:p>
        </w:tc>
      </w:tr>
      <w:tr>
        <w:trPr>
          <w:cantSplit w:val="true"/>
        </w:trPr>
        <w:tc>
          <w:tcPr>
            <w:tcW w:type="dxa" w:w="2268"/>
            <w:tcMar>
              <w:top w:w="55" w:type="dxa"/>
              <w:start w:w="70" w:type="dxa"/>
              <w:bottom w:w="55" w:type="dxa"/>
              <w:end w:w="70" w:type="dxa"/>
            </w:tcMar>
            <w:vAlign w:val="top"/>
          </w:tcPr>
          <w:p>
            <w:pPr>
              <w:pStyle w:val="TableText"/>
            </w:pPr>
            <w:r>
              <w:t>Historic centre</w:t>
            </w:r>
          </w:p>
        </w:tc>
        <w:tc>
          <w:tcPr>
            <w:tcW w:type="dxa" w:w="4536"/>
            <w:tcMar>
              <w:top w:w="55" w:type="dxa"/>
              <w:start w:w="70" w:type="dxa"/>
              <w:bottom w:w="55" w:type="dxa"/>
              <w:end w:w="70" w:type="dxa"/>
            </w:tcMar>
            <w:vAlign w:val="top"/>
          </w:tcPr>
          <w:p>
            <w:pPr>
              <w:pStyle w:val="TableText"/>
            </w:pPr>
            <w:r>
              <w:t>Colleges, Market Square, shops, cafés, UL access by bike/walk; high convenience.</w:t>
            </w:r>
          </w:p>
        </w:tc>
        <w:tc>
          <w:tcPr>
            <w:tcW w:type="dxa" w:w="2948"/>
            <w:tcMar>
              <w:top w:w="55" w:type="dxa"/>
              <w:start w:w="70" w:type="dxa"/>
              <w:bottom w:w="55" w:type="dxa"/>
              <w:end w:w="70" w:type="dxa"/>
            </w:tcMar>
            <w:vAlign w:val="top"/>
          </w:tcPr>
          <w:p>
            <w:pPr>
              <w:pStyle w:val="TableText"/>
            </w:pPr>
            <w:r>
              <w:t>Tourists, noise, limited parking, small/expensive housing.</w:t>
            </w:r>
          </w:p>
        </w:tc>
      </w:tr>
      <w:tr>
        <w:trPr>
          <w:cantSplit w:val="true"/>
        </w:trPr>
        <w:tc>
          <w:tcPr>
            <w:tcW w:type="dxa" w:w="2268"/>
            <w:shd w:fill="F5F7F8"/>
            <w:tcMar>
              <w:top w:w="55" w:type="dxa"/>
              <w:start w:w="70" w:type="dxa"/>
              <w:bottom w:w="55" w:type="dxa"/>
              <w:end w:w="70" w:type="dxa"/>
            </w:tcMar>
            <w:vAlign w:val="top"/>
          </w:tcPr>
          <w:p>
            <w:pPr>
              <w:pStyle w:val="TableText"/>
            </w:pPr>
            <w:r>
              <w:t>Mill Road / Petersfield / Romsey</w:t>
            </w:r>
          </w:p>
        </w:tc>
        <w:tc>
          <w:tcPr>
            <w:tcW w:type="dxa" w:w="4536"/>
            <w:shd w:fill="F5F7F8"/>
            <w:tcMar>
              <w:top w:w="55" w:type="dxa"/>
              <w:start w:w="70" w:type="dxa"/>
              <w:bottom w:w="55" w:type="dxa"/>
              <w:end w:w="70" w:type="dxa"/>
            </w:tcMar>
            <w:vAlign w:val="top"/>
          </w:tcPr>
          <w:p>
            <w:pPr>
              <w:pStyle w:val="TableText"/>
            </w:pPr>
            <w:r>
              <w:t>Independent food shops, restaurants, everyday services, rail-station access and mixed community.</w:t>
            </w:r>
          </w:p>
        </w:tc>
        <w:tc>
          <w:tcPr>
            <w:tcW w:type="dxa" w:w="2948"/>
            <w:shd w:fill="F5F7F8"/>
            <w:tcMar>
              <w:top w:w="55" w:type="dxa"/>
              <w:start w:w="70" w:type="dxa"/>
              <w:bottom w:w="55" w:type="dxa"/>
              <w:end w:w="70" w:type="dxa"/>
            </w:tcMar>
            <w:vAlign w:val="top"/>
          </w:tcPr>
          <w:p>
            <w:pPr>
              <w:pStyle w:val="TableText"/>
            </w:pPr>
            <w:r>
              <w:t>Busy road, variable bike storage and rising rent.</w:t>
            </w:r>
          </w:p>
        </w:tc>
      </w:tr>
      <w:tr>
        <w:trPr>
          <w:cantSplit w:val="true"/>
        </w:trPr>
        <w:tc>
          <w:tcPr>
            <w:tcW w:type="dxa" w:w="2268"/>
            <w:tcMar>
              <w:top w:w="55" w:type="dxa"/>
              <w:start w:w="70" w:type="dxa"/>
              <w:bottom w:w="55" w:type="dxa"/>
              <w:end w:w="70" w:type="dxa"/>
            </w:tcMar>
            <w:vAlign w:val="top"/>
          </w:tcPr>
          <w:p>
            <w:pPr>
              <w:pStyle w:val="TableText"/>
            </w:pPr>
            <w:r>
              <w:t>North / north-west: Arbury, Chesterton, Histon Road, Eddington</w:t>
            </w:r>
          </w:p>
        </w:tc>
        <w:tc>
          <w:tcPr>
            <w:tcW w:type="dxa" w:w="4536"/>
            <w:tcMar>
              <w:top w:w="55" w:type="dxa"/>
              <w:start w:w="70" w:type="dxa"/>
              <w:bottom w:w="55" w:type="dxa"/>
              <w:end w:w="70" w:type="dxa"/>
            </w:tcMar>
            <w:vAlign w:val="top"/>
          </w:tcPr>
          <w:p>
            <w:pPr>
              <w:pStyle w:val="TableText"/>
            </w:pPr>
            <w:r>
              <w:t>Residential options, routes to science sites and mature Colleges; larger supermarkets in some areas.</w:t>
            </w:r>
          </w:p>
        </w:tc>
        <w:tc>
          <w:tcPr>
            <w:tcW w:type="dxa" w:w="2948"/>
            <w:tcMar>
              <w:top w:w="55" w:type="dxa"/>
              <w:start w:w="70" w:type="dxa"/>
              <w:bottom w:w="55" w:type="dxa"/>
              <w:end w:w="70" w:type="dxa"/>
            </w:tcMar>
            <w:vAlign w:val="top"/>
          </w:tcPr>
          <w:p>
            <w:pPr>
              <w:pStyle w:val="TableText"/>
            </w:pPr>
            <w:r>
              <w:t>Cross-city journey to Addenbrooke’s or Homerton; check bus frequency.</w:t>
            </w:r>
          </w:p>
        </w:tc>
      </w:tr>
      <w:tr>
        <w:trPr>
          <w:cantSplit w:val="true"/>
        </w:trPr>
        <w:tc>
          <w:tcPr>
            <w:tcW w:type="dxa" w:w="2268"/>
            <w:shd w:fill="F5F7F8"/>
            <w:tcMar>
              <w:top w:w="55" w:type="dxa"/>
              <w:start w:w="70" w:type="dxa"/>
              <w:bottom w:w="55" w:type="dxa"/>
              <w:end w:w="70" w:type="dxa"/>
            </w:tcMar>
            <w:vAlign w:val="top"/>
          </w:tcPr>
          <w:p>
            <w:pPr>
              <w:pStyle w:val="TableText"/>
            </w:pPr>
            <w:r>
              <w:t>West / Newnham</w:t>
            </w:r>
          </w:p>
        </w:tc>
        <w:tc>
          <w:tcPr>
            <w:tcW w:type="dxa" w:w="4536"/>
            <w:shd w:fill="F5F7F8"/>
            <w:tcMar>
              <w:top w:w="55" w:type="dxa"/>
              <w:start w:w="70" w:type="dxa"/>
              <w:bottom w:w="55" w:type="dxa"/>
              <w:end w:w="70" w:type="dxa"/>
            </w:tcMar>
            <w:vAlign w:val="top"/>
          </w:tcPr>
          <w:p>
            <w:pPr>
              <w:pStyle w:val="TableText"/>
            </w:pPr>
            <w:r>
              <w:t>Sidgwick, UL and west Colleges; green routes and family appeal.</w:t>
            </w:r>
          </w:p>
        </w:tc>
        <w:tc>
          <w:tcPr>
            <w:tcW w:type="dxa" w:w="2948"/>
            <w:shd w:fill="F5F7F8"/>
            <w:tcMar>
              <w:top w:w="55" w:type="dxa"/>
              <w:start w:w="70" w:type="dxa"/>
              <w:bottom w:w="55" w:type="dxa"/>
              <w:end w:w="70" w:type="dxa"/>
            </w:tcMar>
            <w:vAlign w:val="top"/>
          </w:tcPr>
          <w:p>
            <w:pPr>
              <w:pStyle w:val="TableText"/>
            </w:pPr>
            <w:r>
              <w:t>High prices; fewer late shops in some pockets.</w:t>
            </w:r>
          </w:p>
        </w:tc>
      </w:tr>
      <w:tr>
        <w:trPr>
          <w:cantSplit w:val="true"/>
        </w:trPr>
        <w:tc>
          <w:tcPr>
            <w:tcW w:type="dxa" w:w="2268"/>
            <w:tcMar>
              <w:top w:w="55" w:type="dxa"/>
              <w:start w:w="70" w:type="dxa"/>
              <w:bottom w:w="55" w:type="dxa"/>
              <w:end w:w="70" w:type="dxa"/>
            </w:tcMar>
            <w:vAlign w:val="top"/>
          </w:tcPr>
          <w:p>
            <w:pPr>
              <w:pStyle w:val="TableText"/>
            </w:pPr>
            <w:r>
              <w:t>South / Trumpington / Biomedical Campus</w:t>
            </w:r>
          </w:p>
        </w:tc>
        <w:tc>
          <w:tcPr>
            <w:tcW w:type="dxa" w:w="4536"/>
            <w:tcMar>
              <w:top w:w="55" w:type="dxa"/>
              <w:start w:w="70" w:type="dxa"/>
              <w:bottom w:w="55" w:type="dxa"/>
              <w:end w:w="70" w:type="dxa"/>
            </w:tcMar>
            <w:vAlign w:val="top"/>
          </w:tcPr>
          <w:p>
            <w:pPr>
              <w:pStyle w:val="TableText"/>
            </w:pPr>
            <w:r>
              <w:t>Addenbrooke’s, Royal Papworth and life-science routes; newer housing.</w:t>
            </w:r>
          </w:p>
        </w:tc>
        <w:tc>
          <w:tcPr>
            <w:tcW w:type="dxa" w:w="2948"/>
            <w:tcMar>
              <w:top w:w="55" w:type="dxa"/>
              <w:start w:w="70" w:type="dxa"/>
              <w:bottom w:w="55" w:type="dxa"/>
              <w:end w:w="70" w:type="dxa"/>
            </w:tcMar>
            <w:vAlign w:val="top"/>
          </w:tcPr>
          <w:p>
            <w:pPr>
              <w:pStyle w:val="TableText"/>
            </w:pPr>
            <w:r>
              <w:t>Distance from central and west teaching; rapid-development traffic.</w:t>
            </w:r>
          </w:p>
        </w:tc>
      </w:tr>
      <w:tr>
        <w:trPr>
          <w:cantSplit w:val="true"/>
        </w:trPr>
        <w:tc>
          <w:tcPr>
            <w:tcW w:type="dxa" w:w="2268"/>
            <w:shd w:fill="F5F7F8"/>
            <w:tcMar>
              <w:top w:w="55" w:type="dxa"/>
              <w:start w:w="70" w:type="dxa"/>
              <w:bottom w:w="55" w:type="dxa"/>
              <w:end w:w="70" w:type="dxa"/>
            </w:tcMar>
            <w:vAlign w:val="top"/>
          </w:tcPr>
          <w:p>
            <w:pPr>
              <w:pStyle w:val="TableText"/>
            </w:pPr>
            <w:r>
              <w:t>East / Cherry Hinton / Fen Ditton</w:t>
            </w:r>
          </w:p>
        </w:tc>
        <w:tc>
          <w:tcPr>
            <w:tcW w:type="dxa" w:w="4536"/>
            <w:shd w:fill="F5F7F8"/>
            <w:tcMar>
              <w:top w:w="55" w:type="dxa"/>
              <w:start w:w="70" w:type="dxa"/>
              <w:bottom w:w="55" w:type="dxa"/>
              <w:end w:w="70" w:type="dxa"/>
            </w:tcMar>
            <w:vAlign w:val="top"/>
          </w:tcPr>
          <w:p>
            <w:pPr>
              <w:pStyle w:val="TableText"/>
            </w:pPr>
            <w:r>
              <w:t>Potentially more space and local services; access to some east/south sites.</w:t>
            </w:r>
          </w:p>
        </w:tc>
        <w:tc>
          <w:tcPr>
            <w:tcW w:type="dxa" w:w="2948"/>
            <w:shd w:fill="F5F7F8"/>
            <w:tcMar>
              <w:top w:w="55" w:type="dxa"/>
              <w:start w:w="70" w:type="dxa"/>
              <w:bottom w:w="55" w:type="dxa"/>
              <w:end w:w="70" w:type="dxa"/>
            </w:tcMar>
            <w:vAlign w:val="top"/>
          </w:tcPr>
          <w:p>
            <w:pPr>
              <w:pStyle w:val="TableText"/>
            </w:pPr>
            <w:r>
              <w:t>Longer journey to centre/west; test evening buses.</w:t>
            </w:r>
          </w:p>
        </w:tc>
      </w:tr>
      <w:tr>
        <w:trPr>
          <w:cantSplit w:val="true"/>
        </w:trPr>
        <w:tc>
          <w:tcPr>
            <w:tcW w:type="dxa" w:w="2268"/>
            <w:tcMar>
              <w:top w:w="55" w:type="dxa"/>
              <w:start w:w="70" w:type="dxa"/>
              <w:bottom w:w="55" w:type="dxa"/>
              <w:end w:w="70" w:type="dxa"/>
            </w:tcMar>
            <w:vAlign w:val="top"/>
          </w:tcPr>
          <w:p>
            <w:pPr>
              <w:pStyle w:val="TableText"/>
            </w:pPr>
            <w:r>
              <w:t>Girton and villages</w:t>
            </w:r>
          </w:p>
        </w:tc>
        <w:tc>
          <w:tcPr>
            <w:tcW w:type="dxa" w:w="4536"/>
            <w:tcMar>
              <w:top w:w="55" w:type="dxa"/>
              <w:start w:w="70" w:type="dxa"/>
              <w:bottom w:w="55" w:type="dxa"/>
              <w:end w:w="70" w:type="dxa"/>
            </w:tcMar>
            <w:vAlign w:val="top"/>
          </w:tcPr>
          <w:p>
            <w:pPr>
              <w:pStyle w:val="TableText"/>
            </w:pPr>
            <w:r>
              <w:t>Space, quieter household life and possible school continuity.</w:t>
            </w:r>
          </w:p>
        </w:tc>
        <w:tc>
          <w:tcPr>
            <w:tcW w:type="dxa" w:w="2948"/>
            <w:tcMar>
              <w:top w:w="55" w:type="dxa"/>
              <w:start w:w="70" w:type="dxa"/>
              <w:bottom w:w="55" w:type="dxa"/>
              <w:end w:w="70" w:type="dxa"/>
            </w:tcMar>
            <w:vAlign w:val="top"/>
          </w:tcPr>
          <w:p>
            <w:pPr>
              <w:pStyle w:val="TableText"/>
            </w:pPr>
            <w:r>
              <w:t>Weather-dependent commute, transport cost and social detachment.</w:t>
            </w:r>
          </w:p>
        </w:tc>
      </w:tr>
    </w:tbl>
    <w:p>
      <w:pPr>
        <w:spacing w:after="20"/>
      </w:pPr>
    </w:p>
    <w:p>
      <w:r>
        <w:t>These are orientation notes, not neighbourhood recommendations. Check live rent, safety, school admissions, flood risk, transport and your precise daily destinations before signing.</w:t>
      </w:r>
    </w:p>
    <w:p>
      <w:pPr>
        <w:pStyle w:val="Heading2"/>
        <w:keepNext/>
      </w:pPr>
      <w:r>
        <w:t>Schools</w:t>
      </w:r>
    </w:p>
    <w:p>
      <w:r>
        <w:t>State-school admissions are administered through Cambridgeshire County Council, not the University or your College. Catchment can matter but does not guarantee a place; in-year applications, oversubscription and moving dates can create gaps. Use the Council’s current admissions pages, check the school’s own admissions policy where applicable and call the admissions team on the published route. [L01]</w:t>
      </w:r>
    </w:p>
    <w:p>
      <w:pPr>
        <w:pStyle w:val="ListBullet"/>
        <w:spacing w:after="30" w:line="247" w:lineRule="auto"/>
        <w:ind w:left="312" w:hanging="142"/>
      </w:pPr>
      <w:r>
        <w:t>Do not sign a tenancy solely on an old catchment map. Verify the address and admissions year.</w:t>
      </w:r>
    </w:p>
    <w:p>
      <w:pPr>
        <w:pStyle w:val="ListBullet"/>
        <w:spacing w:after="30" w:line="247" w:lineRule="auto"/>
        <w:ind w:left="312" w:hanging="142"/>
      </w:pPr>
      <w:r>
        <w:t>Ask what evidence of address is required and when. A future College licence may be treated differently from a completed tenancy.</w:t>
      </w:r>
    </w:p>
    <w:p>
      <w:pPr>
        <w:pStyle w:val="ListBullet"/>
        <w:spacing w:after="30" w:line="247" w:lineRule="auto"/>
        <w:ind w:left="312" w:hanging="142"/>
      </w:pPr>
      <w:r>
        <w:t>Plan school travel and after-school care together; a place that begins at 08:45 may still be incompatible with a 09:00 laboratory.</w:t>
      </w:r>
    </w:p>
    <w:p>
      <w:pPr>
        <w:pStyle w:val="ListBullet"/>
        <w:spacing w:after="30" w:line="247" w:lineRule="auto"/>
        <w:ind w:left="312" w:hanging="142"/>
      </w:pPr>
      <w:r>
        <w:t>For SEND, contact the relevant local authority and school early; University disability support is for the student, not the child’s education.</w:t>
      </w:r>
    </w:p>
    <w:p>
      <w:pPr>
        <w:pStyle w:val="Heading2"/>
        <w:keepNext/>
      </w:pPr>
      <w:r>
        <w:t>Childcare</w:t>
      </w:r>
    </w:p>
    <w:p>
      <w:r>
        <w:t>University Childcare Services runs or coordinates workplace nursery provision, holiday schemes and information for families, and publishes material on support funds and parent networks. Eligibility, age ranges, opening weeks and waiting lists vary. Apply to multiple realistic providers and ask whether provision covers Full Term only, school holidays, staff closures and the weeks when Cambridge expects vacation study. [U18] [U31]</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572"/>
        <w:gridCol w:w="6180"/>
      </w:tblGrid>
      <w:tr>
        <w:trPr>
          <w:tblHeader w:val="true"/>
          <w:cantSplit w:val="true"/>
        </w:trPr>
        <w:tc>
          <w:tcPr>
            <w:tcW w:type="dxa" w:w="3572"/>
            <w:shd w:fill="17324D"/>
            <w:tcMar>
              <w:top w:w="70" w:type="dxa"/>
              <w:start w:w="80" w:type="dxa"/>
              <w:bottom w:w="70" w:type="dxa"/>
              <w:end w:w="80" w:type="dxa"/>
            </w:tcMar>
            <w:vAlign w:val="center"/>
          </w:tcPr>
          <w:p>
            <w:pPr>
              <w:pStyle w:val="TableText"/>
              <w:jc w:val="left"/>
            </w:pPr>
            <w:r>
              <w:rPr>
                <w:b/>
                <w:color w:val="FFFFFF"/>
                <w:sz w:val="15"/>
              </w:rPr>
              <w:t>Question</w:t>
            </w:r>
          </w:p>
        </w:tc>
        <w:tc>
          <w:tcPr>
            <w:tcW w:type="dxa" w:w="6180"/>
            <w:shd w:fill="17324D"/>
            <w:tcMar>
              <w:top w:w="70" w:type="dxa"/>
              <w:start w:w="80" w:type="dxa"/>
              <w:bottom w:w="70" w:type="dxa"/>
              <w:end w:w="80" w:type="dxa"/>
            </w:tcMar>
            <w:vAlign w:val="center"/>
          </w:tcPr>
          <w:p>
            <w:pPr>
              <w:pStyle w:val="TableText"/>
              <w:jc w:val="left"/>
            </w:pPr>
            <w:r>
              <w:rPr>
                <w:b/>
                <w:color w:val="FFFFFF"/>
                <w:sz w:val="15"/>
              </w:rPr>
              <w:t>Why it matters</w:t>
            </w:r>
          </w:p>
        </w:tc>
      </w:tr>
      <w:tr>
        <w:trPr>
          <w:cantSplit w:val="true"/>
        </w:trPr>
        <w:tc>
          <w:tcPr>
            <w:tcW w:type="dxa" w:w="3572"/>
            <w:tcMar>
              <w:top w:w="55" w:type="dxa"/>
              <w:start w:w="70" w:type="dxa"/>
              <w:bottom w:w="55" w:type="dxa"/>
              <w:end w:w="70" w:type="dxa"/>
            </w:tcMar>
            <w:vAlign w:val="top"/>
          </w:tcPr>
          <w:p>
            <w:pPr>
              <w:pStyle w:val="TableText"/>
            </w:pPr>
            <w:r>
              <w:t>What are the exact hours, late-collection rules and closure dates?</w:t>
            </w:r>
          </w:p>
        </w:tc>
        <w:tc>
          <w:tcPr>
            <w:tcW w:type="dxa" w:w="6180"/>
            <w:tcMar>
              <w:top w:w="55" w:type="dxa"/>
              <w:start w:w="70" w:type="dxa"/>
              <w:bottom w:w="55" w:type="dxa"/>
              <w:end w:w="70" w:type="dxa"/>
            </w:tcMar>
            <w:vAlign w:val="top"/>
          </w:tcPr>
          <w:p>
            <w:pPr>
              <w:pStyle w:val="TableText"/>
            </w:pPr>
            <w:r>
              <w:t>A supervision can move; a nursery closing time usually cannot.</w:t>
            </w:r>
          </w:p>
        </w:tc>
      </w:tr>
      <w:tr>
        <w:trPr>
          <w:cantSplit w:val="true"/>
        </w:trPr>
        <w:tc>
          <w:tcPr>
            <w:tcW w:type="dxa" w:w="3572"/>
            <w:shd w:fill="F5F7F8"/>
            <w:tcMar>
              <w:top w:w="55" w:type="dxa"/>
              <w:start w:w="70" w:type="dxa"/>
              <w:bottom w:w="55" w:type="dxa"/>
              <w:end w:w="70" w:type="dxa"/>
            </w:tcMar>
            <w:vAlign w:val="top"/>
          </w:tcPr>
          <w:p>
            <w:pPr>
              <w:pStyle w:val="TableText"/>
            </w:pPr>
            <w:r>
              <w:t>Is there a deposit and notice period?</w:t>
            </w:r>
          </w:p>
        </w:tc>
        <w:tc>
          <w:tcPr>
            <w:tcW w:type="dxa" w:w="6180"/>
            <w:shd w:fill="F5F7F8"/>
            <w:tcMar>
              <w:top w:w="55" w:type="dxa"/>
              <w:start w:w="70" w:type="dxa"/>
              <w:bottom w:w="55" w:type="dxa"/>
              <w:end w:w="70" w:type="dxa"/>
            </w:tcMar>
            <w:vAlign w:val="top"/>
          </w:tcPr>
          <w:p>
            <w:pPr>
              <w:pStyle w:val="TableText"/>
            </w:pPr>
            <w:r>
              <w:t>You may owe childcare after a timetable or housing change.</w:t>
            </w:r>
          </w:p>
        </w:tc>
      </w:tr>
      <w:tr>
        <w:trPr>
          <w:cantSplit w:val="true"/>
        </w:trPr>
        <w:tc>
          <w:tcPr>
            <w:tcW w:type="dxa" w:w="3572"/>
            <w:tcMar>
              <w:top w:w="55" w:type="dxa"/>
              <w:start w:w="70" w:type="dxa"/>
              <w:bottom w:w="55" w:type="dxa"/>
              <w:end w:w="70" w:type="dxa"/>
            </w:tcMar>
            <w:vAlign w:val="top"/>
          </w:tcPr>
          <w:p>
            <w:pPr>
              <w:pStyle w:val="TableText"/>
            </w:pPr>
            <w:r>
              <w:t>How are funded hours stretched across the year?</w:t>
            </w:r>
          </w:p>
        </w:tc>
        <w:tc>
          <w:tcPr>
            <w:tcW w:type="dxa" w:w="6180"/>
            <w:tcMar>
              <w:top w:w="55" w:type="dxa"/>
              <w:start w:w="70" w:type="dxa"/>
              <w:bottom w:w="55" w:type="dxa"/>
              <w:end w:w="70" w:type="dxa"/>
            </w:tcMar>
            <w:vAlign w:val="top"/>
          </w:tcPr>
          <w:p>
            <w:pPr>
              <w:pStyle w:val="TableText"/>
            </w:pPr>
            <w:r>
              <w:t>A headline entitlement may not cover University vacations.</w:t>
            </w:r>
          </w:p>
        </w:tc>
      </w:tr>
      <w:tr>
        <w:trPr>
          <w:cantSplit w:val="true"/>
        </w:trPr>
        <w:tc>
          <w:tcPr>
            <w:tcW w:type="dxa" w:w="3572"/>
            <w:shd w:fill="F5F7F8"/>
            <w:tcMar>
              <w:top w:w="55" w:type="dxa"/>
              <w:start w:w="70" w:type="dxa"/>
              <w:bottom w:w="55" w:type="dxa"/>
              <w:end w:w="70" w:type="dxa"/>
            </w:tcMar>
            <w:vAlign w:val="top"/>
          </w:tcPr>
          <w:p>
            <w:pPr>
              <w:pStyle w:val="TableText"/>
            </w:pPr>
            <w:r>
              <w:t>What happens when the child is ill?</w:t>
            </w:r>
          </w:p>
        </w:tc>
        <w:tc>
          <w:tcPr>
            <w:tcW w:type="dxa" w:w="6180"/>
            <w:shd w:fill="F5F7F8"/>
            <w:tcMar>
              <w:top w:w="55" w:type="dxa"/>
              <w:start w:w="70" w:type="dxa"/>
              <w:bottom w:w="55" w:type="dxa"/>
              <w:end w:w="70" w:type="dxa"/>
            </w:tcMar>
            <w:vAlign w:val="top"/>
          </w:tcPr>
          <w:p>
            <w:pPr>
              <w:pStyle w:val="TableText"/>
            </w:pPr>
            <w:r>
              <w:t>You need a backup plan and an academic communication plan.</w:t>
            </w:r>
          </w:p>
        </w:tc>
      </w:tr>
      <w:tr>
        <w:trPr>
          <w:cantSplit w:val="true"/>
        </w:trPr>
        <w:tc>
          <w:tcPr>
            <w:tcW w:type="dxa" w:w="3572"/>
            <w:tcMar>
              <w:top w:w="55" w:type="dxa"/>
              <w:start w:w="70" w:type="dxa"/>
              <w:bottom w:w="55" w:type="dxa"/>
              <w:end w:w="70" w:type="dxa"/>
            </w:tcMar>
            <w:vAlign w:val="top"/>
          </w:tcPr>
          <w:p>
            <w:pPr>
              <w:pStyle w:val="TableText"/>
            </w:pPr>
            <w:r>
              <w:t>Can you add occasional sessions?</w:t>
            </w:r>
          </w:p>
        </w:tc>
        <w:tc>
          <w:tcPr>
            <w:tcW w:type="dxa" w:w="6180"/>
            <w:tcMar>
              <w:top w:w="55" w:type="dxa"/>
              <w:start w:w="70" w:type="dxa"/>
              <w:bottom w:w="55" w:type="dxa"/>
              <w:end w:w="70" w:type="dxa"/>
            </w:tcMar>
            <w:vAlign w:val="top"/>
          </w:tcPr>
          <w:p>
            <w:pPr>
              <w:pStyle w:val="TableText"/>
            </w:pPr>
            <w:r>
              <w:t>Flexible top-ups may be unavailable at peak times.</w:t>
            </w:r>
          </w:p>
        </w:tc>
      </w:tr>
      <w:tr>
        <w:trPr>
          <w:cantSplit w:val="true"/>
        </w:trPr>
        <w:tc>
          <w:tcPr>
            <w:tcW w:type="dxa" w:w="3572"/>
            <w:shd w:fill="F5F7F8"/>
            <w:tcMar>
              <w:top w:w="55" w:type="dxa"/>
              <w:start w:w="70" w:type="dxa"/>
              <w:bottom w:w="55" w:type="dxa"/>
              <w:end w:w="70" w:type="dxa"/>
            </w:tcMar>
            <w:vAlign w:val="top"/>
          </w:tcPr>
          <w:p>
            <w:pPr>
              <w:pStyle w:val="TableText"/>
            </w:pPr>
            <w:r>
              <w:t>Is food, nappies or holiday care included?</w:t>
            </w:r>
          </w:p>
        </w:tc>
        <w:tc>
          <w:tcPr>
            <w:tcW w:type="dxa" w:w="6180"/>
            <w:shd w:fill="F5F7F8"/>
            <w:tcMar>
              <w:top w:w="55" w:type="dxa"/>
              <w:start w:w="70" w:type="dxa"/>
              <w:bottom w:w="55" w:type="dxa"/>
              <w:end w:w="70" w:type="dxa"/>
            </w:tcMar>
            <w:vAlign w:val="top"/>
          </w:tcPr>
          <w:p>
            <w:pPr>
              <w:pStyle w:val="TableText"/>
            </w:pPr>
            <w:r>
              <w:t>These materially change the real monthly cost.</w:t>
            </w:r>
          </w:p>
        </w:tc>
      </w:tr>
    </w:tbl>
    <w:p>
      <w:pPr>
        <w:spacing w:after="20"/>
      </w:pPr>
    </w:p>
    <w:p>
      <w:pPr>
        <w:pStyle w:val="Heading2"/>
        <w:keepNext/>
      </w:pPr>
      <w:r>
        <w:t>Shopping and practical services</w:t>
      </w:r>
    </w:p>
    <w:p>
      <w:r>
        <w:t>Market Square hosts independent traders across the week, useful for food, household items and gifts. The Grand Arcade and Lion Yard provide central chain retail; Mill Road has independent grocers, international food shops, cafés and services; larger supermarkets and retail parks sit on routes such as Newmarket Road and around Trumpington. [L03]</w:t>
      </w:r>
    </w:p>
    <w:p>
      <w:pPr>
        <w:pStyle w:val="ListBullet"/>
        <w:spacing w:after="30" w:line="247" w:lineRule="auto"/>
        <w:ind w:left="312" w:hanging="142"/>
      </w:pPr>
      <w:r>
        <w:t>Build a “ten-minute essentials” map: late pharmacy, affordable supermarket, cashpoint, GP, bike repair, parcel collection and safe evening route.</w:t>
      </w:r>
    </w:p>
    <w:p>
      <w:pPr>
        <w:pStyle w:val="ListBullet"/>
        <w:spacing w:after="30" w:line="247" w:lineRule="auto"/>
        <w:ind w:left="312" w:hanging="142"/>
      </w:pPr>
      <w:r>
        <w:t>Delivery can save time but College vehicle access and porter acceptance vary. Ask how groceries, medication and large parcels are handled.</w:t>
      </w:r>
    </w:p>
    <w:p>
      <w:pPr>
        <w:pStyle w:val="ListBullet"/>
        <w:spacing w:after="30" w:line="247" w:lineRule="auto"/>
        <w:ind w:left="312" w:hanging="142"/>
      </w:pPr>
      <w:r>
        <w:t>College laundries may be cashless and busy. Check access, drying cost and whether family-sized loads are realistic.</w:t>
      </w:r>
    </w:p>
    <w:p>
      <w:pPr>
        <w:pStyle w:val="ListBullet"/>
        <w:spacing w:after="30" w:line="247" w:lineRule="auto"/>
        <w:ind w:left="312" w:hanging="142"/>
      </w:pPr>
      <w:r>
        <w:t>Cambridge prices reward routine: one weekly shop, packed lunch and a planned café budget can matter more than heroic abstinence in Week 8.</w:t>
      </w:r>
    </w:p>
    <w:p>
      <w:pPr>
        <w:pStyle w:val="Heading2"/>
        <w:keepNext/>
      </w:pPr>
      <w:r>
        <w:t>Where to go for what: a practical town map</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100"/>
            <w:shd w:fill="17324D" w:val="clear"/>
            <w:vAlign w:val="center"/>
          </w:tcPr>
          <w:p>
            <w:pPr>
              <w:spacing w:after="20"/>
              <w:jc w:val="left"/>
            </w:pPr>
            <w:r>
              <w:rPr>
                <w:rFonts w:ascii="Lato" w:hAnsi="Lato"/>
                <w:b/>
                <w:color w:val="FFFFFF"/>
                <w:sz w:val="15"/>
              </w:rPr>
              <w:t>Need</w:t>
            </w:r>
          </w:p>
        </w:tc>
        <w:tc>
          <w:tcPr>
            <w:tcW w:type="dxa" w:w="4300"/>
            <w:shd w:fill="17324D" w:val="clear"/>
            <w:vAlign w:val="center"/>
          </w:tcPr>
          <w:p>
            <w:pPr>
              <w:spacing w:after="20"/>
              <w:jc w:val="left"/>
            </w:pPr>
            <w:r>
              <w:rPr>
                <w:rFonts w:ascii="Lato" w:hAnsi="Lato"/>
                <w:b/>
                <w:color w:val="FFFFFF"/>
                <w:sz w:val="15"/>
              </w:rPr>
              <w:t>Useful area / route</w:t>
            </w:r>
          </w:p>
        </w:tc>
        <w:tc>
          <w:tcPr>
            <w:tcW w:type="dxa" w:w="3636"/>
            <w:shd w:fill="17324D" w:val="clear"/>
            <w:vAlign w:val="center"/>
          </w:tcPr>
          <w:p>
            <w:pPr>
              <w:spacing w:after="20"/>
              <w:jc w:val="left"/>
            </w:pPr>
            <w:r>
              <w:rPr>
                <w:rFonts w:ascii="Lato" w:hAnsi="Lato"/>
                <w:b/>
                <w:color w:val="FFFFFF"/>
                <w:sz w:val="15"/>
              </w:rPr>
              <w:t>Adult-student caution</w:t>
            </w:r>
          </w:p>
        </w:tc>
      </w:tr>
      <w:tr>
        <w:trPr>
          <w:cantSplit w:val="true"/>
        </w:trPr>
        <w:tc>
          <w:tcPr>
            <w:tcW w:type="dxa" w:w="2100"/>
            <w:vAlign w:val="top"/>
          </w:tcPr>
          <w:p>
            <w:pPr>
              <w:spacing w:after="24" w:line="240" w:lineRule="auto"/>
            </w:pPr>
            <w:r/>
            <w:r>
              <w:rPr>
                <w:rFonts w:ascii="Lato" w:hAnsi="Lato"/>
                <w:color w:val="222222"/>
                <w:sz w:val="14"/>
              </w:rPr>
              <w:t>Quick central errands</w:t>
            </w:r>
          </w:p>
        </w:tc>
        <w:tc>
          <w:tcPr>
            <w:tcW w:type="dxa" w:w="4300"/>
            <w:vAlign w:val="top"/>
          </w:tcPr>
          <w:p>
            <w:pPr>
              <w:spacing w:after="24" w:line="240" w:lineRule="auto"/>
            </w:pPr>
            <w:r/>
            <w:r>
              <w:rPr>
                <w:rFonts w:ascii="Lato" w:hAnsi="Lato"/>
                <w:color w:val="222222"/>
                <w:sz w:val="14"/>
              </w:rPr>
              <w:t>Market Square, Grand Arcade/Lion Yard and the streets around the historic centre.</w:t>
            </w:r>
          </w:p>
        </w:tc>
        <w:tc>
          <w:tcPr>
            <w:tcW w:type="dxa" w:w="3636"/>
            <w:vAlign w:val="top"/>
          </w:tcPr>
          <w:p>
            <w:pPr>
              <w:spacing w:after="24" w:line="240" w:lineRule="auto"/>
            </w:pPr>
            <w:r/>
            <w:r>
              <w:rPr>
                <w:rFonts w:ascii="Lato" w:hAnsi="Lato"/>
                <w:color w:val="222222"/>
                <w:sz w:val="14"/>
              </w:rPr>
              <w:t>Convenient but often busy and not the cheapest weekly shop.</w:t>
            </w:r>
          </w:p>
        </w:tc>
      </w:tr>
      <w:tr>
        <w:trPr>
          <w:cantSplit w:val="true"/>
        </w:trPr>
        <w:tc>
          <w:tcPr>
            <w:tcW w:type="dxa" w:w="2100"/>
            <w:shd w:fill="F5F7F8" w:val="clear"/>
            <w:vAlign w:val="top"/>
          </w:tcPr>
          <w:p>
            <w:pPr>
              <w:spacing w:after="24" w:line="240" w:lineRule="auto"/>
            </w:pPr>
            <w:r/>
            <w:r>
              <w:rPr>
                <w:rFonts w:ascii="Lato" w:hAnsi="Lato"/>
                <w:color w:val="222222"/>
                <w:sz w:val="14"/>
              </w:rPr>
              <w:t>Independent and international food</w:t>
            </w:r>
          </w:p>
        </w:tc>
        <w:tc>
          <w:tcPr>
            <w:tcW w:type="dxa" w:w="4300"/>
            <w:shd w:fill="F5F7F8" w:val="clear"/>
            <w:vAlign w:val="top"/>
          </w:tcPr>
          <w:p>
            <w:pPr>
              <w:spacing w:after="24" w:line="240" w:lineRule="auto"/>
            </w:pPr>
            <w:r/>
            <w:r>
              <w:rPr>
                <w:rFonts w:ascii="Lato" w:hAnsi="Lato"/>
                <w:color w:val="222222"/>
                <w:sz w:val="14"/>
              </w:rPr>
              <w:t>Mill Road and its side streets.</w:t>
            </w:r>
          </w:p>
        </w:tc>
        <w:tc>
          <w:tcPr>
            <w:tcW w:type="dxa" w:w="3636"/>
            <w:shd w:fill="F5F7F8" w:val="clear"/>
            <w:vAlign w:val="top"/>
          </w:tcPr>
          <w:p>
            <w:pPr>
              <w:spacing w:after="24" w:line="240" w:lineRule="auto"/>
            </w:pPr>
            <w:r/>
            <w:r>
              <w:rPr>
                <w:rFonts w:ascii="Lato" w:hAnsi="Lato"/>
                <w:color w:val="222222"/>
                <w:sz w:val="14"/>
              </w:rPr>
              <w:t>Parking is difficult; a bike, bus or delivery may be easier.</w:t>
            </w:r>
          </w:p>
        </w:tc>
      </w:tr>
      <w:tr>
        <w:trPr>
          <w:cantSplit w:val="true"/>
        </w:trPr>
        <w:tc>
          <w:tcPr>
            <w:tcW w:type="dxa" w:w="2100"/>
            <w:vAlign w:val="top"/>
          </w:tcPr>
          <w:p>
            <w:pPr>
              <w:spacing w:after="24" w:line="240" w:lineRule="auto"/>
            </w:pPr>
            <w:r/>
            <w:r>
              <w:rPr>
                <w:rFonts w:ascii="Lato" w:hAnsi="Lato"/>
                <w:color w:val="222222"/>
                <w:sz w:val="14"/>
              </w:rPr>
              <w:t>Large supermarket / household shop</w:t>
            </w:r>
          </w:p>
        </w:tc>
        <w:tc>
          <w:tcPr>
            <w:tcW w:type="dxa" w:w="4300"/>
            <w:vAlign w:val="top"/>
          </w:tcPr>
          <w:p>
            <w:pPr>
              <w:spacing w:after="24" w:line="240" w:lineRule="auto"/>
            </w:pPr>
            <w:r/>
            <w:r>
              <w:rPr>
                <w:rFonts w:ascii="Lato" w:hAnsi="Lato"/>
                <w:color w:val="222222"/>
                <w:sz w:val="14"/>
              </w:rPr>
              <w:t>Newmarket Road/retail-park corridor and larger stores around Trumpington and the city edge.</w:t>
            </w:r>
          </w:p>
        </w:tc>
        <w:tc>
          <w:tcPr>
            <w:tcW w:type="dxa" w:w="3636"/>
            <w:vAlign w:val="top"/>
          </w:tcPr>
          <w:p>
            <w:pPr>
              <w:spacing w:after="24" w:line="240" w:lineRule="auto"/>
            </w:pPr>
            <w:r/>
            <w:r>
              <w:rPr>
                <w:rFonts w:ascii="Lato" w:hAnsi="Lato"/>
                <w:color w:val="222222"/>
                <w:sz w:val="14"/>
              </w:rPr>
              <w:t>Test the trip without a car and include the return with heavy bags.</w:t>
            </w:r>
          </w:p>
        </w:tc>
      </w:tr>
      <w:tr>
        <w:trPr>
          <w:cantSplit w:val="true"/>
        </w:trPr>
        <w:tc>
          <w:tcPr>
            <w:tcW w:type="dxa" w:w="2100"/>
            <w:shd w:fill="F5F7F8" w:val="clear"/>
            <w:vAlign w:val="top"/>
          </w:tcPr>
          <w:p>
            <w:pPr>
              <w:spacing w:after="24" w:line="240" w:lineRule="auto"/>
            </w:pPr>
            <w:r/>
            <w:r>
              <w:rPr>
                <w:rFonts w:ascii="Lato" w:hAnsi="Lato"/>
                <w:color w:val="222222"/>
                <w:sz w:val="14"/>
              </w:rPr>
              <w:t>Family day or free culture</w:t>
            </w:r>
          </w:p>
        </w:tc>
        <w:tc>
          <w:tcPr>
            <w:tcW w:type="dxa" w:w="4300"/>
            <w:shd w:fill="F5F7F8" w:val="clear"/>
            <w:vAlign w:val="top"/>
          </w:tcPr>
          <w:p>
            <w:pPr>
              <w:spacing w:after="24" w:line="240" w:lineRule="auto"/>
            </w:pPr>
            <w:r/>
            <w:r>
              <w:rPr>
                <w:rFonts w:ascii="Lato" w:hAnsi="Lato"/>
                <w:color w:val="222222"/>
                <w:sz w:val="14"/>
              </w:rPr>
              <w:t>University museums, public parks, river walks and College grounds where visitors are permitted.</w:t>
            </w:r>
          </w:p>
        </w:tc>
        <w:tc>
          <w:tcPr>
            <w:tcW w:type="dxa" w:w="3636"/>
            <w:shd w:fill="F5F7F8" w:val="clear"/>
            <w:vAlign w:val="top"/>
          </w:tcPr>
          <w:p>
            <w:pPr>
              <w:spacing w:after="24" w:line="240" w:lineRule="auto"/>
            </w:pPr>
            <w:r/>
            <w:r>
              <w:rPr>
                <w:rFonts w:ascii="Lato" w:hAnsi="Lato"/>
                <w:color w:val="222222"/>
                <w:sz w:val="14"/>
              </w:rPr>
              <w:t>College access and child rules vary; museums have their own opening days.</w:t>
            </w:r>
          </w:p>
        </w:tc>
      </w:tr>
      <w:tr>
        <w:trPr>
          <w:cantSplit w:val="true"/>
        </w:trPr>
        <w:tc>
          <w:tcPr>
            <w:tcW w:type="dxa" w:w="2100"/>
            <w:vAlign w:val="top"/>
          </w:tcPr>
          <w:p>
            <w:pPr>
              <w:spacing w:after="24" w:line="240" w:lineRule="auto"/>
            </w:pPr>
            <w:r/>
            <w:r>
              <w:rPr>
                <w:rFonts w:ascii="Lato" w:hAnsi="Lato"/>
                <w:color w:val="222222"/>
                <w:sz w:val="14"/>
              </w:rPr>
              <w:t>Swimming / public leisure</w:t>
            </w:r>
          </w:p>
        </w:tc>
        <w:tc>
          <w:tcPr>
            <w:tcW w:type="dxa" w:w="4300"/>
            <w:vAlign w:val="top"/>
          </w:tcPr>
          <w:p>
            <w:pPr>
              <w:spacing w:after="24" w:line="240" w:lineRule="auto"/>
            </w:pPr>
            <w:r/>
            <w:r>
              <w:rPr>
                <w:rFonts w:ascii="Lato" w:hAnsi="Lato"/>
                <w:color w:val="222222"/>
                <w:sz w:val="14"/>
              </w:rPr>
              <w:t>City leisure centres and Jesus Green Lido in season; University Sports Centre for gym/courts rather than a municipal pool.</w:t>
            </w:r>
          </w:p>
        </w:tc>
        <w:tc>
          <w:tcPr>
            <w:tcW w:type="dxa" w:w="3636"/>
            <w:vAlign w:val="top"/>
          </w:tcPr>
          <w:p>
            <w:pPr>
              <w:spacing w:after="24" w:line="240" w:lineRule="auto"/>
            </w:pPr>
            <w:r/>
            <w:r>
              <w:rPr>
                <w:rFonts w:ascii="Lato" w:hAnsi="Lato"/>
                <w:color w:val="222222"/>
                <w:sz w:val="14"/>
              </w:rPr>
              <w:t>Check family changing, accessibility, concessions and vacation timetables.</w:t>
            </w:r>
          </w:p>
        </w:tc>
      </w:tr>
      <w:tr>
        <w:trPr>
          <w:cantSplit w:val="true"/>
        </w:trPr>
        <w:tc>
          <w:tcPr>
            <w:tcW w:type="dxa" w:w="2100"/>
            <w:shd w:fill="F5F7F8" w:val="clear"/>
            <w:vAlign w:val="top"/>
          </w:tcPr>
          <w:p>
            <w:pPr>
              <w:spacing w:after="24" w:line="240" w:lineRule="auto"/>
            </w:pPr>
            <w:r/>
            <w:r>
              <w:rPr>
                <w:rFonts w:ascii="Lato" w:hAnsi="Lato"/>
                <w:color w:val="222222"/>
                <w:sz w:val="14"/>
              </w:rPr>
              <w:t>Evening contingency</w:t>
            </w:r>
          </w:p>
        </w:tc>
        <w:tc>
          <w:tcPr>
            <w:tcW w:type="dxa" w:w="4300"/>
            <w:shd w:fill="F5F7F8" w:val="clear"/>
            <w:vAlign w:val="top"/>
          </w:tcPr>
          <w:p>
            <w:pPr>
              <w:spacing w:after="24" w:line="240" w:lineRule="auto"/>
            </w:pPr>
            <w:r/>
            <w:r>
              <w:rPr>
                <w:rFonts w:ascii="Lato" w:hAnsi="Lato"/>
                <w:color w:val="222222"/>
                <w:sz w:val="14"/>
              </w:rPr>
              <w:t>Know one late pharmacy, one taxi route, the station route and the safest lit cycle/walking route home.</w:t>
            </w:r>
          </w:p>
        </w:tc>
        <w:tc>
          <w:tcPr>
            <w:tcW w:type="dxa" w:w="3636"/>
            <w:shd w:fill="F5F7F8" w:val="clear"/>
            <w:vAlign w:val="top"/>
          </w:tcPr>
          <w:p>
            <w:pPr>
              <w:spacing w:after="24" w:line="240" w:lineRule="auto"/>
            </w:pPr>
            <w:r/>
            <w:r>
              <w:rPr>
                <w:rFonts w:ascii="Lato" w:hAnsi="Lato"/>
                <w:color w:val="222222"/>
                <w:sz w:val="14"/>
              </w:rPr>
              <w:t>Buses thin out; missed last transport is a childcare and safety problem, not only an inconvenience.</w:t>
            </w:r>
          </w:p>
        </w:tc>
      </w:tr>
    </w:tbl>
    <w:p>
      <w:pPr>
        <w:pStyle w:val="Heading2"/>
        <w:keepNext/>
      </w:pPr>
      <w:r>
        <w:t>Gyms, swimming and movement</w:t>
      </w:r>
    </w:p>
    <w:p>
      <w:r>
        <w:t>The University Sports Centre offers a gym, strength-and-conditioning areas, classes, sports halls and outdoor facilities, with disability-sport provision; it does not function as a general municipal swimming pool. Colleges may have small gyms, courts or reciprocal arrangements with different hours and eligibility. [U19]</w:t>
      </w:r>
    </w:p>
    <w:p>
      <w:r>
        <w:t>Jesus Green Lido is a long outdoor pool with seasonal operation and accessibility information including a pool hoist; public leisure centres provide other swimming options. Check current timetables and concessions. [L04]</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438"/>
        <w:gridCol w:w="3628"/>
        <w:gridCol w:w="3685"/>
      </w:tblGrid>
      <w:tr>
        <w:trPr>
          <w:tblHeader w:val="true"/>
          <w:cantSplit w:val="true"/>
        </w:trPr>
        <w:tc>
          <w:tcPr>
            <w:tcW w:type="dxa" w:w="2438"/>
            <w:shd w:fill="17324D"/>
            <w:tcMar>
              <w:top w:w="70" w:type="dxa"/>
              <w:start w:w="80" w:type="dxa"/>
              <w:bottom w:w="70" w:type="dxa"/>
              <w:end w:w="80" w:type="dxa"/>
            </w:tcMar>
            <w:vAlign w:val="center"/>
          </w:tcPr>
          <w:p>
            <w:pPr>
              <w:pStyle w:val="TableText"/>
              <w:jc w:val="left"/>
            </w:pPr>
            <w:r>
              <w:rPr>
                <w:b/>
                <w:color w:val="FFFFFF"/>
                <w:sz w:val="15"/>
              </w:rPr>
              <w:t>Option</w:t>
            </w:r>
          </w:p>
        </w:tc>
        <w:tc>
          <w:tcPr>
            <w:tcW w:type="dxa" w:w="3628"/>
            <w:shd w:fill="17324D"/>
            <w:tcMar>
              <w:top w:w="70" w:type="dxa"/>
              <w:start w:w="80" w:type="dxa"/>
              <w:bottom w:w="70" w:type="dxa"/>
              <w:end w:w="80" w:type="dxa"/>
            </w:tcMar>
            <w:vAlign w:val="center"/>
          </w:tcPr>
          <w:p>
            <w:pPr>
              <w:pStyle w:val="TableText"/>
              <w:jc w:val="left"/>
            </w:pPr>
            <w:r>
              <w:rPr>
                <w:b/>
                <w:color w:val="FFFFFF"/>
                <w:sz w:val="15"/>
              </w:rPr>
              <w:t>Good for</w:t>
            </w:r>
          </w:p>
        </w:tc>
        <w:tc>
          <w:tcPr>
            <w:tcW w:type="dxa" w:w="3685"/>
            <w:shd w:fill="17324D"/>
            <w:tcMar>
              <w:top w:w="70" w:type="dxa"/>
              <w:start w:w="80" w:type="dxa"/>
              <w:bottom w:w="70" w:type="dxa"/>
              <w:end w:w="80" w:type="dxa"/>
            </w:tcMar>
            <w:vAlign w:val="center"/>
          </w:tcPr>
          <w:p>
            <w:pPr>
              <w:pStyle w:val="TableText"/>
              <w:jc w:val="left"/>
            </w:pPr>
            <w:r>
              <w:rPr>
                <w:b/>
                <w:color w:val="FFFFFF"/>
                <w:sz w:val="15"/>
              </w:rPr>
              <w:t>Question before paying</w:t>
            </w:r>
          </w:p>
        </w:tc>
      </w:tr>
      <w:tr>
        <w:trPr>
          <w:cantSplit w:val="true"/>
        </w:trPr>
        <w:tc>
          <w:tcPr>
            <w:tcW w:type="dxa" w:w="2438"/>
            <w:tcMar>
              <w:top w:w="55" w:type="dxa"/>
              <w:start w:w="70" w:type="dxa"/>
              <w:bottom w:w="55" w:type="dxa"/>
              <w:end w:w="70" w:type="dxa"/>
            </w:tcMar>
            <w:vAlign w:val="top"/>
          </w:tcPr>
          <w:p>
            <w:pPr>
              <w:pStyle w:val="TableText"/>
            </w:pPr>
            <w:r>
              <w:t>University Sports Centre</w:t>
            </w:r>
          </w:p>
        </w:tc>
        <w:tc>
          <w:tcPr>
            <w:tcW w:type="dxa" w:w="3628"/>
            <w:tcMar>
              <w:top w:w="55" w:type="dxa"/>
              <w:start w:w="70" w:type="dxa"/>
              <w:bottom w:w="55" w:type="dxa"/>
              <w:end w:w="70" w:type="dxa"/>
            </w:tcMar>
            <w:vAlign w:val="top"/>
          </w:tcPr>
          <w:p>
            <w:pPr>
              <w:pStyle w:val="TableText"/>
            </w:pPr>
            <w:r>
              <w:t>Serious training, classes, courts, University clubs.</w:t>
            </w:r>
          </w:p>
        </w:tc>
        <w:tc>
          <w:tcPr>
            <w:tcW w:type="dxa" w:w="3685"/>
            <w:tcMar>
              <w:top w:w="55" w:type="dxa"/>
              <w:start w:w="70" w:type="dxa"/>
              <w:bottom w:w="55" w:type="dxa"/>
              <w:end w:w="70" w:type="dxa"/>
            </w:tcMar>
            <w:vAlign w:val="top"/>
          </w:tcPr>
          <w:p>
            <w:pPr>
              <w:pStyle w:val="TableText"/>
            </w:pPr>
            <w:r>
              <w:t>Student rate, induction, peak crowding, childcare and vacation opening.</w:t>
            </w:r>
          </w:p>
        </w:tc>
      </w:tr>
      <w:tr>
        <w:trPr>
          <w:cantSplit w:val="true"/>
        </w:trPr>
        <w:tc>
          <w:tcPr>
            <w:tcW w:type="dxa" w:w="2438"/>
            <w:shd w:fill="F5F7F8"/>
            <w:tcMar>
              <w:top w:w="55" w:type="dxa"/>
              <w:start w:w="70" w:type="dxa"/>
              <w:bottom w:w="55" w:type="dxa"/>
              <w:end w:w="70" w:type="dxa"/>
            </w:tcMar>
            <w:vAlign w:val="top"/>
          </w:tcPr>
          <w:p>
            <w:pPr>
              <w:pStyle w:val="TableText"/>
            </w:pPr>
            <w:r>
              <w:t>College gym</w:t>
            </w:r>
          </w:p>
        </w:tc>
        <w:tc>
          <w:tcPr>
            <w:tcW w:type="dxa" w:w="3628"/>
            <w:shd w:fill="F5F7F8"/>
            <w:tcMar>
              <w:top w:w="55" w:type="dxa"/>
              <w:start w:w="70" w:type="dxa"/>
              <w:bottom w:w="55" w:type="dxa"/>
              <w:end w:w="70" w:type="dxa"/>
            </w:tcMar>
            <w:vAlign w:val="top"/>
          </w:tcPr>
          <w:p>
            <w:pPr>
              <w:pStyle w:val="TableText"/>
            </w:pPr>
            <w:r>
              <w:t>Convenience and low friction.</w:t>
            </w:r>
          </w:p>
        </w:tc>
        <w:tc>
          <w:tcPr>
            <w:tcW w:type="dxa" w:w="3685"/>
            <w:shd w:fill="F5F7F8"/>
            <w:tcMar>
              <w:top w:w="55" w:type="dxa"/>
              <w:start w:w="70" w:type="dxa"/>
              <w:bottom w:w="55" w:type="dxa"/>
              <w:end w:w="70" w:type="dxa"/>
            </w:tcMar>
            <w:vAlign w:val="top"/>
          </w:tcPr>
          <w:p>
            <w:pPr>
              <w:pStyle w:val="TableText"/>
            </w:pPr>
            <w:r>
              <w:t>Equipment, accessibility, induction, guest/partner access and opening hours.</w:t>
            </w:r>
          </w:p>
        </w:tc>
      </w:tr>
      <w:tr>
        <w:trPr>
          <w:cantSplit w:val="true"/>
        </w:trPr>
        <w:tc>
          <w:tcPr>
            <w:tcW w:type="dxa" w:w="2438"/>
            <w:tcMar>
              <w:top w:w="55" w:type="dxa"/>
              <w:start w:w="70" w:type="dxa"/>
              <w:bottom w:w="55" w:type="dxa"/>
              <w:end w:w="70" w:type="dxa"/>
            </w:tcMar>
            <w:vAlign w:val="top"/>
          </w:tcPr>
          <w:p>
            <w:pPr>
              <w:pStyle w:val="TableText"/>
            </w:pPr>
            <w:r>
              <w:t>Public leisure centre/pool</w:t>
            </w:r>
          </w:p>
        </w:tc>
        <w:tc>
          <w:tcPr>
            <w:tcW w:type="dxa" w:w="3628"/>
            <w:tcMar>
              <w:top w:w="55" w:type="dxa"/>
              <w:start w:w="70" w:type="dxa"/>
              <w:bottom w:w="55" w:type="dxa"/>
              <w:end w:w="70" w:type="dxa"/>
            </w:tcMar>
            <w:vAlign w:val="top"/>
          </w:tcPr>
          <w:p>
            <w:pPr>
              <w:pStyle w:val="TableText"/>
            </w:pPr>
            <w:r>
              <w:t>Swimming and household memberships.</w:t>
            </w:r>
          </w:p>
        </w:tc>
        <w:tc>
          <w:tcPr>
            <w:tcW w:type="dxa" w:w="3685"/>
            <w:tcMar>
              <w:top w:w="55" w:type="dxa"/>
              <w:start w:w="70" w:type="dxa"/>
              <w:bottom w:w="55" w:type="dxa"/>
              <w:end w:w="70" w:type="dxa"/>
            </w:tcMar>
            <w:vAlign w:val="top"/>
          </w:tcPr>
          <w:p>
            <w:pPr>
              <w:pStyle w:val="TableText"/>
            </w:pPr>
            <w:r>
              <w:t>Travel, class booking, family changing and term-time price.</w:t>
            </w:r>
          </w:p>
        </w:tc>
      </w:tr>
      <w:tr>
        <w:trPr>
          <w:cantSplit w:val="true"/>
        </w:trPr>
        <w:tc>
          <w:tcPr>
            <w:tcW w:type="dxa" w:w="2438"/>
            <w:shd w:fill="F5F7F8"/>
            <w:tcMar>
              <w:top w:w="55" w:type="dxa"/>
              <w:start w:w="70" w:type="dxa"/>
              <w:bottom w:w="55" w:type="dxa"/>
              <w:end w:w="70" w:type="dxa"/>
            </w:tcMar>
            <w:vAlign w:val="top"/>
          </w:tcPr>
          <w:p>
            <w:pPr>
              <w:pStyle w:val="TableText"/>
            </w:pPr>
            <w:r>
              <w:t>Walking/cycling/running</w:t>
            </w:r>
          </w:p>
        </w:tc>
        <w:tc>
          <w:tcPr>
            <w:tcW w:type="dxa" w:w="3628"/>
            <w:shd w:fill="F5F7F8"/>
            <w:tcMar>
              <w:top w:w="55" w:type="dxa"/>
              <w:start w:w="70" w:type="dxa"/>
              <w:bottom w:w="55" w:type="dxa"/>
              <w:end w:w="70" w:type="dxa"/>
            </w:tcMar>
            <w:vAlign w:val="top"/>
          </w:tcPr>
          <w:p>
            <w:pPr>
              <w:pStyle w:val="TableText"/>
            </w:pPr>
            <w:r>
              <w:t>Daily movement without another appointment.</w:t>
            </w:r>
          </w:p>
        </w:tc>
        <w:tc>
          <w:tcPr>
            <w:tcW w:type="dxa" w:w="3685"/>
            <w:shd w:fill="F5F7F8"/>
            <w:tcMar>
              <w:top w:w="55" w:type="dxa"/>
              <w:start w:w="70" w:type="dxa"/>
              <w:bottom w:w="55" w:type="dxa"/>
              <w:end w:w="70" w:type="dxa"/>
            </w:tcMar>
            <w:vAlign w:val="top"/>
          </w:tcPr>
          <w:p>
            <w:pPr>
              <w:pStyle w:val="TableText"/>
            </w:pPr>
            <w:r>
              <w:t>Lighting, secure route, storage, weather and disability access.</w:t>
            </w:r>
          </w:p>
        </w:tc>
      </w:tr>
      <w:tr>
        <w:trPr>
          <w:cantSplit w:val="true"/>
        </w:trPr>
        <w:tc>
          <w:tcPr>
            <w:tcW w:type="dxa" w:w="2438"/>
            <w:tcMar>
              <w:top w:w="55" w:type="dxa"/>
              <w:start w:w="70" w:type="dxa"/>
              <w:bottom w:w="55" w:type="dxa"/>
              <w:end w:w="70" w:type="dxa"/>
            </w:tcMar>
            <w:vAlign w:val="top"/>
          </w:tcPr>
          <w:p>
            <w:pPr>
              <w:pStyle w:val="TableText"/>
            </w:pPr>
            <w:r>
              <w:t>Sports clubs</w:t>
            </w:r>
          </w:p>
        </w:tc>
        <w:tc>
          <w:tcPr>
            <w:tcW w:type="dxa" w:w="3628"/>
            <w:tcMar>
              <w:top w:w="55" w:type="dxa"/>
              <w:start w:w="70" w:type="dxa"/>
              <w:bottom w:w="55" w:type="dxa"/>
              <w:end w:w="70" w:type="dxa"/>
            </w:tcMar>
            <w:vAlign w:val="top"/>
          </w:tcPr>
          <w:p>
            <w:pPr>
              <w:pStyle w:val="TableText"/>
            </w:pPr>
            <w:r>
              <w:t>Community and structure; novice teams often welcome beginners.</w:t>
            </w:r>
          </w:p>
        </w:tc>
        <w:tc>
          <w:tcPr>
            <w:tcW w:type="dxa" w:w="3685"/>
            <w:tcMar>
              <w:top w:w="55" w:type="dxa"/>
              <w:start w:w="70" w:type="dxa"/>
              <w:bottom w:w="55" w:type="dxa"/>
              <w:end w:w="70" w:type="dxa"/>
            </w:tcMar>
            <w:vAlign w:val="top"/>
          </w:tcPr>
          <w:p>
            <w:pPr>
              <w:pStyle w:val="TableText"/>
            </w:pPr>
            <w:r>
              <w:t>Training frequency, kit, travel, selection culture and social expectations.</w:t>
            </w:r>
          </w:p>
        </w:tc>
      </w:tr>
    </w:tbl>
    <w:p>
      <w:pPr>
        <w:spacing w:after="20"/>
      </w:pPr>
    </w:p>
    <w:p>
      <w:pPr>
        <w:pStyle w:val="Heading2"/>
        <w:keepNext/>
      </w:pPr>
      <w:r>
        <w:t>Health, transport and adult administration</w:t>
      </w:r>
    </w:p>
    <w:p>
      <w:r>
        <w:t>Register with a Cambridge GP rather than assuming a home GP can manage term-time care. NHS guidance provides a service finder; practices have boundaries. Keep repeat prescriptions, vaccination records and specialist letters moving before arrival. For urgent medical advice use NHS 111; for immediate danger use 999/112. [N01] [N03]</w:t>
      </w:r>
    </w:p>
    <w:p>
      <w:r>
        <w:t>The rail station is south-east of the centre; Cambridge North serves the north/east corridor. Buses can be useful but are less forgiving for late social events or cross-city changes. Build a taxi contingency into family and accessibility plans. International students should also map visa appointments, travel-document storage and airport routes rather than discovering them during a deadline week.</w:t>
      </w:r>
    </w:p>
    <w:p>
      <w:pPr>
        <w:pStyle w:val="Heading2"/>
        <w:keepNext/>
      </w:pPr>
      <w:r>
        <w:t>Town jobs for your first week</w:t>
      </w:r>
    </w:p>
    <w:p>
      <w:pPr>
        <w:pStyle w:val="ListBullet"/>
      </w:pPr>
      <w:r>
        <w:t>Register with a local GP and transfer repeat prescriptions before the first supply runs out.</w:t>
      </w:r>
    </w:p>
    <w:p>
      <w:pPr>
        <w:pStyle w:val="ListBullet"/>
      </w:pPr>
      <w:r>
        <w:t>Work out Council Tax evidence for the real household, especially where a non-student partner lives with you.</w:t>
      </w:r>
    </w:p>
    <w:p>
      <w:pPr>
        <w:pStyle w:val="ListBullet"/>
      </w:pPr>
      <w:r>
        <w:t>Walk or cycle the actual route to Faculty, College, school/nursery and a supermarket at the time you will use it.</w:t>
      </w:r>
    </w:p>
    <w:p>
      <w:pPr>
        <w:pStyle w:val="ListBullet"/>
      </w:pPr>
      <w:r>
        <w:t>Locate a public library, affordable food route, pharmacy, bike repair and one indoor family space for bad weather.</w:t>
      </w:r>
    </w:p>
    <w:p>
      <w:pPr>
        <w:pStyle w:val="ListBullet"/>
      </w:pPr>
      <w:r>
        <w:t>Decide whether the household needs a University gym, a College gym, a public pool or simply a reliable daily movement route before buying a membership.</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A workable Cambridge life depends on school gates, GP access, food and movement as much as gowns and libraries.</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Which local services can my partner/child use? What are College delivery, gym, parking and guest rules? Is there a parent or commuter network?</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Choosing housing from a tourist map and only later testing the nursery–College–Department journey at real times.</w:t>
            </w:r>
          </w:p>
        </w:tc>
      </w:tr>
    </w:tbl>
    <w:p>
      <w:pPr>
        <w:spacing w:after="40"/>
      </w:pPr>
    </w:p>
    <w:p>
      <w:pPr>
        <w:pStyle w:val="Heading1"/>
        <w:keepNext/>
      </w:pPr>
      <w:r>
        <w:t>9. Welfare, health, disability and safeguarding</w:t>
      </w:r>
    </w:p>
    <w:p>
      <w:pPr>
        <w:spacing w:after="160"/>
      </w:pPr>
      <w:r>
        <w:rPr>
          <w:i/>
          <w:color w:val="5F6B73"/>
          <w:sz w:val="20"/>
        </w:rPr>
        <w:t>Know the difference between support, treatment, emergency response and formal procedure.</w:t>
      </w:r>
    </w:p>
    <w:p>
      <w:pPr>
        <w:pStyle w:val="Heading2"/>
        <w:keepNext/>
      </w:pPr>
      <w:r>
        <w:t>The support landscape</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098"/>
        <w:gridCol w:w="2835"/>
        <w:gridCol w:w="4819"/>
      </w:tblGrid>
      <w:tr>
        <w:trPr>
          <w:tblHeader w:val="true"/>
          <w:cantSplit w:val="true"/>
        </w:trPr>
        <w:tc>
          <w:tcPr>
            <w:tcW w:type="dxa" w:w="2097"/>
            <w:shd w:fill="17324D"/>
            <w:tcMar>
              <w:top w:w="70" w:type="dxa"/>
              <w:start w:w="80" w:type="dxa"/>
              <w:bottom w:w="70" w:type="dxa"/>
              <w:end w:w="80" w:type="dxa"/>
            </w:tcMar>
            <w:vAlign w:val="center"/>
          </w:tcPr>
          <w:p>
            <w:pPr>
              <w:pStyle w:val="TableText"/>
              <w:jc w:val="left"/>
            </w:pPr>
            <w:r>
              <w:rPr>
                <w:b/>
                <w:color w:val="FFFFFF"/>
                <w:sz w:val="15"/>
              </w:rPr>
              <w:t>Need</w:t>
            </w:r>
          </w:p>
        </w:tc>
        <w:tc>
          <w:tcPr>
            <w:tcW w:type="dxa" w:w="2835"/>
            <w:shd w:fill="17324D"/>
            <w:tcMar>
              <w:top w:w="70" w:type="dxa"/>
              <w:start w:w="80" w:type="dxa"/>
              <w:bottom w:w="70" w:type="dxa"/>
              <w:end w:w="80" w:type="dxa"/>
            </w:tcMar>
            <w:vAlign w:val="center"/>
          </w:tcPr>
          <w:p>
            <w:pPr>
              <w:pStyle w:val="TableText"/>
              <w:jc w:val="left"/>
            </w:pPr>
            <w:r>
              <w:rPr>
                <w:b/>
                <w:color w:val="FFFFFF"/>
                <w:sz w:val="15"/>
              </w:rPr>
              <w:t>Route</w:t>
            </w:r>
          </w:p>
        </w:tc>
        <w:tc>
          <w:tcPr>
            <w:tcW w:type="dxa" w:w="4819"/>
            <w:shd w:fill="17324D"/>
            <w:tcMar>
              <w:top w:w="70" w:type="dxa"/>
              <w:start w:w="80" w:type="dxa"/>
              <w:bottom w:w="70" w:type="dxa"/>
              <w:end w:w="80" w:type="dxa"/>
            </w:tcMar>
            <w:vAlign w:val="center"/>
          </w:tcPr>
          <w:p>
            <w:pPr>
              <w:pStyle w:val="TableText"/>
              <w:jc w:val="left"/>
            </w:pPr>
            <w:r>
              <w:rPr>
                <w:b/>
                <w:color w:val="FFFFFF"/>
                <w:sz w:val="15"/>
              </w:rPr>
              <w:t>What it can provide / limits</w:t>
            </w:r>
          </w:p>
        </w:tc>
      </w:tr>
      <w:tr>
        <w:trPr>
          <w:cantSplit w:val="true"/>
        </w:trPr>
        <w:tc>
          <w:tcPr>
            <w:tcW w:type="dxa" w:w="2097"/>
            <w:tcMar>
              <w:top w:w="55" w:type="dxa"/>
              <w:start w:w="70" w:type="dxa"/>
              <w:bottom w:w="55" w:type="dxa"/>
              <w:end w:w="70" w:type="dxa"/>
            </w:tcMar>
            <w:vAlign w:val="top"/>
          </w:tcPr>
          <w:p>
            <w:pPr>
              <w:pStyle w:val="TableText"/>
            </w:pPr>
            <w:r>
              <w:t>Pastoral navigation</w:t>
            </w:r>
          </w:p>
        </w:tc>
        <w:tc>
          <w:tcPr>
            <w:tcW w:type="dxa" w:w="2835"/>
            <w:tcMar>
              <w:top w:w="55" w:type="dxa"/>
              <w:start w:w="70" w:type="dxa"/>
              <w:bottom w:w="55" w:type="dxa"/>
              <w:end w:w="70" w:type="dxa"/>
            </w:tcMar>
            <w:vAlign w:val="top"/>
          </w:tcPr>
          <w:p>
            <w:pPr>
              <w:pStyle w:val="TableText"/>
            </w:pPr>
            <w:r>
              <w:t>College Tutor</w:t>
            </w:r>
          </w:p>
        </w:tc>
        <w:tc>
          <w:tcPr>
            <w:tcW w:type="dxa" w:w="4819"/>
            <w:tcMar>
              <w:top w:w="55" w:type="dxa"/>
              <w:start w:w="70" w:type="dxa"/>
              <w:bottom w:w="55" w:type="dxa"/>
              <w:end w:w="70" w:type="dxa"/>
            </w:tcMar>
            <w:vAlign w:val="top"/>
          </w:tcPr>
          <w:p>
            <w:pPr>
              <w:pStyle w:val="TableText"/>
            </w:pPr>
            <w:r>
              <w:t>College-based support, advocacy and process navigation; not a therapist or emergency service.</w:t>
            </w:r>
          </w:p>
        </w:tc>
      </w:tr>
      <w:tr>
        <w:trPr>
          <w:cantSplit w:val="true"/>
        </w:trPr>
        <w:tc>
          <w:tcPr>
            <w:tcW w:type="dxa" w:w="2097"/>
            <w:shd w:fill="F5F7F8"/>
            <w:tcMar>
              <w:top w:w="55" w:type="dxa"/>
              <w:start w:w="70" w:type="dxa"/>
              <w:bottom w:w="55" w:type="dxa"/>
              <w:end w:w="70" w:type="dxa"/>
            </w:tcMar>
            <w:vAlign w:val="top"/>
          </w:tcPr>
          <w:p>
            <w:pPr>
              <w:pStyle w:val="TableText"/>
            </w:pPr>
            <w:r>
              <w:t>Physical health</w:t>
            </w:r>
          </w:p>
        </w:tc>
        <w:tc>
          <w:tcPr>
            <w:tcW w:type="dxa" w:w="2835"/>
            <w:shd w:fill="F5F7F8"/>
            <w:tcMar>
              <w:top w:w="55" w:type="dxa"/>
              <w:start w:w="70" w:type="dxa"/>
              <w:bottom w:w="55" w:type="dxa"/>
              <w:end w:w="70" w:type="dxa"/>
            </w:tcMar>
            <w:vAlign w:val="top"/>
          </w:tcPr>
          <w:p>
            <w:pPr>
              <w:pStyle w:val="TableText"/>
            </w:pPr>
            <w:r>
              <w:t>GP, NHS 111, hospital; College nurse where offered</w:t>
            </w:r>
          </w:p>
        </w:tc>
        <w:tc>
          <w:tcPr>
            <w:tcW w:type="dxa" w:w="4819"/>
            <w:shd w:fill="F5F7F8"/>
            <w:tcMar>
              <w:top w:w="55" w:type="dxa"/>
              <w:start w:w="70" w:type="dxa"/>
              <w:bottom w:w="55" w:type="dxa"/>
              <w:end w:w="70" w:type="dxa"/>
            </w:tcMar>
            <w:vAlign w:val="top"/>
          </w:tcPr>
          <w:p>
            <w:pPr>
              <w:pStyle w:val="TableText"/>
            </w:pPr>
            <w:r>
              <w:t>Clinical assessment through NHS; nurse scope/hours vary; 999/112 for emergencies.</w:t>
            </w:r>
          </w:p>
        </w:tc>
      </w:tr>
      <w:tr>
        <w:trPr>
          <w:cantSplit w:val="true"/>
        </w:trPr>
        <w:tc>
          <w:tcPr>
            <w:tcW w:type="dxa" w:w="2097"/>
            <w:tcMar>
              <w:top w:w="55" w:type="dxa"/>
              <w:start w:w="70" w:type="dxa"/>
              <w:bottom w:w="55" w:type="dxa"/>
              <w:end w:w="70" w:type="dxa"/>
            </w:tcMar>
            <w:vAlign w:val="top"/>
          </w:tcPr>
          <w:p>
            <w:pPr>
              <w:pStyle w:val="TableText"/>
            </w:pPr>
            <w:r>
              <w:t>Counselling/mental health</w:t>
            </w:r>
          </w:p>
        </w:tc>
        <w:tc>
          <w:tcPr>
            <w:tcW w:type="dxa" w:w="2835"/>
            <w:tcMar>
              <w:top w:w="55" w:type="dxa"/>
              <w:start w:w="70" w:type="dxa"/>
              <w:bottom w:w="55" w:type="dxa"/>
              <w:end w:w="70" w:type="dxa"/>
            </w:tcMar>
            <w:vAlign w:val="top"/>
          </w:tcPr>
          <w:p>
            <w:pPr>
              <w:pStyle w:val="TableText"/>
            </w:pPr>
            <w:r>
              <w:t>University Student Support and College provision</w:t>
            </w:r>
          </w:p>
        </w:tc>
        <w:tc>
          <w:tcPr>
            <w:tcW w:type="dxa" w:w="4819"/>
            <w:tcMar>
              <w:top w:w="55" w:type="dxa"/>
              <w:start w:w="70" w:type="dxa"/>
              <w:bottom w:w="55" w:type="dxa"/>
              <w:end w:w="70" w:type="dxa"/>
            </w:tcMar>
            <w:vAlign w:val="top"/>
          </w:tcPr>
          <w:p>
            <w:pPr>
              <w:pStyle w:val="TableText"/>
            </w:pPr>
            <w:r>
              <w:t>Assessment, counselling or specialist support according to service; not a 24-hour emergency service. [U11] [U17]</w:t>
            </w:r>
          </w:p>
        </w:tc>
      </w:tr>
      <w:tr>
        <w:trPr>
          <w:cantSplit w:val="true"/>
        </w:trPr>
        <w:tc>
          <w:tcPr>
            <w:tcW w:type="dxa" w:w="2097"/>
            <w:shd w:fill="F5F7F8"/>
            <w:tcMar>
              <w:top w:w="55" w:type="dxa"/>
              <w:start w:w="70" w:type="dxa"/>
              <w:bottom w:w="55" w:type="dxa"/>
              <w:end w:w="70" w:type="dxa"/>
            </w:tcMar>
            <w:vAlign w:val="top"/>
          </w:tcPr>
          <w:p>
            <w:pPr>
              <w:pStyle w:val="TableText"/>
            </w:pPr>
            <w:r>
              <w:t>Disability/neurodiversity</w:t>
            </w:r>
          </w:p>
        </w:tc>
        <w:tc>
          <w:tcPr>
            <w:tcW w:type="dxa" w:w="2835"/>
            <w:shd w:fill="F5F7F8"/>
            <w:tcMar>
              <w:top w:w="55" w:type="dxa"/>
              <w:start w:w="70" w:type="dxa"/>
              <w:bottom w:w="55" w:type="dxa"/>
              <w:end w:w="70" w:type="dxa"/>
            </w:tcMar>
            <w:vAlign w:val="top"/>
          </w:tcPr>
          <w:p>
            <w:pPr>
              <w:pStyle w:val="TableText"/>
            </w:pPr>
            <w:r>
              <w:t>Accessibility and Disability Resource Centre</w:t>
            </w:r>
          </w:p>
        </w:tc>
        <w:tc>
          <w:tcPr>
            <w:tcW w:type="dxa" w:w="4819"/>
            <w:shd w:fill="F5F7F8"/>
            <w:tcMar>
              <w:top w:w="55" w:type="dxa"/>
              <w:start w:w="70" w:type="dxa"/>
              <w:bottom w:w="55" w:type="dxa"/>
              <w:end w:w="70" w:type="dxa"/>
            </w:tcMar>
            <w:vAlign w:val="top"/>
          </w:tcPr>
          <w:p>
            <w:pPr>
              <w:pStyle w:val="TableText"/>
            </w:pPr>
            <w:r>
              <w:t>Advice, Student Support Document, adjustments and DSA liaison; implementation also requires College/Faculty action. [U12]</w:t>
            </w:r>
          </w:p>
        </w:tc>
      </w:tr>
      <w:tr>
        <w:trPr>
          <w:cantSplit w:val="true"/>
        </w:trPr>
        <w:tc>
          <w:tcPr>
            <w:tcW w:type="dxa" w:w="2097"/>
            <w:tcMar>
              <w:top w:w="55" w:type="dxa"/>
              <w:start w:w="70" w:type="dxa"/>
              <w:bottom w:w="55" w:type="dxa"/>
              <w:end w:w="70" w:type="dxa"/>
            </w:tcMar>
            <w:vAlign w:val="top"/>
          </w:tcPr>
          <w:p>
            <w:pPr>
              <w:pStyle w:val="TableText"/>
            </w:pPr>
            <w:r>
              <w:t>Harassment/sexual violence</w:t>
            </w:r>
          </w:p>
        </w:tc>
        <w:tc>
          <w:tcPr>
            <w:tcW w:type="dxa" w:w="2835"/>
            <w:tcMar>
              <w:top w:w="55" w:type="dxa"/>
              <w:start w:w="70" w:type="dxa"/>
              <w:bottom w:w="55" w:type="dxa"/>
              <w:end w:w="70" w:type="dxa"/>
            </w:tcMar>
            <w:vAlign w:val="top"/>
          </w:tcPr>
          <w:p>
            <w:pPr>
              <w:pStyle w:val="TableText"/>
            </w:pPr>
            <w:r>
              <w:t>Harassment and Violence Support Service</w:t>
            </w:r>
          </w:p>
        </w:tc>
        <w:tc>
          <w:tcPr>
            <w:tcW w:type="dxa" w:w="4819"/>
            <w:tcMar>
              <w:top w:w="55" w:type="dxa"/>
              <w:start w:w="70" w:type="dxa"/>
              <w:bottom w:w="55" w:type="dxa"/>
              <w:end w:w="70" w:type="dxa"/>
            </w:tcMar>
            <w:vAlign w:val="top"/>
          </w:tcPr>
          <w:p>
            <w:pPr>
              <w:pStyle w:val="TableText"/>
            </w:pPr>
            <w:r>
              <w:t>Specialist confidential support and options; separate from a formal investigation. [U13]</w:t>
            </w:r>
          </w:p>
        </w:tc>
      </w:tr>
      <w:tr>
        <w:trPr>
          <w:cantSplit w:val="true"/>
        </w:trPr>
        <w:tc>
          <w:tcPr>
            <w:tcW w:type="dxa" w:w="2097"/>
            <w:shd w:fill="F5F7F8"/>
            <w:tcMar>
              <w:top w:w="55" w:type="dxa"/>
              <w:start w:w="70" w:type="dxa"/>
              <w:bottom w:w="55" w:type="dxa"/>
              <w:end w:w="70" w:type="dxa"/>
            </w:tcMar>
            <w:vAlign w:val="top"/>
          </w:tcPr>
          <w:p>
            <w:pPr>
              <w:pStyle w:val="TableText"/>
            </w:pPr>
            <w:r>
              <w:t>Independent procedural advice</w:t>
            </w:r>
          </w:p>
        </w:tc>
        <w:tc>
          <w:tcPr>
            <w:tcW w:type="dxa" w:w="2835"/>
            <w:shd w:fill="F5F7F8"/>
            <w:tcMar>
              <w:top w:w="55" w:type="dxa"/>
              <w:start w:w="70" w:type="dxa"/>
              <w:bottom w:w="55" w:type="dxa"/>
              <w:end w:w="70" w:type="dxa"/>
            </w:tcMar>
            <w:vAlign w:val="top"/>
          </w:tcPr>
          <w:p>
            <w:pPr>
              <w:pStyle w:val="TableText"/>
            </w:pPr>
            <w:r>
              <w:t>Cambridge SU Student Advice</w:t>
            </w:r>
          </w:p>
        </w:tc>
        <w:tc>
          <w:tcPr>
            <w:tcW w:type="dxa" w:w="4819"/>
            <w:shd w:fill="F5F7F8"/>
            <w:tcMar>
              <w:top w:w="55" w:type="dxa"/>
              <w:start w:w="70" w:type="dxa"/>
              <w:bottom w:w="55" w:type="dxa"/>
              <w:end w:w="70" w:type="dxa"/>
            </w:tcMar>
            <w:vAlign w:val="top"/>
          </w:tcPr>
          <w:p>
            <w:pPr>
              <w:pStyle w:val="TableText"/>
            </w:pPr>
            <w:r>
              <w:t>Free, confidential, impartial advice; not the decision-maker. [SU01]</w:t>
            </w:r>
          </w:p>
        </w:tc>
      </w:tr>
      <w:tr>
        <w:trPr>
          <w:cantSplit w:val="true"/>
        </w:trPr>
        <w:tc>
          <w:tcPr>
            <w:tcW w:type="dxa" w:w="2097"/>
            <w:tcMar>
              <w:top w:w="55" w:type="dxa"/>
              <w:start w:w="70" w:type="dxa"/>
              <w:bottom w:w="55" w:type="dxa"/>
              <w:end w:w="70" w:type="dxa"/>
            </w:tcMar>
            <w:vAlign w:val="top"/>
          </w:tcPr>
          <w:p>
            <w:pPr>
              <w:pStyle w:val="TableText"/>
            </w:pPr>
            <w:r>
              <w:t>Faith/spiritual support</w:t>
            </w:r>
          </w:p>
        </w:tc>
        <w:tc>
          <w:tcPr>
            <w:tcW w:type="dxa" w:w="2835"/>
            <w:tcMar>
              <w:top w:w="55" w:type="dxa"/>
              <w:start w:w="70" w:type="dxa"/>
              <w:bottom w:w="55" w:type="dxa"/>
              <w:end w:w="70" w:type="dxa"/>
            </w:tcMar>
            <w:vAlign w:val="top"/>
          </w:tcPr>
          <w:p>
            <w:pPr>
              <w:pStyle w:val="TableText"/>
            </w:pPr>
            <w:r>
              <w:t>Chaplains and faith communities</w:t>
            </w:r>
          </w:p>
        </w:tc>
        <w:tc>
          <w:tcPr>
            <w:tcW w:type="dxa" w:w="4819"/>
            <w:tcMar>
              <w:top w:w="55" w:type="dxa"/>
              <w:start w:w="70" w:type="dxa"/>
              <w:bottom w:w="55" w:type="dxa"/>
              <w:end w:w="70" w:type="dxa"/>
            </w:tcMar>
            <w:vAlign w:val="top"/>
          </w:tcPr>
          <w:p>
            <w:pPr>
              <w:pStyle w:val="TableText"/>
            </w:pPr>
            <w:r>
              <w:t>Pastoral listening, worship/community and signposting; beliefs and confidentiality arrangements vary. [U40]</w:t>
            </w:r>
          </w:p>
        </w:tc>
      </w:tr>
      <w:tr>
        <w:trPr>
          <w:cantSplit w:val="true"/>
        </w:trPr>
        <w:tc>
          <w:tcPr>
            <w:tcW w:type="dxa" w:w="2097"/>
            <w:shd w:fill="F5F7F8"/>
            <w:tcMar>
              <w:top w:w="55" w:type="dxa"/>
              <w:start w:w="70" w:type="dxa"/>
              <w:bottom w:w="55" w:type="dxa"/>
              <w:end w:w="70" w:type="dxa"/>
            </w:tcMar>
            <w:vAlign w:val="top"/>
          </w:tcPr>
          <w:p>
            <w:pPr>
              <w:pStyle w:val="TableText"/>
            </w:pPr>
            <w:r>
              <w:t>International/visa</w:t>
            </w:r>
          </w:p>
        </w:tc>
        <w:tc>
          <w:tcPr>
            <w:tcW w:type="dxa" w:w="2835"/>
            <w:shd w:fill="F5F7F8"/>
            <w:tcMar>
              <w:top w:w="55" w:type="dxa"/>
              <w:start w:w="70" w:type="dxa"/>
              <w:bottom w:w="55" w:type="dxa"/>
              <w:end w:w="70" w:type="dxa"/>
            </w:tcMar>
            <w:vAlign w:val="top"/>
          </w:tcPr>
          <w:p>
            <w:pPr>
              <w:pStyle w:val="TableText"/>
            </w:pPr>
            <w:r>
              <w:t>International Student Office</w:t>
            </w:r>
          </w:p>
        </w:tc>
        <w:tc>
          <w:tcPr>
            <w:tcW w:type="dxa" w:w="4819"/>
            <w:shd w:fill="F5F7F8"/>
            <w:tcMar>
              <w:top w:w="55" w:type="dxa"/>
              <w:start w:w="70" w:type="dxa"/>
              <w:bottom w:w="55" w:type="dxa"/>
              <w:end w:w="70" w:type="dxa"/>
            </w:tcMar>
            <w:vAlign w:val="top"/>
          </w:tcPr>
          <w:p>
            <w:pPr>
              <w:pStyle w:val="TableText"/>
            </w:pPr>
            <w:r>
              <w:t>Authoritative University immigration support within its remit; contact before changing study status. [U15]</w:t>
            </w:r>
          </w:p>
        </w:tc>
      </w:tr>
    </w:tbl>
    <w:p>
      <w:pPr>
        <w:spacing w:after="20"/>
      </w:pPr>
    </w:p>
    <w:p>
      <w:pPr>
        <w:pStyle w:val="Heading2"/>
        <w:keepNext/>
      </w:pPr>
      <w:r>
        <w:t>Four levels of urgency</w:t>
      </w:r>
    </w:p>
    <w:tbl>
      <w:tblPr>
        <w:tblW w:type="dxa" w:w="10037"/>
        <w:jc w:val="center"/>
        <w:tblLayout w:type="fixed"/>
        <w:tblLook w:firstColumn="1" w:firstRow="1" w:lastColumn="0" w:lastRow="0" w:noHBand="0" w:noVBand="1" w:val="04A0"/>
        <w:tblBorders>
          <w:top w:val="single" w:sz="0" w:space="0" w:color="F9EEEE"/>
          <w:left w:val="single" w:sz="0" w:space="0" w:color="F9EEEE"/>
          <w:bottom w:val="single" w:sz="0" w:space="0" w:color="F9EEEE"/>
          <w:right w:val="single" w:sz="0" w:space="0" w:color="F9EEEE"/>
          <w:insideH w:val="single" w:sz="0" w:space="0" w:color="F9EEEE"/>
          <w:insideV w:val="single" w:sz="0" w:space="0" w:color="F9EEEE"/>
        </w:tblBorders>
      </w:tblPr>
      <w:tblGrid>
        <w:gridCol w:w="159"/>
        <w:gridCol w:w="9877"/>
      </w:tblGrid>
      <w:tr>
        <w:trPr>
          <w:cantSplit w:val="true"/>
        </w:trPr>
        <w:tc>
          <w:tcPr>
            <w:tcW w:type="dxa" w:w="158"/>
            <w:tcMar>
              <w:top w:w="80" w:type="dxa"/>
              <w:start w:w="100" w:type="dxa"/>
              <w:bottom w:w="80" w:type="dxa"/>
              <w:end w:w="100" w:type="dxa"/>
            </w:tcMar>
            <w:shd w:fill="A33A3A"/>
          </w:tcPr>
          <w:p/>
        </w:tc>
        <w:tc>
          <w:tcPr>
            <w:tcW w:type="dxa" w:w="9878"/>
            <w:tcMar>
              <w:top w:w="80" w:type="dxa"/>
              <w:start w:w="100" w:type="dxa"/>
              <w:bottom w:w="80" w:type="dxa"/>
              <w:end w:w="100" w:type="dxa"/>
            </w:tcMar>
            <w:shd w:fill="F9EEEE"/>
            <w:vAlign w:val="center"/>
          </w:tcPr>
          <w:p>
            <w:pPr>
              <w:pStyle w:val="BoxHeading"/>
            </w:pPr>
            <w:r>
              <w:t>IMMEDIATE EMERGENCY</w:t>
            </w:r>
          </w:p>
          <w:p>
            <w:pPr>
              <w:spacing w:after="0"/>
            </w:pPr>
            <w:r>
              <w:t>Call 999 or 112 where there is immediate danger, serious injury, suspected life-threatening illness or crime in progress. Then contact the Porters’ Lodge if you need College access, an ambulance directed to the right gate or immediate local assistance. Do not use email as emergency response.</w:t>
            </w:r>
          </w:p>
        </w:tc>
      </w:tr>
    </w:tbl>
    <w:p>
      <w:pPr>
        <w:spacing w:after="20"/>
      </w:pP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URGENT BUT NOT 999</w:t>
            </w:r>
          </w:p>
          <w:p>
            <w:pPr>
              <w:spacing w:after="0"/>
            </w:pPr>
            <w:r>
              <w:t>Use NHS 111 for urgent medical advice, your GP’s urgent route, the local urgent-treatment service as directed, or an appropriate crisis team. Samaritans is available on 116 123 for confidential emotional support. The University counselling service is not an emergency service. [N01] [N02]</w:t>
            </w:r>
          </w:p>
        </w:tc>
      </w:tr>
    </w:tbl>
    <w:p>
      <w:pPr>
        <w:spacing w:after="20"/>
      </w:pPr>
    </w:p>
    <w:tbl>
      <w:tblPr>
        <w:tblW w:type="dxa" w:w="10037"/>
        <w:jc w:val="center"/>
        <w:tblLayout w:type="fixed"/>
        <w:tblLook w:firstColumn="1" w:firstRow="1" w:lastColumn="0" w:lastRow="0" w:noHBand="0" w:noVBand="1" w:val="04A0"/>
        <w:tblBorders>
          <w:top w:val="single" w:sz="0" w:space="0" w:color="EEF5F6"/>
          <w:left w:val="single" w:sz="0" w:space="0" w:color="EEF5F6"/>
          <w:bottom w:val="single" w:sz="0" w:space="0" w:color="EEF5F6"/>
          <w:right w:val="single" w:sz="0" w:space="0" w:color="EEF5F6"/>
          <w:insideH w:val="single" w:sz="0" w:space="0" w:color="EEF5F6"/>
          <w:insideV w:val="single" w:sz="0" w:space="0" w:color="EEF5F6"/>
        </w:tblBorders>
      </w:tblPr>
      <w:tblGrid>
        <w:gridCol w:w="159"/>
        <w:gridCol w:w="9877"/>
      </w:tblGrid>
      <w:tr>
        <w:trPr>
          <w:cantSplit w:val="true"/>
        </w:trPr>
        <w:tc>
          <w:tcPr>
            <w:tcW w:type="dxa" w:w="158"/>
            <w:tcMar>
              <w:top w:w="80" w:type="dxa"/>
              <w:start w:w="100" w:type="dxa"/>
              <w:bottom w:w="80" w:type="dxa"/>
              <w:end w:w="100" w:type="dxa"/>
            </w:tcMar>
            <w:shd w:fill="0E7C86"/>
          </w:tcPr>
          <w:p/>
        </w:tc>
        <w:tc>
          <w:tcPr>
            <w:tcW w:type="dxa" w:w="9878"/>
            <w:tcMar>
              <w:top w:w="80" w:type="dxa"/>
              <w:start w:w="100" w:type="dxa"/>
              <w:bottom w:w="80" w:type="dxa"/>
              <w:end w:w="100" w:type="dxa"/>
            </w:tcMar>
            <w:shd w:fill="EEF5F6"/>
            <w:vAlign w:val="center"/>
          </w:tcPr>
          <w:p>
            <w:pPr>
              <w:pStyle w:val="BoxHeading"/>
            </w:pPr>
            <w:r>
              <w:t>NEXT WORKING DAY</w:t>
            </w:r>
          </w:p>
          <w:p>
            <w:pPr>
              <w:spacing w:after="0"/>
            </w:pPr>
            <w:r>
              <w:t>Email your Tutor or relevant welfare contact with a clear request: appointment, deadline action, financial help, safety planning or referral. Copy the DoS only when academic arrangements are affected, and share the minimum sensitive detail necessary.</w:t>
            </w:r>
          </w:p>
        </w:tc>
      </w:tr>
    </w:tbl>
    <w:p>
      <w:pPr>
        <w:spacing w:after="20"/>
      </w:pPr>
    </w:p>
    <w:tbl>
      <w:tblPr>
        <w:tblW w:type="dxa" w:w="10037"/>
        <w:jc w:val="center"/>
        <w:tblLayout w:type="fixed"/>
        <w:tblLook w:firstColumn="1" w:firstRow="1" w:lastColumn="0" w:lastRow="0" w:noHBand="0" w:noVBand="1" w:val="04A0"/>
        <w:tblBorders>
          <w:top w:val="single" w:sz="0" w:space="0" w:color="EDF0F4"/>
          <w:left w:val="single" w:sz="0" w:space="0" w:color="EDF0F4"/>
          <w:bottom w:val="single" w:sz="0" w:space="0" w:color="EDF0F4"/>
          <w:right w:val="single" w:sz="0" w:space="0" w:color="EDF0F4"/>
          <w:insideH w:val="single" w:sz="0" w:space="0" w:color="EDF0F4"/>
          <w:insideV w:val="single" w:sz="0" w:space="0" w:color="EDF0F4"/>
        </w:tblBorders>
      </w:tblPr>
      <w:tblGrid>
        <w:gridCol w:w="159"/>
        <w:gridCol w:w="9877"/>
      </w:tblGrid>
      <w:tr>
        <w:trPr>
          <w:cantSplit w:val="true"/>
        </w:trPr>
        <w:tc>
          <w:tcPr>
            <w:tcW w:type="dxa" w:w="158"/>
            <w:tcMar>
              <w:top w:w="80" w:type="dxa"/>
              <w:start w:w="100" w:type="dxa"/>
              <w:bottom w:w="80" w:type="dxa"/>
              <w:end w:w="100" w:type="dxa"/>
            </w:tcMar>
            <w:shd w:fill="17324D"/>
          </w:tcPr>
          <w:p/>
        </w:tc>
        <w:tc>
          <w:tcPr>
            <w:tcW w:type="dxa" w:w="9878"/>
            <w:tcMar>
              <w:top w:w="80" w:type="dxa"/>
              <w:start w:w="100" w:type="dxa"/>
              <w:bottom w:w="80" w:type="dxa"/>
              <w:end w:w="100" w:type="dxa"/>
            </w:tcMar>
            <w:shd w:fill="EDF0F4"/>
            <w:vAlign w:val="center"/>
          </w:tcPr>
          <w:p>
            <w:pPr>
              <w:pStyle w:val="BoxHeading"/>
            </w:pPr>
            <w:r>
              <w:t>LONG-TERM CONDITION</w:t>
            </w:r>
          </w:p>
          <w:p>
            <w:pPr>
              <w:spacing w:after="0"/>
            </w:pPr>
            <w:r>
              <w:t>Contact the ADRC and your College early. Ask who implements each adjustment, how it applies in laboratories/placements and what separate examination application is required. Review it before—not during—the exam term. [U12]</w:t>
            </w:r>
          </w:p>
        </w:tc>
      </w:tr>
    </w:tbl>
    <w:p>
      <w:pPr>
        <w:spacing w:after="20"/>
      </w:pPr>
    </w:p>
    <w:p>
      <w:pPr>
        <w:pStyle w:val="Heading2"/>
        <w:keepNext/>
      </w:pPr>
      <w:r>
        <w:t>Disability and neurodivergence</w:t>
      </w:r>
    </w:p>
    <w:p>
      <w:r>
        <w:t>Reasonable adjustments are not favours and do not require you to perform gratitude. They do require specificity and implementation. “Extra time” may address timed processing but not inaccessible reading formats, unpredictable room changes, laboratory fatigue, sensory overload or executive-function barriers. A Student Support Document can recommend measures, while the College, Faculty and exam system each have implementation roles.</w:t>
      </w:r>
    </w:p>
    <w:p>
      <w:pPr>
        <w:pStyle w:val="ListBullet"/>
        <w:spacing w:after="30" w:line="247" w:lineRule="auto"/>
        <w:ind w:left="312" w:hanging="142"/>
      </w:pPr>
      <w:r>
        <w:t>Ask for accessible reading lists and materials in time to convert them.</w:t>
      </w:r>
    </w:p>
    <w:p>
      <w:pPr>
        <w:pStyle w:val="ListBullet"/>
        <w:spacing w:after="30" w:line="247" w:lineRule="auto"/>
        <w:ind w:left="312" w:hanging="142"/>
      </w:pPr>
      <w:r>
        <w:t>Test assistive software, ergonomic equipment and examination arrangements before a high-stakes week.</w:t>
      </w:r>
    </w:p>
    <w:p>
      <w:pPr>
        <w:pStyle w:val="ListBullet"/>
        <w:spacing w:after="30" w:line="247" w:lineRule="auto"/>
        <w:ind w:left="312" w:hanging="142"/>
      </w:pPr>
      <w:r>
        <w:t>Clarify whether extensions are automatic, discretionary or require a separate request each time.</w:t>
      </w:r>
    </w:p>
    <w:p>
      <w:pPr>
        <w:pStyle w:val="ListBullet"/>
        <w:spacing w:after="30" w:line="247" w:lineRule="auto"/>
        <w:ind w:left="312" w:hanging="142"/>
      </w:pPr>
      <w:r>
        <w:t>For placements and fieldwork, ask who conducts the risk and adjustment planning and how confidentiality is handled.</w:t>
      </w:r>
    </w:p>
    <w:p>
      <w:pPr>
        <w:pStyle w:val="ListBullet"/>
        <w:spacing w:after="30" w:line="247" w:lineRule="auto"/>
        <w:ind w:left="312" w:hanging="142"/>
      </w:pPr>
      <w:r>
        <w:t>Keep a dated log when agreed measures are missing. Report the effect, not only the breach: “I lost three hours obtaining a readable copy.”</w:t>
      </w:r>
    </w:p>
    <w:p>
      <w:pPr>
        <w:pStyle w:val="Heading2"/>
        <w:keepNext/>
      </w:pPr>
      <w:r>
        <w:t>Mental-health difficulty</w:t>
      </w:r>
    </w:p>
    <w:p>
      <w:r>
        <w:t>Cambridge intensity can aggravate existing conditions or create new distress. The practical mistake is waiting for diagnostic certainty before seeking help. Tell someone what is happening functionally: sleep, eating, attendance, concentration, safety, substance use and ability to complete ordinary tasks. A Tutor can address College consequences; a GP or mental-health professional can address clinical need; a DoS can adjust academic planning. These roles may need to work together with your consent and with safety limits.</w:t>
      </w:r>
    </w:p>
    <w:p>
      <w:r>
        <w:t>For bereavement, addiction, eating difficulty, domestic abuse or relationship violence, specialist external and University routes may be more appropriate than a generic College conversation. Ask the specialist service about confidentiality, records, reporting options and whether support depends on making a formal complaint. Support should not be conditional on immediate reporting. [U13]</w:t>
      </w:r>
    </w:p>
    <w:p>
      <w:pPr>
        <w:pStyle w:val="Heading2"/>
        <w:keepNext/>
      </w:pPr>
      <w:r>
        <w:t>When illness affects academic work</w:t>
      </w:r>
    </w:p>
    <w:p>
      <w:pPr>
        <w:spacing w:after="40"/>
        <w:ind w:left="351" w:hanging="272"/>
      </w:pPr>
      <w:r>
        <w:rPr>
          <w:b/>
        </w:rPr>
        <w:t xml:space="preserve">1.  </w:t>
      </w:r>
      <w:r>
        <w:t>Get safe and seek medical help at the appropriate level.</w:t>
      </w:r>
    </w:p>
    <w:p>
      <w:pPr>
        <w:spacing w:after="40"/>
        <w:ind w:left="351" w:hanging="272"/>
      </w:pPr>
      <w:r>
        <w:rPr>
          <w:b/>
        </w:rPr>
        <w:t xml:space="preserve">2.  </w:t>
      </w:r>
      <w:r>
        <w:t>Tell the Tutor and DoS promptly that academic work is affected; you need not send a complete medical narrative to every supervisor.</w:t>
      </w:r>
    </w:p>
    <w:p>
      <w:pPr>
        <w:spacing w:after="40"/>
        <w:ind w:left="351" w:hanging="272"/>
      </w:pPr>
      <w:r>
        <w:rPr>
          <w:b/>
        </w:rPr>
        <w:t xml:space="preserve">3.  </w:t>
      </w:r>
      <w:r>
        <w:t>Ask exactly what is being changed: submission date, supervision, laboratory, attendance record, exam application or intermission discussion.</w:t>
      </w:r>
    </w:p>
    <w:p>
      <w:pPr>
        <w:spacing w:after="40"/>
        <w:ind w:left="351" w:hanging="272"/>
      </w:pPr>
      <w:r>
        <w:rPr>
          <w:b/>
        </w:rPr>
        <w:t xml:space="preserve">4.  </w:t>
      </w:r>
      <w:r>
        <w:t>Keep evidence and a timeline. Ask what form, deadline and decision-maker apply.</w:t>
      </w:r>
    </w:p>
    <w:p>
      <w:pPr>
        <w:spacing w:after="40"/>
        <w:ind w:left="351" w:hanging="272"/>
      </w:pPr>
      <w:r>
        <w:rPr>
          <w:b/>
        </w:rPr>
        <w:t xml:space="preserve">5.  </w:t>
      </w:r>
      <w:r>
        <w:t>Review the next two weeks, not only the missed task. Prevent the backlog from reproducing the crisis.</w:t>
      </w:r>
    </w:p>
    <w:p>
      <w:pPr>
        <w:pStyle w:val="Heading2"/>
        <w:keepNext/>
      </w:pPr>
      <w:r>
        <w:t>Complaints and safeguarding</w:t>
      </w:r>
    </w:p>
    <w:p>
      <w:r>
        <w:t>A complaint about a College usually begins under that College’s published procedure; a complaint about a central University service may use the University route. Harassment, sexual misconduct, academic appeals and disciplinary matters can have separate processes and deadlines. Obtain independent advice before sending a long accusatory email. Preserve original messages, screenshots, dates, witnesses, requested outcomes and responses. [U16] [U38] [SU01]</w:t>
      </w:r>
    </w:p>
    <w:p>
      <w:r>
        <w:t>Safeguarding is not synonymous with “the College takes over”. Where a child, vulnerable adult or immediate safety risk is involved, staff may have duties to act or share information. Ask what will happen next and who will be informed. If a concern involves the person who would normally receive it, use the alternative named route or Senior Tutor and obtain independent advice.</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Support becomes usable when you pair the right service with a concrete request and a timescale.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is confidential? Who covers vacations and nights? How do I obtain exam adjustments, urgent help or an alternative Tutor?</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Assuming that telling one person automatically informs every office—or that a counselling appointment itself changes a deadline.</w:t>
            </w:r>
          </w:p>
        </w:tc>
      </w:tr>
    </w:tbl>
    <w:p>
      <w:pPr>
        <w:spacing w:after="40"/>
      </w:pPr>
    </w:p>
    <w:p>
      <w:pPr>
        <w:pStyle w:val="Heading1"/>
        <w:keepNext/>
      </w:pPr>
      <w:r>
        <w:t>10. Family, partners and adult responsibilities</w:t>
      </w:r>
    </w:p>
    <w:p>
      <w:pPr>
        <w:spacing w:after="160"/>
      </w:pPr>
      <w:r>
        <w:rPr>
          <w:i/>
          <w:color w:val="5F6B73"/>
          <w:sz w:val="20"/>
        </w:rPr>
        <w:t>Cambridge can accommodate adult life, but it does not automatically organise it.</w:t>
      </w:r>
    </w:p>
    <w:p>
      <w:pPr>
        <w:pStyle w:val="Heading2"/>
        <w:keepNext/>
      </w:pPr>
      <w:r>
        <w:t>Partners</w:t>
      </w:r>
    </w:p>
    <w:p>
      <w:r>
        <w:t>A partner does not become a University member through your admission. Their access to accommodation, College dining, libraries, sports facilities, guest rooms and events is governed separately. Some communities welcome partners informally; others require sign-in, guest tickets or limited overnight stays. Ask before building a social or childcare plan around assumed access.</w:t>
      </w:r>
    </w:p>
    <w:p>
      <w:r>
        <w:t>Discuss household labour before term. The student’s timetable may look “flexible” because reading is not on a central calendar; it is still work. Agree protected study blocks, school pickup, illness contingencies, money limits and what happens during examination revision. The partner should not become an invisible unpaid support service whose own work is treated as movable.</w:t>
      </w:r>
    </w:p>
    <w:p>
      <w:pPr>
        <w:pStyle w:val="Heading2"/>
        <w:keepNext/>
      </w:pPr>
      <w:r>
        <w:t>Parents and carers</w:t>
      </w:r>
    </w:p>
    <w:p>
      <w:pPr>
        <w:pStyle w:val="ListBullet"/>
        <w:spacing w:after="30" w:line="247" w:lineRule="auto"/>
        <w:ind w:left="312" w:hanging="142"/>
      </w:pPr>
      <w:r>
        <w:t>Create at least two backup plans for collection when a supervision overruns or a child is excluded by illness.</w:t>
      </w:r>
    </w:p>
    <w:p>
      <w:pPr>
        <w:pStyle w:val="ListBullet"/>
        <w:spacing w:after="30" w:line="247" w:lineRule="auto"/>
        <w:ind w:left="312" w:hanging="142"/>
      </w:pPr>
      <w:r>
        <w:t>Give the school/nursery the correct emergency contacts; explain which College gates are inaccessible to cars.</w:t>
      </w:r>
    </w:p>
    <w:p>
      <w:pPr>
        <w:pStyle w:val="ListBullet"/>
        <w:spacing w:after="30" w:line="247" w:lineRule="auto"/>
        <w:ind w:left="312" w:hanging="142"/>
      </w:pPr>
      <w:r>
        <w:t>Ask supervisors for predictable scheduling where possible, but recognise that not every lecture or practical can move.</w:t>
      </w:r>
    </w:p>
    <w:p>
      <w:pPr>
        <w:pStyle w:val="ListBullet"/>
        <w:spacing w:after="30" w:line="247" w:lineRule="auto"/>
        <w:ind w:left="312" w:hanging="142"/>
      </w:pPr>
      <w:r>
        <w:t>Use daytime social events, family-friendly College occasions and parent networks so that belonging does not depend on 22:00 availability.</w:t>
      </w:r>
    </w:p>
    <w:p>
      <w:pPr>
        <w:pStyle w:val="ListBullet"/>
        <w:spacing w:after="30" w:line="247" w:lineRule="auto"/>
        <w:ind w:left="312" w:hanging="142"/>
      </w:pPr>
      <w:r>
        <w:t>Plan vacation study openly. “No lectures” is not the same as no work, but family holidays and care may be less movable than reading lists.</w:t>
      </w:r>
    </w:p>
    <w:p>
      <w:pPr>
        <w:pStyle w:val="ListBullet"/>
        <w:spacing w:after="30" w:line="247" w:lineRule="auto"/>
        <w:ind w:left="312" w:hanging="142"/>
      </w:pPr>
      <w:r>
        <w:t>For adult caring, identify respite, medication, appointment and emergency handover; the University cannot replace statutory care services.</w:t>
      </w:r>
    </w:p>
    <w:p>
      <w:pPr>
        <w:pStyle w:val="Heading2"/>
        <w:keepNext/>
      </w:pPr>
      <w:r>
        <w:t>Pregnancy, maternity, paternity and adoption</w:t>
      </w:r>
    </w:p>
    <w:p>
      <w:r>
        <w:t>The University publishes routes for pregnancy and maternity-related study status, but the practical arrangement requires course, College, health, accommodation, funding and—in some cases—visa coordination. Contact the Tutor and relevant central/Faculty office early, request a risk assessment for laboratories or placements, and obtain written dates for intermission or adjusted study. Partners and adoptive parents should ask what College leave, assessment and accommodation provisions apply rather than assuming an employment-style entitlement. [U32]</w:t>
      </w:r>
    </w:p>
    <w:p>
      <w:r>
        <w:t>A pregnancy conversation should cover examinations, fieldwork, infectious or chemical exposure, seating and rest, feeding, room suitability, childcare waiting lists, finance and return timing. Intermission can be appropriate, but it affects housing, student finance, benefits, visas and access to facilities; decide with a whole-life map, not only an academic calendar. [U14] [U15]</w:t>
      </w:r>
    </w:p>
    <w:p>
      <w:pPr>
        <w:pStyle w:val="Heading2"/>
        <w:keepNext/>
      </w:pPr>
      <w:r>
        <w:t>Where Cambridge provision may be limited</w:t>
      </w:r>
    </w:p>
    <w:p>
      <w:pPr>
        <w:pStyle w:val="ListBullet"/>
        <w:spacing w:after="30" w:line="247" w:lineRule="auto"/>
        <w:ind w:left="312" w:hanging="142"/>
      </w:pPr>
      <w:r>
        <w:t>Family accommodation is scarce and may not align with course location or school catchment.</w:t>
      </w:r>
    </w:p>
    <w:p>
      <w:pPr>
        <w:pStyle w:val="ListBullet"/>
        <w:spacing w:after="30" w:line="247" w:lineRule="auto"/>
        <w:ind w:left="312" w:hanging="142"/>
      </w:pPr>
      <w:r>
        <w:t>Evening traditions are prominent, while childcare is not built into most event tickets.</w:t>
      </w:r>
    </w:p>
    <w:p>
      <w:pPr>
        <w:pStyle w:val="ListBullet"/>
        <w:spacing w:after="30" w:line="247" w:lineRule="auto"/>
        <w:ind w:left="312" w:hanging="142"/>
      </w:pPr>
      <w:r>
        <w:t>University nurseries and local providers can have waiting lists; emergency childcare is not guaranteed.</w:t>
      </w:r>
    </w:p>
    <w:p>
      <w:pPr>
        <w:pStyle w:val="ListBullet"/>
        <w:spacing w:after="30" w:line="247" w:lineRule="auto"/>
        <w:ind w:left="312" w:hanging="142"/>
      </w:pPr>
      <w:r>
        <w:t>College guestrooms may be expensive or unavailable during events, graduations and conferences.</w:t>
      </w:r>
    </w:p>
    <w:p>
      <w:pPr>
        <w:pStyle w:val="ListBullet"/>
        <w:spacing w:after="30" w:line="247" w:lineRule="auto"/>
        <w:ind w:left="312" w:hanging="142"/>
      </w:pPr>
      <w:r>
        <w:t>A partner may feel socially peripheral, particularly if events are member-only or require formalwear and guest fees.</w:t>
      </w:r>
    </w:p>
    <w:p>
      <w:pPr>
        <w:pStyle w:val="ListBullet"/>
        <w:spacing w:after="30" w:line="247" w:lineRule="auto"/>
        <w:ind w:left="312" w:hanging="142"/>
      </w:pPr>
      <w:r>
        <w:t>Intermission support may preserve a place on the course without preserving the same room, income or childcare arrangement.</w:t>
      </w:r>
    </w:p>
    <w:p>
      <w:pPr>
        <w:pStyle w:val="Heading2"/>
        <w:keepNext/>
      </w:pPr>
      <w:r>
        <w:t>Family emergency plan</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381"/>
        <w:gridCol w:w="7370"/>
      </w:tblGrid>
      <w:tr>
        <w:trPr>
          <w:tblHeader w:val="true"/>
          <w:cantSplit w:val="true"/>
        </w:trPr>
        <w:tc>
          <w:tcPr>
            <w:tcW w:type="dxa" w:w="2381"/>
            <w:shd w:fill="17324D"/>
            <w:tcMar>
              <w:top w:w="70" w:type="dxa"/>
              <w:start w:w="80" w:type="dxa"/>
              <w:bottom w:w="70" w:type="dxa"/>
              <w:end w:w="80" w:type="dxa"/>
            </w:tcMar>
            <w:vAlign w:val="center"/>
          </w:tcPr>
          <w:p>
            <w:pPr>
              <w:pStyle w:val="TableText"/>
              <w:jc w:val="left"/>
            </w:pPr>
            <w:r>
              <w:rPr>
                <w:b/>
                <w:color w:val="FFFFFF"/>
                <w:sz w:val="15"/>
              </w:rPr>
              <w:t>Scenario</w:t>
            </w:r>
          </w:p>
        </w:tc>
        <w:tc>
          <w:tcPr>
            <w:tcW w:type="dxa" w:w="7371"/>
            <w:shd w:fill="17324D"/>
            <w:tcMar>
              <w:top w:w="70" w:type="dxa"/>
              <w:start w:w="80" w:type="dxa"/>
              <w:bottom w:w="70" w:type="dxa"/>
              <w:end w:w="80" w:type="dxa"/>
            </w:tcMar>
            <w:vAlign w:val="center"/>
          </w:tcPr>
          <w:p>
            <w:pPr>
              <w:pStyle w:val="TableText"/>
              <w:jc w:val="left"/>
            </w:pPr>
            <w:r>
              <w:rPr>
                <w:b/>
                <w:color w:val="FFFFFF"/>
                <w:sz w:val="15"/>
              </w:rPr>
              <w:t>Plan before it happens</w:t>
            </w:r>
          </w:p>
        </w:tc>
      </w:tr>
      <w:tr>
        <w:trPr>
          <w:cantSplit w:val="true"/>
        </w:trPr>
        <w:tc>
          <w:tcPr>
            <w:tcW w:type="dxa" w:w="2381"/>
            <w:tcMar>
              <w:top w:w="55" w:type="dxa"/>
              <w:start w:w="70" w:type="dxa"/>
              <w:bottom w:w="55" w:type="dxa"/>
              <w:end w:w="70" w:type="dxa"/>
            </w:tcMar>
            <w:vAlign w:val="top"/>
          </w:tcPr>
          <w:p>
            <w:pPr>
              <w:pStyle w:val="TableText"/>
            </w:pPr>
            <w:r>
              <w:t>Child ill on essay day</w:t>
            </w:r>
          </w:p>
        </w:tc>
        <w:tc>
          <w:tcPr>
            <w:tcW w:type="dxa" w:w="7371"/>
            <w:tcMar>
              <w:top w:w="55" w:type="dxa"/>
              <w:start w:w="70" w:type="dxa"/>
              <w:bottom w:w="55" w:type="dxa"/>
              <w:end w:w="70" w:type="dxa"/>
            </w:tcMar>
            <w:vAlign w:val="top"/>
          </w:tcPr>
          <w:p>
            <w:pPr>
              <w:pStyle w:val="TableText"/>
            </w:pPr>
            <w:r>
              <w:t>Know who receives the deadline request; keep Tutor and DoS contacts; decide which adult can cover and when.</w:t>
            </w:r>
          </w:p>
        </w:tc>
      </w:tr>
      <w:tr>
        <w:trPr>
          <w:cantSplit w:val="true"/>
        </w:trPr>
        <w:tc>
          <w:tcPr>
            <w:tcW w:type="dxa" w:w="2381"/>
            <w:shd w:fill="F5F7F8"/>
            <w:tcMar>
              <w:top w:w="55" w:type="dxa"/>
              <w:start w:w="70" w:type="dxa"/>
              <w:bottom w:w="55" w:type="dxa"/>
              <w:end w:w="70" w:type="dxa"/>
            </w:tcMar>
            <w:vAlign w:val="top"/>
          </w:tcPr>
          <w:p>
            <w:pPr>
              <w:pStyle w:val="TableText"/>
            </w:pPr>
            <w:r>
              <w:t>Nursery closes unexpectedly</w:t>
            </w:r>
          </w:p>
        </w:tc>
        <w:tc>
          <w:tcPr>
            <w:tcW w:type="dxa" w:w="7371"/>
            <w:shd w:fill="F5F7F8"/>
            <w:tcMar>
              <w:top w:w="55" w:type="dxa"/>
              <w:start w:w="70" w:type="dxa"/>
              <w:bottom w:w="55" w:type="dxa"/>
              <w:end w:w="70" w:type="dxa"/>
            </w:tcMar>
            <w:vAlign w:val="top"/>
          </w:tcPr>
          <w:p>
            <w:pPr>
              <w:pStyle w:val="TableText"/>
            </w:pPr>
            <w:r>
              <w:t>Identify one backup carer/service; know which teaching is recorded or repeatable and which is compulsory.</w:t>
            </w:r>
          </w:p>
        </w:tc>
      </w:tr>
      <w:tr>
        <w:trPr>
          <w:cantSplit w:val="true"/>
        </w:trPr>
        <w:tc>
          <w:tcPr>
            <w:tcW w:type="dxa" w:w="2381"/>
            <w:tcMar>
              <w:top w:w="55" w:type="dxa"/>
              <w:start w:w="70" w:type="dxa"/>
              <w:bottom w:w="55" w:type="dxa"/>
              <w:end w:w="70" w:type="dxa"/>
            </w:tcMar>
            <w:vAlign w:val="top"/>
          </w:tcPr>
          <w:p>
            <w:pPr>
              <w:pStyle w:val="TableText"/>
            </w:pPr>
            <w:r>
              <w:t>Partner hospitalised</w:t>
            </w:r>
          </w:p>
        </w:tc>
        <w:tc>
          <w:tcPr>
            <w:tcW w:type="dxa" w:w="7371"/>
            <w:tcMar>
              <w:top w:w="55" w:type="dxa"/>
              <w:start w:w="70" w:type="dxa"/>
              <w:bottom w:w="55" w:type="dxa"/>
              <w:end w:w="70" w:type="dxa"/>
            </w:tcMar>
            <w:vAlign w:val="top"/>
          </w:tcPr>
          <w:p>
            <w:pPr>
              <w:pStyle w:val="TableText"/>
            </w:pPr>
            <w:r>
              <w:t>List dependants, medication, school contacts, cash access and who can enter the home.</w:t>
            </w:r>
          </w:p>
        </w:tc>
      </w:tr>
      <w:tr>
        <w:trPr>
          <w:cantSplit w:val="true"/>
        </w:trPr>
        <w:tc>
          <w:tcPr>
            <w:tcW w:type="dxa" w:w="2381"/>
            <w:shd w:fill="F5F7F8"/>
            <w:tcMar>
              <w:top w:w="55" w:type="dxa"/>
              <w:start w:w="70" w:type="dxa"/>
              <w:bottom w:w="55" w:type="dxa"/>
              <w:end w:w="70" w:type="dxa"/>
            </w:tcMar>
            <w:vAlign w:val="top"/>
          </w:tcPr>
          <w:p>
            <w:pPr>
              <w:pStyle w:val="TableText"/>
            </w:pPr>
            <w:r>
              <w:t>Adult relative crisis away from Cambridge</w:t>
            </w:r>
          </w:p>
        </w:tc>
        <w:tc>
          <w:tcPr>
            <w:tcW w:type="dxa" w:w="7371"/>
            <w:shd w:fill="F5F7F8"/>
            <w:tcMar>
              <w:top w:w="55" w:type="dxa"/>
              <w:start w:w="70" w:type="dxa"/>
              <w:bottom w:w="55" w:type="dxa"/>
              <w:end w:w="70" w:type="dxa"/>
            </w:tcMar>
            <w:vAlign w:val="top"/>
          </w:tcPr>
          <w:p>
            <w:pPr>
              <w:pStyle w:val="TableText"/>
            </w:pPr>
            <w:r>
              <w:t>Set travel threshold, emergency fund and communication route; ask College about short-notice absence.</w:t>
            </w:r>
          </w:p>
        </w:tc>
      </w:tr>
      <w:tr>
        <w:trPr>
          <w:cantSplit w:val="true"/>
        </w:trPr>
        <w:tc>
          <w:tcPr>
            <w:tcW w:type="dxa" w:w="2381"/>
            <w:tcMar>
              <w:top w:w="55" w:type="dxa"/>
              <w:start w:w="70" w:type="dxa"/>
              <w:bottom w:w="55" w:type="dxa"/>
              <w:end w:w="70" w:type="dxa"/>
            </w:tcMar>
            <w:vAlign w:val="top"/>
          </w:tcPr>
          <w:p>
            <w:pPr>
              <w:pStyle w:val="TableText"/>
            </w:pPr>
            <w:r>
              <w:t>Relationship breakdown</w:t>
            </w:r>
          </w:p>
        </w:tc>
        <w:tc>
          <w:tcPr>
            <w:tcW w:type="dxa" w:w="7371"/>
            <w:tcMar>
              <w:top w:w="55" w:type="dxa"/>
              <w:start w:w="70" w:type="dxa"/>
              <w:bottom w:w="55" w:type="dxa"/>
              <w:end w:w="70" w:type="dxa"/>
            </w:tcMar>
            <w:vAlign w:val="top"/>
          </w:tcPr>
          <w:p>
            <w:pPr>
              <w:pStyle w:val="TableText"/>
            </w:pPr>
            <w:r>
              <w:t>Know tenancy status, separate finances, safe contacts, childcare rights and College emergency housing route.</w:t>
            </w:r>
          </w:p>
        </w:tc>
      </w:tr>
      <w:tr>
        <w:trPr>
          <w:cantSplit w:val="true"/>
        </w:trPr>
        <w:tc>
          <w:tcPr>
            <w:tcW w:type="dxa" w:w="2381"/>
            <w:shd w:fill="F5F7F8"/>
            <w:tcMar>
              <w:top w:w="55" w:type="dxa"/>
              <w:start w:w="70" w:type="dxa"/>
              <w:bottom w:w="55" w:type="dxa"/>
              <w:end w:w="70" w:type="dxa"/>
            </w:tcMar>
            <w:vAlign w:val="top"/>
          </w:tcPr>
          <w:p>
            <w:pPr>
              <w:pStyle w:val="TableText"/>
            </w:pPr>
            <w:r>
              <w:t>Family cannot understand workload</w:t>
            </w:r>
          </w:p>
        </w:tc>
        <w:tc>
          <w:tcPr>
            <w:tcW w:type="dxa" w:w="7371"/>
            <w:shd w:fill="F5F7F8"/>
            <w:tcMar>
              <w:top w:w="55" w:type="dxa"/>
              <w:start w:w="70" w:type="dxa"/>
              <w:bottom w:w="55" w:type="dxa"/>
              <w:end w:w="70" w:type="dxa"/>
            </w:tcMar>
            <w:vAlign w:val="top"/>
          </w:tcPr>
          <w:p>
            <w:pPr>
              <w:pStyle w:val="TableText"/>
            </w:pPr>
            <w:r>
              <w:t>Share the term calendar and two protected weekly blocks; schedule contact rather than remaining permanently available.</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Your adult responsibilities are part of planning, not an embarrassing exception to disclose only after failure.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Can partners and children enter which spaces and events? What family housing, parent network, guest room and emergency help actually exists?</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Assuming “family-friendly” means childcare, year-round housing and partner access are guaranteed rather than separately governed.</w:t>
            </w:r>
          </w:p>
        </w:tc>
      </w:tr>
    </w:tbl>
    <w:p>
      <w:pPr>
        <w:spacing w:after="40"/>
      </w:pPr>
    </w:p>
    <w:p>
      <w:pPr>
        <w:pStyle w:val="Heading1"/>
        <w:keepNext/>
      </w:pPr>
      <w:r>
        <w:t>11. Social life, equality and belonging</w:t>
      </w:r>
    </w:p>
    <w:p>
      <w:pPr>
        <w:spacing w:after="160"/>
      </w:pPr>
      <w:r>
        <w:rPr>
          <w:i/>
          <w:color w:val="5F6B73"/>
          <w:sz w:val="20"/>
        </w:rPr>
        <w:t>You do not have to become younger to become part of Cambridge.</w:t>
      </w:r>
    </w:p>
    <w:p>
      <w:pPr>
        <w:pStyle w:val="Heading2"/>
        <w:keepNext/>
      </w:pPr>
      <w:r>
        <w:t>Different mature students, different social problems</w:t>
      </w:r>
    </w:p>
    <w:p>
      <w:r>
        <w:t>A 21-year-old may qualify as mature while sharing nearly all the rhythms of a first-year undergraduate. A 35-year-old parent may be free only at lunch. A 50-year-old career changer may enjoy younger classmates but dislike being cast as the group’s parent. An international returner may be simultaneously older, new to Britain and subject to visa restrictions. “Mature student social life” is therefore a portfolio, not a club night.</w:t>
      </w:r>
    </w:p>
    <w:p>
      <w:pPr>
        <w:pStyle w:val="Heading2"/>
        <w:keepNext/>
      </w:pPr>
      <w:r>
        <w:t>Freshers’ period without performance</w:t>
      </w:r>
    </w:p>
    <w:p>
      <w:pPr>
        <w:pStyle w:val="ListBullet"/>
        <w:spacing w:after="30" w:line="247" w:lineRule="auto"/>
        <w:ind w:left="312" w:hanging="142"/>
      </w:pPr>
      <w:r>
        <w:t>Prioritise registration, subject induction, library/IT setup, Tutor and DoS meetings, accessibility arrangements and one or two social anchors.</w:t>
      </w:r>
    </w:p>
    <w:p>
      <w:pPr>
        <w:pStyle w:val="ListBullet"/>
        <w:spacing w:after="30" w:line="247" w:lineRule="auto"/>
        <w:ind w:left="312" w:hanging="142"/>
      </w:pPr>
      <w:r>
        <w:t>Attend a broad societies fair, but join only two activities initially: one connected to identity/experience and one unrelated to your CV.</w:t>
      </w:r>
    </w:p>
    <w:p>
      <w:pPr>
        <w:pStyle w:val="ListBullet"/>
        <w:spacing w:after="30" w:line="247" w:lineRule="auto"/>
        <w:ind w:left="312" w:hanging="142"/>
      </w:pPr>
      <w:r>
        <w:t>Leave alcohol-centred events when you wish. A simple “early start tomorrow—good to meet you” is enough.</w:t>
      </w:r>
    </w:p>
    <w:p>
      <w:pPr>
        <w:pStyle w:val="ListBullet"/>
        <w:spacing w:after="30" w:line="247" w:lineRule="auto"/>
        <w:ind w:left="312" w:hanging="142"/>
      </w:pPr>
      <w:r>
        <w:t>Use breakfast, lunch, coffee, volunteering, sport, music and academic societies to create repeated daytime contact.</w:t>
      </w:r>
    </w:p>
    <w:p>
      <w:pPr>
        <w:pStyle w:val="ListBullet"/>
        <w:spacing w:after="30" w:line="247" w:lineRule="auto"/>
        <w:ind w:left="312" w:hanging="142"/>
      </w:pPr>
      <w:r>
        <w:t>Do not tell your entire life story to prove openness. You can answer “What did you do before?” in one sentence and ask a question back.</w:t>
      </w:r>
    </w:p>
    <w:p>
      <w:pPr>
        <w:pStyle w:val="Heading2"/>
        <w:keepNext/>
      </w:pPr>
      <w:r>
        <w:t>Age questions and boundaries</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005"/>
        <w:gridCol w:w="6746"/>
      </w:tblGrid>
      <w:tr>
        <w:trPr>
          <w:tblHeader w:val="true"/>
          <w:cantSplit w:val="true"/>
        </w:trPr>
        <w:tc>
          <w:tcPr>
            <w:tcW w:type="dxa" w:w="3005"/>
            <w:shd w:fill="17324D"/>
            <w:tcMar>
              <w:top w:w="70" w:type="dxa"/>
              <w:start w:w="80" w:type="dxa"/>
              <w:bottom w:w="70" w:type="dxa"/>
              <w:end w:w="80" w:type="dxa"/>
            </w:tcMar>
            <w:vAlign w:val="center"/>
          </w:tcPr>
          <w:p>
            <w:pPr>
              <w:pStyle w:val="TableText"/>
              <w:jc w:val="left"/>
            </w:pPr>
            <w:r>
              <w:rPr>
                <w:b/>
                <w:color w:val="FFFFFF"/>
                <w:sz w:val="15"/>
              </w:rPr>
              <w:t>Moment</w:t>
            </w:r>
          </w:p>
        </w:tc>
        <w:tc>
          <w:tcPr>
            <w:tcW w:type="dxa" w:w="6747"/>
            <w:shd w:fill="17324D"/>
            <w:tcMar>
              <w:top w:w="70" w:type="dxa"/>
              <w:start w:w="80" w:type="dxa"/>
              <w:bottom w:w="70" w:type="dxa"/>
              <w:end w:w="80" w:type="dxa"/>
            </w:tcMar>
            <w:vAlign w:val="center"/>
          </w:tcPr>
          <w:p>
            <w:pPr>
              <w:pStyle w:val="TableText"/>
              <w:jc w:val="left"/>
            </w:pPr>
            <w:r>
              <w:rPr>
                <w:b/>
                <w:color w:val="FFFFFF"/>
                <w:sz w:val="15"/>
              </w:rPr>
              <w:t>Useful response</w:t>
            </w:r>
          </w:p>
        </w:tc>
      </w:tr>
      <w:tr>
        <w:trPr>
          <w:cantSplit w:val="true"/>
        </w:trPr>
        <w:tc>
          <w:tcPr>
            <w:tcW w:type="dxa" w:w="3005"/>
            <w:tcMar>
              <w:top w:w="55" w:type="dxa"/>
              <w:start w:w="70" w:type="dxa"/>
              <w:bottom w:w="55" w:type="dxa"/>
              <w:end w:w="70" w:type="dxa"/>
            </w:tcMar>
            <w:vAlign w:val="top"/>
          </w:tcPr>
          <w:p>
            <w:pPr>
              <w:pStyle w:val="TableText"/>
            </w:pPr>
            <w:r>
              <w:t>“How old are you?”</w:t>
            </w:r>
          </w:p>
        </w:tc>
        <w:tc>
          <w:tcPr>
            <w:tcW w:type="dxa" w:w="6747"/>
            <w:tcMar>
              <w:top w:w="55" w:type="dxa"/>
              <w:start w:w="70" w:type="dxa"/>
              <w:bottom w:w="55" w:type="dxa"/>
              <w:end w:w="70" w:type="dxa"/>
            </w:tcMar>
            <w:vAlign w:val="top"/>
          </w:tcPr>
          <w:p>
            <w:pPr>
              <w:pStyle w:val="TableText"/>
            </w:pPr>
            <w:r>
              <w:t>“Old enough to count as mature; I’m 34. What brought you to this course?” Or: “I keep the number private, but I came back after working.”</w:t>
            </w:r>
          </w:p>
        </w:tc>
      </w:tr>
      <w:tr>
        <w:trPr>
          <w:cantSplit w:val="true"/>
        </w:trPr>
        <w:tc>
          <w:tcPr>
            <w:tcW w:type="dxa" w:w="3005"/>
            <w:shd w:fill="F5F7F8"/>
            <w:tcMar>
              <w:top w:w="55" w:type="dxa"/>
              <w:start w:w="70" w:type="dxa"/>
              <w:bottom w:w="55" w:type="dxa"/>
              <w:end w:w="70" w:type="dxa"/>
            </w:tcMar>
            <w:vAlign w:val="top"/>
          </w:tcPr>
          <w:p>
            <w:pPr>
              <w:pStyle w:val="TableText"/>
            </w:pPr>
            <w:r>
              <w:t>“You’re basically our parent.”</w:t>
            </w:r>
          </w:p>
        </w:tc>
        <w:tc>
          <w:tcPr>
            <w:tcW w:type="dxa" w:w="6747"/>
            <w:shd w:fill="F5F7F8"/>
            <w:tcMar>
              <w:top w:w="55" w:type="dxa"/>
              <w:start w:w="70" w:type="dxa"/>
              <w:bottom w:w="55" w:type="dxa"/>
              <w:end w:w="70" w:type="dxa"/>
            </w:tcMar>
            <w:vAlign w:val="top"/>
          </w:tcPr>
          <w:p>
            <w:pPr>
              <w:pStyle w:val="TableText"/>
            </w:pPr>
            <w:r>
              <w:t>“I’m happy to be a classmate, not the group parent.”</w:t>
            </w:r>
          </w:p>
        </w:tc>
      </w:tr>
      <w:tr>
        <w:trPr>
          <w:cantSplit w:val="true"/>
        </w:trPr>
        <w:tc>
          <w:tcPr>
            <w:tcW w:type="dxa" w:w="3005"/>
            <w:tcMar>
              <w:top w:w="55" w:type="dxa"/>
              <w:start w:w="70" w:type="dxa"/>
              <w:bottom w:w="55" w:type="dxa"/>
              <w:end w:w="70" w:type="dxa"/>
            </w:tcMar>
            <w:vAlign w:val="top"/>
          </w:tcPr>
          <w:p>
            <w:pPr>
              <w:pStyle w:val="TableText"/>
            </w:pPr>
            <w:r>
              <w:t>Assumption you are staff/postgraduate</w:t>
            </w:r>
          </w:p>
        </w:tc>
        <w:tc>
          <w:tcPr>
            <w:tcW w:type="dxa" w:w="6747"/>
            <w:tcMar>
              <w:top w:w="55" w:type="dxa"/>
              <w:start w:w="70" w:type="dxa"/>
              <w:bottom w:w="55" w:type="dxa"/>
              <w:end w:w="70" w:type="dxa"/>
            </w:tcMar>
            <w:vAlign w:val="top"/>
          </w:tcPr>
          <w:p>
            <w:pPr>
              <w:pStyle w:val="TableText"/>
            </w:pPr>
            <w:r>
              <w:t>“I’m a first-year undergraduate in History—mature route.”</w:t>
            </w:r>
          </w:p>
        </w:tc>
      </w:tr>
      <w:tr>
        <w:trPr>
          <w:cantSplit w:val="true"/>
        </w:trPr>
        <w:tc>
          <w:tcPr>
            <w:tcW w:type="dxa" w:w="3005"/>
            <w:shd w:fill="F5F7F8"/>
            <w:tcMar>
              <w:top w:w="55" w:type="dxa"/>
              <w:start w:w="70" w:type="dxa"/>
              <w:bottom w:w="55" w:type="dxa"/>
              <w:end w:w="70" w:type="dxa"/>
            </w:tcMar>
            <w:vAlign w:val="top"/>
          </w:tcPr>
          <w:p>
            <w:pPr>
              <w:pStyle w:val="TableText"/>
            </w:pPr>
            <w:r>
              <w:t>Pressure to attend a late event</w:t>
            </w:r>
          </w:p>
        </w:tc>
        <w:tc>
          <w:tcPr>
            <w:tcW w:type="dxa" w:w="6747"/>
            <w:shd w:fill="F5F7F8"/>
            <w:tcMar>
              <w:top w:w="55" w:type="dxa"/>
              <w:start w:w="70" w:type="dxa"/>
              <w:bottom w:w="55" w:type="dxa"/>
              <w:end w:w="70" w:type="dxa"/>
            </w:tcMar>
            <w:vAlign w:val="top"/>
          </w:tcPr>
          <w:p>
            <w:pPr>
              <w:pStyle w:val="TableText"/>
            </w:pPr>
            <w:r>
              <w:t>“I cannot do evenings, but I’m free for coffee after Thursday’s lecture.”</w:t>
            </w:r>
          </w:p>
        </w:tc>
      </w:tr>
      <w:tr>
        <w:trPr>
          <w:cantSplit w:val="true"/>
        </w:trPr>
        <w:tc>
          <w:tcPr>
            <w:tcW w:type="dxa" w:w="3005"/>
            <w:tcMar>
              <w:top w:w="55" w:type="dxa"/>
              <w:start w:w="70" w:type="dxa"/>
              <w:bottom w:w="55" w:type="dxa"/>
              <w:end w:w="70" w:type="dxa"/>
            </w:tcMar>
            <w:vAlign w:val="top"/>
          </w:tcPr>
          <w:p>
            <w:pPr>
              <w:pStyle w:val="TableText"/>
            </w:pPr>
            <w:r>
              <w:t>Questions about children</w:t>
            </w:r>
          </w:p>
        </w:tc>
        <w:tc>
          <w:tcPr>
            <w:tcW w:type="dxa" w:w="6747"/>
            <w:tcMar>
              <w:top w:w="55" w:type="dxa"/>
              <w:start w:w="70" w:type="dxa"/>
              <w:bottom w:w="55" w:type="dxa"/>
              <w:end w:w="70" w:type="dxa"/>
            </w:tcMar>
            <w:vAlign w:val="top"/>
          </w:tcPr>
          <w:p>
            <w:pPr>
              <w:pStyle w:val="TableText"/>
            </w:pPr>
            <w:r>
              <w:t>“I have caring commitments, so I plan ahead. I don’t need special treatment; I do need clear times.”</w:t>
            </w:r>
          </w:p>
        </w:tc>
      </w:tr>
      <w:tr>
        <w:trPr>
          <w:cantSplit w:val="true"/>
        </w:trPr>
        <w:tc>
          <w:tcPr>
            <w:tcW w:type="dxa" w:w="3005"/>
            <w:shd w:fill="F5F7F8"/>
            <w:tcMar>
              <w:top w:w="55" w:type="dxa"/>
              <w:start w:w="70" w:type="dxa"/>
              <w:bottom w:w="55" w:type="dxa"/>
              <w:end w:w="70" w:type="dxa"/>
            </w:tcMar>
            <w:vAlign w:val="top"/>
          </w:tcPr>
          <w:p>
            <w:pPr>
              <w:pStyle w:val="TableText"/>
            </w:pPr>
            <w:r>
              <w:t>Intrusive question about a gap</w:t>
            </w:r>
          </w:p>
        </w:tc>
        <w:tc>
          <w:tcPr>
            <w:tcW w:type="dxa" w:w="6747"/>
            <w:shd w:fill="F5F7F8"/>
            <w:tcMar>
              <w:top w:w="55" w:type="dxa"/>
              <w:start w:w="70" w:type="dxa"/>
              <w:bottom w:w="55" w:type="dxa"/>
              <w:end w:w="70" w:type="dxa"/>
            </w:tcMar>
            <w:vAlign w:val="top"/>
          </w:tcPr>
          <w:p>
            <w:pPr>
              <w:pStyle w:val="TableText"/>
            </w:pPr>
            <w:r>
              <w:t>“There is a longer story, but the useful version is that I returned through an Access course.”</w:t>
            </w:r>
          </w:p>
        </w:tc>
      </w:tr>
    </w:tbl>
    <w:p>
      <w:pPr>
        <w:spacing w:after="20"/>
      </w:pPr>
    </w:p>
    <w:p>
      <w:pPr>
        <w:pStyle w:val="Heading2"/>
        <w:keepNext/>
      </w:pPr>
      <w:r>
        <w:t>Class, accent and money</w:t>
      </w:r>
    </w:p>
    <w:p>
      <w:r>
        <w:t>Cambridge contains privilege, including students for whom formalwear, unpaid internships and family-funded emergencies are normal. It also contains state-school students, first-generation students, refugees, care-experienced students, disabled students, parents and people managing debt. Do not use the loudest confident person as a demographic survey. The difficult part is often not difference itself but hidden assumptions about time, cash, networks and prior knowledge.</w:t>
      </w:r>
    </w:p>
    <w:p>
      <w:pPr>
        <w:pStyle w:val="ListBullet"/>
        <w:spacing w:after="30" w:line="247" w:lineRule="auto"/>
        <w:ind w:left="312" w:hanging="142"/>
      </w:pPr>
      <w:r>
        <w:t>Ask the cost before accepting an invitation; “What is included?” is an ordinary question.</w:t>
      </w:r>
    </w:p>
    <w:p>
      <w:pPr>
        <w:pStyle w:val="ListBullet"/>
        <w:spacing w:after="30" w:line="247" w:lineRule="auto"/>
        <w:ind w:left="312" w:hanging="142"/>
      </w:pPr>
      <w:r>
        <w:t>Use bursary or subsidised tickets where offered. Do not pay for belonging with rent money.</w:t>
      </w:r>
    </w:p>
    <w:p>
      <w:pPr>
        <w:pStyle w:val="ListBullet"/>
        <w:spacing w:after="30" w:line="247" w:lineRule="auto"/>
        <w:ind w:left="312" w:hanging="142"/>
      </w:pPr>
      <w:r>
        <w:t>Name scheduling exclusion concretely: “All three meetings are after my last childcare collection.” Propose a rotating daytime option.</w:t>
      </w:r>
    </w:p>
    <w:p>
      <w:pPr>
        <w:pStyle w:val="ListBullet"/>
        <w:spacing w:after="30" w:line="247" w:lineRule="auto"/>
        <w:ind w:left="312" w:hanging="142"/>
      </w:pPr>
      <w:r>
        <w:t>When accent or background is mocked, record the words, date and witnesses; choose informal challenge, representative support or formal reporting according to impact and safety.</w:t>
      </w:r>
    </w:p>
    <w:p>
      <w:pPr>
        <w:pStyle w:val="ListBullet"/>
        <w:spacing w:after="30" w:line="247" w:lineRule="auto"/>
        <w:ind w:left="312" w:hanging="142"/>
      </w:pPr>
      <w:r>
        <w:t>Find peers across College, course, current Cambridge SU forums, elected representatives and societies rather than requiring one group to meet every need. [SU02] [SU03] [SU04]</w:t>
      </w:r>
    </w:p>
    <w:p>
      <w:pPr>
        <w:pStyle w:val="Heading2"/>
        <w:keepNext/>
      </w:pPr>
      <w:r>
        <w:t>Dating and relationships</w:t>
      </w:r>
    </w:p>
    <w:p>
      <w:r>
        <w:t>Age gaps among adult students are not inherently improper, but power and role matter. Avoid relationships where you assess, supervise, mentor or control another person’s access. Keep boundaries with very young classmates if your life stage, authority or caring identity makes the dynamic uncomfortable. College gossip can be intense in small communities; protect privacy and know the harassment and consent routes.</w:t>
      </w:r>
    </w:p>
    <w:p>
      <w:pPr>
        <w:pStyle w:val="Heading2"/>
        <w:keepNext/>
      </w:pPr>
      <w:r>
        <w:t>Building belonging deliberately</w:t>
      </w:r>
    </w:p>
    <w:p>
      <w:pPr>
        <w:spacing w:after="40"/>
        <w:ind w:left="351" w:hanging="272"/>
      </w:pPr>
      <w:r>
        <w:rPr>
          <w:b/>
        </w:rPr>
        <w:t xml:space="preserve">1.  </w:t>
      </w:r>
      <w:r>
        <w:t>Choose a regular physical place: the same library table, café hour, gym class or College lunch.</w:t>
      </w:r>
    </w:p>
    <w:p>
      <w:pPr>
        <w:spacing w:after="40"/>
        <w:ind w:left="351" w:hanging="272"/>
      </w:pPr>
      <w:r>
        <w:rPr>
          <w:b/>
        </w:rPr>
        <w:t xml:space="preserve">2.  </w:t>
      </w:r>
      <w:r>
        <w:t>Create one repeated small invitation: “I am at the Buttery after Tuesday’s lecture.” Repetition works better than one spectacular social effort.</w:t>
      </w:r>
    </w:p>
    <w:p>
      <w:pPr>
        <w:spacing w:after="40"/>
        <w:ind w:left="351" w:hanging="272"/>
      </w:pPr>
      <w:r>
        <w:rPr>
          <w:b/>
        </w:rPr>
        <w:t xml:space="preserve">3.  </w:t>
      </w:r>
      <w:r>
        <w:t>Maintain one relationship outside Cambridge that is not an academic performance review.</w:t>
      </w:r>
    </w:p>
    <w:p>
      <w:pPr>
        <w:spacing w:after="40"/>
        <w:ind w:left="351" w:hanging="272"/>
      </w:pPr>
      <w:r>
        <w:rPr>
          <w:b/>
        </w:rPr>
        <w:t xml:space="preserve">4.  </w:t>
      </w:r>
      <w:r>
        <w:t>Attend one tradition because you are curious and opt out of another without apology.</w:t>
      </w:r>
    </w:p>
    <w:p>
      <w:pPr>
        <w:spacing w:after="40"/>
        <w:ind w:left="351" w:hanging="272"/>
      </w:pPr>
      <w:r>
        <w:rPr>
          <w:b/>
        </w:rPr>
        <w:t xml:space="preserve">5.  </w:t>
      </w:r>
      <w:r>
        <w:t>When an environment feels exclusionary, test whether the barrier is one event, one organiser or a structural pattern; then choose another route or escalate with evidence.</w:t>
      </w:r>
    </w:p>
    <w:p>
      <w:r>
        <w:t>Loneliness during vacations can surprise students who disliked term-time intensity. Check which College spaces, libraries, cafés and communities remain open; schedule contact before others leave. International, estranged and care-experienced students may need a year-round “home” plan rather than a vacation travel assumption.</w:t>
      </w:r>
    </w:p>
    <w:p>
      <w:pPr>
        <w:pStyle w:val="Heading1"/>
        <w:keepNext/>
      </w:pPr>
      <w:r>
        <w:t>11A. What mature students repeatedly say they wish they had known</w:t>
      </w:r>
    </w:p>
    <w:p>
      <w:pPr/>
      <w:r>
        <w:t>This section synthesises recurring themes in published University profiles and student accounts. It is reported experience, not a promise of how every College or person will behave. No fictional testimony has been created. [U42]</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2350"/>
            <w:shd w:fill="17324D" w:val="clear"/>
            <w:vAlign w:val="center"/>
          </w:tcPr>
          <w:p>
            <w:pPr>
              <w:spacing w:after="20"/>
              <w:jc w:val="left"/>
            </w:pPr>
            <w:r>
              <w:rPr>
                <w:rFonts w:ascii="Lato" w:hAnsi="Lato"/>
                <w:b/>
                <w:color w:val="FFFFFF"/>
                <w:sz w:val="14"/>
              </w:rPr>
              <w:t>Recurring theme</w:t>
            </w:r>
          </w:p>
        </w:tc>
        <w:tc>
          <w:tcPr>
            <w:tcW w:type="dxa" w:w="4450"/>
            <w:shd w:fill="17324D" w:val="clear"/>
            <w:vAlign w:val="center"/>
          </w:tcPr>
          <w:p>
            <w:pPr>
              <w:spacing w:after="20"/>
              <w:jc w:val="left"/>
            </w:pPr>
            <w:r>
              <w:rPr>
                <w:rFonts w:ascii="Lato" w:hAnsi="Lato"/>
                <w:b/>
                <w:color w:val="FFFFFF"/>
                <w:sz w:val="14"/>
              </w:rPr>
              <w:t>What accounts tend to report</w:t>
            </w:r>
          </w:p>
        </w:tc>
        <w:tc>
          <w:tcPr>
            <w:tcW w:type="dxa" w:w="3236"/>
            <w:shd w:fill="17324D" w:val="clear"/>
            <w:vAlign w:val="center"/>
          </w:tcPr>
          <w:p>
            <w:pPr>
              <w:spacing w:after="20"/>
              <w:jc w:val="left"/>
            </w:pPr>
            <w:r>
              <w:rPr>
                <w:rFonts w:ascii="Lato" w:hAnsi="Lato"/>
                <w:b/>
                <w:color w:val="FFFFFF"/>
                <w:sz w:val="14"/>
              </w:rPr>
              <w:t>Practical use</w:t>
            </w:r>
          </w:p>
        </w:tc>
      </w:tr>
      <w:tr>
        <w:trPr>
          <w:cantSplit w:val="true"/>
        </w:trPr>
        <w:tc>
          <w:tcPr>
            <w:tcW w:type="dxa" w:w="2350"/>
            <w:vAlign w:val="top"/>
          </w:tcPr>
          <w:p>
            <w:pPr>
              <w:spacing w:after="24" w:line="240" w:lineRule="auto"/>
            </w:pPr>
            <w:r/>
            <w:r>
              <w:rPr>
                <w:rFonts w:ascii="Lato" w:hAnsi="Lato"/>
                <w:color w:val="222222"/>
                <w:sz w:val="14"/>
              </w:rPr>
              <w:t>Age anxiety is front-loaded</w:t>
            </w:r>
          </w:p>
        </w:tc>
        <w:tc>
          <w:tcPr>
            <w:tcW w:type="dxa" w:w="4450"/>
            <w:vAlign w:val="top"/>
          </w:tcPr>
          <w:p>
            <w:pPr>
              <w:spacing w:after="24" w:line="240" w:lineRule="auto"/>
            </w:pPr>
            <w:r/>
            <w:r>
              <w:rPr>
                <w:rFonts w:ascii="Lato" w:hAnsi="Lato"/>
                <w:color w:val="222222"/>
                <w:sz w:val="14"/>
              </w:rPr>
              <w:t>People often fear being conspicuous before arrival, then find age becomes less interesting once lectures, work and shared routines begin.</w:t>
            </w:r>
          </w:p>
        </w:tc>
        <w:tc>
          <w:tcPr>
            <w:tcW w:type="dxa" w:w="3236"/>
            <w:vAlign w:val="top"/>
          </w:tcPr>
          <w:p>
            <w:pPr>
              <w:spacing w:after="24" w:line="240" w:lineRule="auto"/>
            </w:pPr>
            <w:r/>
            <w:r>
              <w:rPr>
                <w:rFonts w:ascii="Lato" w:hAnsi="Lato"/>
                <w:color w:val="222222"/>
                <w:sz w:val="14"/>
              </w:rPr>
              <w:t>Do not use the first awkward conversation as a forecast for the year.</w:t>
            </w:r>
          </w:p>
        </w:tc>
      </w:tr>
      <w:tr>
        <w:trPr>
          <w:cantSplit w:val="true"/>
        </w:trPr>
        <w:tc>
          <w:tcPr>
            <w:tcW w:type="dxa" w:w="2350"/>
            <w:shd w:fill="F5F7F8" w:val="clear"/>
            <w:vAlign w:val="top"/>
          </w:tcPr>
          <w:p>
            <w:pPr>
              <w:spacing w:after="24" w:line="240" w:lineRule="auto"/>
            </w:pPr>
            <w:r/>
            <w:r>
              <w:rPr>
                <w:rFonts w:ascii="Lato" w:hAnsi="Lato"/>
                <w:color w:val="222222"/>
                <w:sz w:val="14"/>
              </w:rPr>
              <w:t>Friendship follows repetition</w:t>
            </w:r>
          </w:p>
        </w:tc>
        <w:tc>
          <w:tcPr>
            <w:tcW w:type="dxa" w:w="4450"/>
            <w:shd w:fill="F5F7F8" w:val="clear"/>
            <w:vAlign w:val="top"/>
          </w:tcPr>
          <w:p>
            <w:pPr>
              <w:spacing w:after="24" w:line="240" w:lineRule="auto"/>
            </w:pPr>
            <w:r/>
            <w:r>
              <w:rPr>
                <w:rFonts w:ascii="Lato" w:hAnsi="Lato"/>
                <w:color w:val="222222"/>
                <w:sz w:val="14"/>
              </w:rPr>
              <w:t>Course-mates, the same library table, a sports outing or regular College lunch create more connection than one spectacular Freshers’ event.</w:t>
            </w:r>
          </w:p>
        </w:tc>
        <w:tc>
          <w:tcPr>
            <w:tcW w:type="dxa" w:w="3236"/>
            <w:shd w:fill="F5F7F8" w:val="clear"/>
            <w:vAlign w:val="top"/>
          </w:tcPr>
          <w:p>
            <w:pPr>
              <w:spacing w:after="24" w:line="240" w:lineRule="auto"/>
            </w:pPr>
            <w:r/>
            <w:r>
              <w:rPr>
                <w:rFonts w:ascii="Lato" w:hAnsi="Lato"/>
                <w:color w:val="222222"/>
                <w:sz w:val="14"/>
              </w:rPr>
              <w:t>Choose one daytime and one academic/social recurring anchor.</w:t>
            </w:r>
          </w:p>
        </w:tc>
      </w:tr>
      <w:tr>
        <w:trPr>
          <w:cantSplit w:val="true"/>
        </w:trPr>
        <w:tc>
          <w:tcPr>
            <w:tcW w:type="dxa" w:w="2350"/>
            <w:vAlign w:val="top"/>
          </w:tcPr>
          <w:p>
            <w:pPr>
              <w:spacing w:after="24" w:line="240" w:lineRule="auto"/>
            </w:pPr>
            <w:r/>
            <w:r>
              <w:rPr>
                <w:rFonts w:ascii="Lato" w:hAnsi="Lato"/>
                <w:color w:val="222222"/>
                <w:sz w:val="14"/>
              </w:rPr>
              <w:t>The first feedback hurts</w:t>
            </w:r>
          </w:p>
        </w:tc>
        <w:tc>
          <w:tcPr>
            <w:tcW w:type="dxa" w:w="4450"/>
            <w:vAlign w:val="top"/>
          </w:tcPr>
          <w:p>
            <w:pPr>
              <w:spacing w:after="24" w:line="240" w:lineRule="auto"/>
            </w:pPr>
            <w:r/>
            <w:r>
              <w:rPr>
                <w:rFonts w:ascii="Lato" w:hAnsi="Lato"/>
                <w:color w:val="222222"/>
                <w:sz w:val="14"/>
              </w:rPr>
              <w:t>Returners can interpret an ordinary critical supervision as proof that they have lost academic ability.</w:t>
            </w:r>
          </w:p>
        </w:tc>
        <w:tc>
          <w:tcPr>
            <w:tcW w:type="dxa" w:w="3236"/>
            <w:vAlign w:val="top"/>
          </w:tcPr>
          <w:p>
            <w:pPr>
              <w:spacing w:after="24" w:line="240" w:lineRule="auto"/>
            </w:pPr>
            <w:r/>
            <w:r>
              <w:rPr>
                <w:rFonts w:ascii="Lato" w:hAnsi="Lato"/>
                <w:color w:val="222222"/>
                <w:sz w:val="14"/>
              </w:rPr>
              <w:t>Ask for three concrete changes and apply them to the next piece.</w:t>
            </w:r>
          </w:p>
        </w:tc>
      </w:tr>
      <w:tr>
        <w:trPr>
          <w:cantSplit w:val="true"/>
        </w:trPr>
        <w:tc>
          <w:tcPr>
            <w:tcW w:type="dxa" w:w="2350"/>
            <w:shd w:fill="F5F7F8" w:val="clear"/>
            <w:vAlign w:val="top"/>
          </w:tcPr>
          <w:p>
            <w:pPr>
              <w:spacing w:after="24" w:line="240" w:lineRule="auto"/>
            </w:pPr>
            <w:r/>
            <w:r>
              <w:rPr>
                <w:rFonts w:ascii="Lato" w:hAnsi="Lato"/>
                <w:color w:val="222222"/>
                <w:sz w:val="14"/>
              </w:rPr>
              <w:t>Official guides under-explain vacations</w:t>
            </w:r>
          </w:p>
        </w:tc>
        <w:tc>
          <w:tcPr>
            <w:tcW w:type="dxa" w:w="4450"/>
            <w:shd w:fill="F5F7F8" w:val="clear"/>
            <w:vAlign w:val="top"/>
          </w:tcPr>
          <w:p>
            <w:pPr>
              <w:spacing w:after="24" w:line="240" w:lineRule="auto"/>
            </w:pPr>
            <w:r/>
            <w:r>
              <w:rPr>
                <w:rFonts w:ascii="Lato" w:hAnsi="Lato"/>
                <w:color w:val="222222"/>
                <w:sz w:val="14"/>
              </w:rPr>
              <w:t>Housing, loneliness, family re-entry, paid work and revision collide outside Full Term.</w:t>
            </w:r>
          </w:p>
        </w:tc>
        <w:tc>
          <w:tcPr>
            <w:tcW w:type="dxa" w:w="3236"/>
            <w:shd w:fill="F5F7F8" w:val="clear"/>
            <w:vAlign w:val="top"/>
          </w:tcPr>
          <w:p>
            <w:pPr>
              <w:spacing w:after="24" w:line="240" w:lineRule="auto"/>
            </w:pPr>
            <w:r/>
            <w:r>
              <w:rPr>
                <w:rFonts w:ascii="Lato" w:hAnsi="Lato"/>
                <w:color w:val="222222"/>
                <w:sz w:val="14"/>
              </w:rPr>
              <w:t>Plan each vacation as a separate period with accommodation, income, work and rest.</w:t>
            </w:r>
          </w:p>
        </w:tc>
      </w:tr>
      <w:tr>
        <w:trPr>
          <w:cantSplit w:val="true"/>
        </w:trPr>
        <w:tc>
          <w:tcPr>
            <w:tcW w:type="dxa" w:w="2350"/>
            <w:vAlign w:val="top"/>
          </w:tcPr>
          <w:p>
            <w:pPr>
              <w:spacing w:after="24" w:line="240" w:lineRule="auto"/>
            </w:pPr>
            <w:r/>
            <w:r>
              <w:rPr>
                <w:rFonts w:ascii="Lato" w:hAnsi="Lato"/>
                <w:color w:val="222222"/>
                <w:sz w:val="14"/>
              </w:rPr>
              <w:t>Money is about timing as well as totals</w:t>
            </w:r>
          </w:p>
        </w:tc>
        <w:tc>
          <w:tcPr>
            <w:tcW w:type="dxa" w:w="4450"/>
            <w:vAlign w:val="top"/>
          </w:tcPr>
          <w:p>
            <w:pPr>
              <w:spacing w:after="24" w:line="240" w:lineRule="auto"/>
            </w:pPr>
            <w:r/>
            <w:r>
              <w:rPr>
                <w:rFonts w:ascii="Lato" w:hAnsi="Lato"/>
                <w:color w:val="222222"/>
                <w:sz w:val="14"/>
              </w:rPr>
              <w:t>Bursaries and loans help, but deposits, College bills and childcare upfront costs can still produce a crisis.</w:t>
            </w:r>
          </w:p>
        </w:tc>
        <w:tc>
          <w:tcPr>
            <w:tcW w:type="dxa" w:w="3236"/>
            <w:vAlign w:val="top"/>
          </w:tcPr>
          <w:p>
            <w:pPr>
              <w:spacing w:after="24" w:line="240" w:lineRule="auto"/>
            </w:pPr>
            <w:r/>
            <w:r>
              <w:rPr>
                <w:rFonts w:ascii="Lato" w:hAnsi="Lato"/>
                <w:color w:val="222222"/>
                <w:sz w:val="14"/>
              </w:rPr>
              <w:t>Map payment dates and ask about bill plans before Week 1.</w:t>
            </w:r>
          </w:p>
        </w:tc>
      </w:tr>
      <w:tr>
        <w:trPr>
          <w:cantSplit w:val="true"/>
        </w:trPr>
        <w:tc>
          <w:tcPr>
            <w:tcW w:type="dxa" w:w="2350"/>
            <w:shd w:fill="F5F7F8" w:val="clear"/>
            <w:vAlign w:val="top"/>
          </w:tcPr>
          <w:p>
            <w:pPr>
              <w:spacing w:after="24" w:line="240" w:lineRule="auto"/>
            </w:pPr>
            <w:r/>
            <w:r>
              <w:rPr>
                <w:rFonts w:ascii="Lato" w:hAnsi="Lato"/>
                <w:color w:val="222222"/>
                <w:sz w:val="14"/>
              </w:rPr>
              <w:t>Older cohorts have different friction</w:t>
            </w:r>
          </w:p>
        </w:tc>
        <w:tc>
          <w:tcPr>
            <w:tcW w:type="dxa" w:w="4450"/>
            <w:shd w:fill="F5F7F8" w:val="clear"/>
            <w:vAlign w:val="top"/>
          </w:tcPr>
          <w:p>
            <w:pPr>
              <w:spacing w:after="24" w:line="240" w:lineRule="auto"/>
            </w:pPr>
            <w:r/>
            <w:r>
              <w:rPr>
                <w:rFonts w:ascii="Lato" w:hAnsi="Lato"/>
                <w:color w:val="222222"/>
                <w:sz w:val="14"/>
              </w:rPr>
              <w:t>Students over 30, 40 or 50 may face less identity uncertainty but more housing, health, parenting or elder-care logistics.</w:t>
            </w:r>
          </w:p>
        </w:tc>
        <w:tc>
          <w:tcPr>
            <w:tcW w:type="dxa" w:w="3236"/>
            <w:shd w:fill="F5F7F8" w:val="clear"/>
            <w:vAlign w:val="top"/>
          </w:tcPr>
          <w:p>
            <w:pPr>
              <w:spacing w:after="24" w:line="240" w:lineRule="auto"/>
            </w:pPr>
            <w:r/>
            <w:r>
              <w:rPr>
                <w:rFonts w:ascii="Lato" w:hAnsi="Lato"/>
                <w:color w:val="222222"/>
                <w:sz w:val="14"/>
              </w:rPr>
              <w:t>Choose College and schedule on practical fit rather than the idea of a “traditional experience”.</w:t>
            </w:r>
          </w:p>
        </w:tc>
      </w:tr>
      <w:tr>
        <w:trPr>
          <w:cantSplit w:val="true"/>
        </w:trPr>
        <w:tc>
          <w:tcPr>
            <w:tcW w:type="dxa" w:w="2350"/>
            <w:vAlign w:val="top"/>
          </w:tcPr>
          <w:p>
            <w:pPr>
              <w:spacing w:after="24" w:line="240" w:lineRule="auto"/>
            </w:pPr>
            <w:r/>
            <w:r>
              <w:rPr>
                <w:rFonts w:ascii="Lato" w:hAnsi="Lato"/>
                <w:color w:val="222222"/>
                <w:sz w:val="14"/>
              </w:rPr>
              <w:t>Early disclosure improves outcomes</w:t>
            </w:r>
          </w:p>
        </w:tc>
        <w:tc>
          <w:tcPr>
            <w:tcW w:type="dxa" w:w="4450"/>
            <w:vAlign w:val="top"/>
          </w:tcPr>
          <w:p>
            <w:pPr>
              <w:spacing w:after="24" w:line="240" w:lineRule="auto"/>
            </w:pPr>
            <w:r/>
            <w:r>
              <w:rPr>
                <w:rFonts w:ascii="Lato" w:hAnsi="Lato"/>
                <w:color w:val="222222"/>
                <w:sz w:val="14"/>
              </w:rPr>
              <w:t>Students repeatedly wish they had told a Tutor, DoS or disability service sooner.</w:t>
            </w:r>
          </w:p>
        </w:tc>
        <w:tc>
          <w:tcPr>
            <w:tcW w:type="dxa" w:w="3236"/>
            <w:vAlign w:val="top"/>
          </w:tcPr>
          <w:p>
            <w:pPr>
              <w:spacing w:after="24" w:line="240" w:lineRule="auto"/>
            </w:pPr>
            <w:r/>
            <w:r>
              <w:rPr>
                <w:rFonts w:ascii="Lato" w:hAnsi="Lato"/>
                <w:color w:val="222222"/>
                <w:sz w:val="14"/>
              </w:rPr>
              <w:t>Treat early communication as competent project management, not confession.</w:t>
            </w:r>
          </w:p>
        </w:tc>
      </w:tr>
      <w:tr>
        <w:trPr>
          <w:cantSplit w:val="true"/>
        </w:trPr>
        <w:tc>
          <w:tcPr>
            <w:tcW w:type="dxa" w:w="2350"/>
            <w:shd w:fill="F5F7F8" w:val="clear"/>
            <w:vAlign w:val="top"/>
          </w:tcPr>
          <w:p>
            <w:pPr>
              <w:spacing w:after="24" w:line="240" w:lineRule="auto"/>
            </w:pPr>
            <w:r/>
            <w:r>
              <w:rPr>
                <w:rFonts w:ascii="Lato" w:hAnsi="Lato"/>
                <w:color w:val="222222"/>
                <w:sz w:val="14"/>
              </w:rPr>
              <w:t>Mature Colleges are still social</w:t>
            </w:r>
          </w:p>
        </w:tc>
        <w:tc>
          <w:tcPr>
            <w:tcW w:type="dxa" w:w="4450"/>
            <w:shd w:fill="F5F7F8" w:val="clear"/>
            <w:vAlign w:val="top"/>
          </w:tcPr>
          <w:p>
            <w:pPr>
              <w:spacing w:after="24" w:line="240" w:lineRule="auto"/>
            </w:pPr>
            <w:r/>
            <w:r>
              <w:rPr>
                <w:rFonts w:ascii="Lato" w:hAnsi="Lato"/>
                <w:color w:val="222222"/>
                <w:sz w:val="14"/>
              </w:rPr>
              <w:t>University profiles emphasise adult experience without suggesting solemnity; people still want friendship, humour and events. [U42]</w:t>
            </w:r>
          </w:p>
        </w:tc>
        <w:tc>
          <w:tcPr>
            <w:tcW w:type="dxa" w:w="3236"/>
            <w:shd w:fill="F5F7F8" w:val="clear"/>
            <w:vAlign w:val="top"/>
          </w:tcPr>
          <w:p>
            <w:pPr>
              <w:spacing w:after="24" w:line="240" w:lineRule="auto"/>
            </w:pPr>
            <w:r/>
            <w:r>
              <w:rPr>
                <w:rFonts w:ascii="Lato" w:hAnsi="Lato"/>
                <w:color w:val="222222"/>
                <w:sz w:val="14"/>
              </w:rPr>
              <w:t>Do not choose or reject a mature College on the stereotype that it is quiet or joyless.</w:t>
            </w:r>
          </w:p>
        </w:tc>
      </w:tr>
    </w:tbl>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Belonging comes from repeated, manageable contact—not total participation in undergraduate nightlife.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Which events are daytime, non-drinking, family-inclusive and open in vacations? Is there a mature, commuter, parent or first-generation representative?</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Declining every invitation with no alternative. Say no to the event and yes to a specific lower-cost or daytime contact.</w:t>
            </w:r>
          </w:p>
        </w:tc>
      </w:tr>
    </w:tbl>
    <w:p>
      <w:pPr>
        <w:spacing w:after="40"/>
      </w:pPr>
    </w:p>
    <w:p>
      <w:pPr>
        <w:sectPr>
          <w:headerReference w:type="default" r:id="rId9"/>
          <w:footerReference w:type="default" r:id="rId10"/>
          <w:pgSz w:w="11906" w:h="16838"/>
          <w:pgMar w:top="822" w:right="935" w:bottom="822" w:left="935" w:header="312" w:footer="312" w:gutter="0"/>
          <w:cols w:space="720"/>
          <w:titlePg/>
          <w:docGrid w:linePitch="360"/>
        </w:sectPr>
      </w:pPr>
    </w:p>
    <w:p>
      <w:pPr>
        <w:pStyle w:val="Heading1"/>
        <w:keepNext/>
      </w:pPr>
      <w:r>
        <w:t>12. Formal Hall: college-by-college practical guide</w:t>
      </w:r>
    </w:p>
    <w:p>
      <w:pPr>
        <w:spacing w:after="160"/>
      </w:pPr>
      <w:r>
        <w:rPr>
          <w:i/>
          <w:color w:val="5F6B73"/>
          <w:sz w:val="20"/>
        </w:rPr>
        <w:t>A dinner, not an exam in aristocracy.</w:t>
      </w:r>
    </w:p>
    <w:p>
      <w:r>
        <w:t>Formal Hall is a served evening meal in a College dining hall, normally booked and paid for in advance. It may include grace, gowns, Fellows at High Table and guest rules. It is optional for ordinary student life unless attached to a required occasion such as matriculation. The University’s 2026–27 Full Terms are 6 October–4 December, 19 January–19 March and 27 April–18 June; most regular Formals operate only within all or part of those windows. [U04]</w:t>
      </w:r>
    </w:p>
    <w:tbl>
      <w:tblPr>
        <w:tblW w:type="dxa" w:w="15421"/>
        <w:jc w:val="center"/>
        <w:tblLayout w:type="fixed"/>
        <w:tblLook w:firstColumn="1" w:firstRow="1" w:lastColumn="0" w:lastRow="0" w:noHBand="0" w:noVBand="1" w:val="04A0"/>
        <w:tblBorders>
          <w:top w:val="single" w:sz="0" w:space="0" w:color="F9EEEE"/>
          <w:left w:val="single" w:sz="0" w:space="0" w:color="F9EEEE"/>
          <w:bottom w:val="single" w:sz="0" w:space="0" w:color="F9EEEE"/>
          <w:right w:val="single" w:sz="0" w:space="0" w:color="F9EEEE"/>
          <w:insideH w:val="single" w:sz="0" w:space="0" w:color="F9EEEE"/>
          <w:insideV w:val="single" w:sz="0" w:space="0" w:color="F9EEEE"/>
        </w:tblBorders>
      </w:tblPr>
      <w:tblGrid>
        <w:gridCol w:w="159"/>
        <w:gridCol w:w="15261"/>
      </w:tblGrid>
      <w:tr>
        <w:trPr>
          <w:cantSplit w:val="true"/>
        </w:trPr>
        <w:tc>
          <w:tcPr>
            <w:tcW w:type="dxa" w:w="158"/>
            <w:tcMar>
              <w:top w:w="80" w:type="dxa"/>
              <w:start w:w="100" w:type="dxa"/>
              <w:bottom w:w="80" w:type="dxa"/>
              <w:end w:w="100" w:type="dxa"/>
            </w:tcMar>
            <w:shd w:fill="A33A3A"/>
          </w:tcPr>
          <w:p/>
        </w:tc>
        <w:tc>
          <w:tcPr>
            <w:tcW w:type="dxa" w:w="15263"/>
            <w:tcMar>
              <w:top w:w="80" w:type="dxa"/>
              <w:start w:w="100" w:type="dxa"/>
              <w:bottom w:w="80" w:type="dxa"/>
              <w:end w:w="100" w:type="dxa"/>
            </w:tcMar>
            <w:shd w:fill="F9EEEE"/>
            <w:vAlign w:val="center"/>
          </w:tcPr>
          <w:p>
            <w:pPr>
              <w:pStyle w:val="BoxHeading"/>
            </w:pPr>
            <w:r>
              <w:t>WHY THIS TABLE DOES NOT INVENT INDIVIDUAL DATES</w:t>
            </w:r>
          </w:p>
          <w:p>
            <w:pPr>
              <w:spacing w:after="0"/>
            </w:pPr>
            <w:r>
              <w:t>Many Colleges publish only a recurring weekly rhythm—or no public calendar at all—while exact dates, menus and cancellations sit behind Raven or the student booking system. “Tuesday and Thursday in Full Term” is therefore more reliable than a fabricated date list. Use the rhythm for planning, then verify the live calendar after receiving your account.</w:t>
            </w:r>
          </w:p>
        </w:tc>
      </w:tr>
    </w:tbl>
    <w:p>
      <w:pPr>
        <w:spacing w:after="20"/>
      </w:pPr>
    </w:p>
    <w:p>
      <w:pPr>
        <w:pStyle w:val="Heading2"/>
        <w:keepNext/>
      </w:pPr>
      <w:r>
        <w:t>Dress code in plain English</w:t>
      </w:r>
    </w:p>
    <w:p>
      <w:pPr>
        <w:pStyle w:val="ListBullet"/>
        <w:spacing w:after="30" w:line="247" w:lineRule="auto"/>
        <w:ind w:left="312" w:hanging="142"/>
      </w:pPr>
      <w:r>
        <w:t>“Gown + smart”: academic gown over a suit, jacket/trousers, dress, skirt, jumpsuit or comparably formal outfit; rules should be gender-neutral in application even when older wording is not.</w:t>
      </w:r>
    </w:p>
    <w:p>
      <w:pPr>
        <w:pStyle w:val="ListBullet"/>
        <w:spacing w:after="30" w:line="247" w:lineRule="auto"/>
        <w:ind w:left="312" w:hanging="142"/>
      </w:pPr>
      <w:r>
        <w:t>“Black tie”: dinner jacket/tuxedo or formal equivalent; typically not required at an ordinary Formal unless a feast or invitation says so.</w:t>
      </w:r>
    </w:p>
    <w:p>
      <w:pPr>
        <w:pStyle w:val="ListBullet"/>
        <w:spacing w:after="30" w:line="247" w:lineRule="auto"/>
        <w:ind w:left="312" w:hanging="142"/>
      </w:pPr>
      <w:r>
        <w:t>“Smart”: no gown requirement stated publicly; avoid sportswear, ripped denim and trainers unless the College explicitly permits them.</w:t>
      </w:r>
    </w:p>
    <w:p>
      <w:pPr>
        <w:pStyle w:val="ListBullet"/>
        <w:spacing w:after="30" w:line="247" w:lineRule="auto"/>
        <w:ind w:left="312" w:hanging="142"/>
      </w:pPr>
      <w:r>
        <w:t>Guests do not usually own a Cambridge gown. The booking rules tell you whether they attend without one or may borrow; never guess for a feast.</w:t>
      </w:r>
    </w:p>
    <w:p>
      <w:pPr>
        <w:pStyle w:val="ListBullet"/>
        <w:spacing w:after="30" w:line="247" w:lineRule="auto"/>
        <w:ind w:left="312" w:hanging="142"/>
      </w:pPr>
      <w:r>
        <w:t>Religious dress, formal national dress and disability-related clothing should be accommodated; ask the organiser if an invitation is narrowly worded.</w:t>
      </w:r>
    </w:p>
    <w:p>
      <w:pPr>
        <w:pStyle w:val="Heading2"/>
        <w:keepNext/>
      </w:pPr>
      <w:r>
        <w:t>Food-quality key</w:t>
      </w:r>
    </w:p>
    <w:tbl>
      <w:tblPr>
        <w:tblW w:type="dxa" w:w="14175"/>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268"/>
        <w:gridCol w:w="6803"/>
        <w:gridCol w:w="5102"/>
      </w:tblGrid>
      <w:tr>
        <w:trPr>
          <w:tblHeader w:val="true"/>
          <w:cantSplit w:val="true"/>
        </w:trPr>
        <w:tc>
          <w:tcPr>
            <w:tcW w:type="dxa" w:w="2268"/>
            <w:shd w:fill="17324D"/>
            <w:tcMar>
              <w:top w:w="70" w:type="dxa"/>
              <w:start w:w="80" w:type="dxa"/>
              <w:bottom w:w="70" w:type="dxa"/>
              <w:end w:w="80" w:type="dxa"/>
            </w:tcMar>
            <w:vAlign w:val="center"/>
          </w:tcPr>
          <w:p>
            <w:pPr>
              <w:pStyle w:val="TableSmall"/>
              <w:jc w:val="left"/>
            </w:pPr>
            <w:r>
              <w:rPr>
                <w:b/>
                <w:color w:val="FFFFFF"/>
                <w:sz w:val="13"/>
              </w:rPr>
              <w:t>Guide label</w:t>
            </w:r>
          </w:p>
        </w:tc>
        <w:tc>
          <w:tcPr>
            <w:tcW w:type="dxa" w:w="6804"/>
            <w:shd w:fill="17324D"/>
            <w:tcMar>
              <w:top w:w="70" w:type="dxa"/>
              <w:start w:w="80" w:type="dxa"/>
              <w:bottom w:w="70" w:type="dxa"/>
              <w:end w:w="80" w:type="dxa"/>
            </w:tcMar>
            <w:vAlign w:val="center"/>
          </w:tcPr>
          <w:p>
            <w:pPr>
              <w:pStyle w:val="TableSmall"/>
              <w:jc w:val="left"/>
            </w:pPr>
            <w:r>
              <w:rPr>
                <w:b/>
                <w:color w:val="FFFFFF"/>
                <w:sz w:val="13"/>
              </w:rPr>
              <w:t>What it means</w:t>
            </w:r>
          </w:p>
        </w:tc>
        <w:tc>
          <w:tcPr>
            <w:tcW w:type="dxa" w:w="5103"/>
            <w:shd w:fill="17324D"/>
            <w:tcMar>
              <w:top w:w="70" w:type="dxa"/>
              <w:start w:w="80" w:type="dxa"/>
              <w:bottom w:w="70" w:type="dxa"/>
              <w:end w:w="80" w:type="dxa"/>
            </w:tcMar>
            <w:vAlign w:val="center"/>
          </w:tcPr>
          <w:p>
            <w:pPr>
              <w:pStyle w:val="TableSmall"/>
              <w:jc w:val="left"/>
            </w:pPr>
            <w:r>
              <w:rPr>
                <w:b/>
                <w:color w:val="FFFFFF"/>
                <w:sz w:val="13"/>
              </w:rPr>
              <w:t>Confidence rule</w:t>
            </w:r>
          </w:p>
        </w:tc>
      </w:tr>
      <w:tr>
        <w:trPr>
          <w:cantSplit w:val="true"/>
        </w:trPr>
        <w:tc>
          <w:tcPr>
            <w:tcW w:type="dxa" w:w="2268"/>
            <w:tcMar>
              <w:top w:w="55" w:type="dxa"/>
              <w:start w:w="70" w:type="dxa"/>
              <w:bottom w:w="55" w:type="dxa"/>
              <w:end w:w="70" w:type="dxa"/>
            </w:tcMar>
            <w:vAlign w:val="top"/>
          </w:tcPr>
          <w:p>
            <w:pPr>
              <w:pStyle w:val="TableSmall"/>
            </w:pPr>
            <w:r>
              <w:rPr>
                <w:sz w:val="13"/>
              </w:rPr>
              <w:t>Destination / strong</w:t>
            </w:r>
          </w:p>
        </w:tc>
        <w:tc>
          <w:tcPr>
            <w:tcW w:type="dxa" w:w="6804"/>
            <w:tcMar>
              <w:top w:w="55" w:type="dxa"/>
              <w:start w:w="70" w:type="dxa"/>
              <w:bottom w:w="55" w:type="dxa"/>
              <w:end w:w="70" w:type="dxa"/>
            </w:tcMar>
            <w:vAlign w:val="top"/>
          </w:tcPr>
          <w:p>
            <w:pPr>
              <w:pStyle w:val="TableSmall"/>
            </w:pPr>
            <w:r>
              <w:rPr>
                <w:sz w:val="13"/>
              </w:rPr>
              <w:t>Worth seeking as a guest for setting and a repeatedly strong food/dining proposition.</w:t>
            </w:r>
          </w:p>
        </w:tc>
        <w:tc>
          <w:tcPr>
            <w:tcW w:type="dxa" w:w="5103"/>
            <w:tcMar>
              <w:top w:w="55" w:type="dxa"/>
              <w:start w:w="70" w:type="dxa"/>
              <w:bottom w:w="55" w:type="dxa"/>
              <w:end w:w="70" w:type="dxa"/>
            </w:tcMar>
            <w:vAlign w:val="top"/>
          </w:tcPr>
          <w:p>
            <w:pPr>
              <w:pStyle w:val="TableSmall"/>
            </w:pPr>
            <w:r>
              <w:rPr>
                <w:sz w:val="13"/>
              </w:rPr>
              <w:t>Used sparingly; still not a guarantee for a particular menu.</w:t>
            </w:r>
          </w:p>
        </w:tc>
      </w:tr>
      <w:tr>
        <w:trPr>
          <w:cantSplit w:val="true"/>
        </w:trPr>
        <w:tc>
          <w:tcPr>
            <w:tcW w:type="dxa" w:w="2268"/>
            <w:shd w:fill="F5F7F8"/>
            <w:tcMar>
              <w:top w:w="55" w:type="dxa"/>
              <w:start w:w="70" w:type="dxa"/>
              <w:bottom w:w="55" w:type="dxa"/>
              <w:end w:w="70" w:type="dxa"/>
            </w:tcMar>
            <w:vAlign w:val="top"/>
          </w:tcPr>
          <w:p>
            <w:pPr>
              <w:pStyle w:val="TableSmall"/>
            </w:pPr>
            <w:r>
              <w:rPr>
                <w:sz w:val="13"/>
              </w:rPr>
              <w:t>Strong traditional</w:t>
            </w:r>
          </w:p>
        </w:tc>
        <w:tc>
          <w:tcPr>
            <w:tcW w:type="dxa" w:w="6804"/>
            <w:shd w:fill="F5F7F8"/>
            <w:tcMar>
              <w:top w:w="55" w:type="dxa"/>
              <w:start w:w="70" w:type="dxa"/>
              <w:bottom w:w="55" w:type="dxa"/>
              <w:end w:w="70" w:type="dxa"/>
            </w:tcMar>
            <w:vAlign w:val="top"/>
          </w:tcPr>
          <w:p>
            <w:pPr>
              <w:pStyle w:val="TableSmall"/>
            </w:pPr>
            <w:r>
              <w:rPr>
                <w:sz w:val="13"/>
              </w:rPr>
              <w:t>The whole Hall experience is a major part of the appeal; food is commonly regarded as reliable.</w:t>
            </w:r>
          </w:p>
        </w:tc>
        <w:tc>
          <w:tcPr>
            <w:tcW w:type="dxa" w:w="5103"/>
            <w:shd w:fill="F5F7F8"/>
            <w:tcMar>
              <w:top w:w="55" w:type="dxa"/>
              <w:start w:w="70" w:type="dxa"/>
              <w:bottom w:w="55" w:type="dxa"/>
              <w:end w:w="70" w:type="dxa"/>
            </w:tcMar>
            <w:vAlign w:val="top"/>
          </w:tcPr>
          <w:p>
            <w:pPr>
              <w:pStyle w:val="TableSmall"/>
            </w:pPr>
            <w:r>
              <w:rPr>
                <w:sz w:val="13"/>
              </w:rPr>
              <w:t>Based on public dining emphasis plus repeated reputation; chef/menu may change.</w:t>
            </w:r>
          </w:p>
        </w:tc>
      </w:tr>
      <w:tr>
        <w:trPr>
          <w:cantSplit w:val="true"/>
        </w:trPr>
        <w:tc>
          <w:tcPr>
            <w:tcW w:type="dxa" w:w="2268"/>
            <w:tcMar>
              <w:top w:w="55" w:type="dxa"/>
              <w:start w:w="70" w:type="dxa"/>
              <w:bottom w:w="55" w:type="dxa"/>
              <w:end w:w="70" w:type="dxa"/>
            </w:tcMar>
            <w:vAlign w:val="top"/>
          </w:tcPr>
          <w:p>
            <w:pPr>
              <w:pStyle w:val="TableSmall"/>
            </w:pPr>
            <w:r>
              <w:rPr>
                <w:sz w:val="13"/>
              </w:rPr>
              <w:t>Solid / community</w:t>
            </w:r>
          </w:p>
        </w:tc>
        <w:tc>
          <w:tcPr>
            <w:tcW w:type="dxa" w:w="6804"/>
            <w:tcMar>
              <w:top w:w="55" w:type="dxa"/>
              <w:start w:w="70" w:type="dxa"/>
              <w:bottom w:w="55" w:type="dxa"/>
              <w:end w:w="70" w:type="dxa"/>
            </w:tcMar>
            <w:vAlign w:val="top"/>
          </w:tcPr>
          <w:p>
            <w:pPr>
              <w:pStyle w:val="TableSmall"/>
            </w:pPr>
            <w:r>
              <w:rPr>
                <w:sz w:val="13"/>
              </w:rPr>
              <w:t>Go for company, convenience and value; menus and execution may vary.</w:t>
            </w:r>
          </w:p>
        </w:tc>
        <w:tc>
          <w:tcPr>
            <w:tcW w:type="dxa" w:w="5103"/>
            <w:tcMar>
              <w:top w:w="55" w:type="dxa"/>
              <w:start w:w="70" w:type="dxa"/>
              <w:bottom w:w="55" w:type="dxa"/>
              <w:end w:w="70" w:type="dxa"/>
            </w:tcMar>
            <w:vAlign w:val="top"/>
          </w:tcPr>
          <w:p>
            <w:pPr>
              <w:pStyle w:val="TableSmall"/>
            </w:pPr>
            <w:r>
              <w:rPr>
                <w:sz w:val="13"/>
              </w:rPr>
              <w:t>Not a euphemism for poor food.</w:t>
            </w:r>
          </w:p>
        </w:tc>
      </w:tr>
      <w:tr>
        <w:trPr>
          <w:cantSplit w:val="true"/>
        </w:trPr>
        <w:tc>
          <w:tcPr>
            <w:tcW w:type="dxa" w:w="2268"/>
            <w:shd w:fill="F5F7F8"/>
            <w:tcMar>
              <w:top w:w="55" w:type="dxa"/>
              <w:start w:w="70" w:type="dxa"/>
              <w:bottom w:w="55" w:type="dxa"/>
              <w:end w:w="70" w:type="dxa"/>
            </w:tcMar>
            <w:vAlign w:val="top"/>
          </w:tcPr>
          <w:p>
            <w:pPr>
              <w:pStyle w:val="TableSmall"/>
            </w:pPr>
            <w:r>
              <w:rPr>
                <w:sz w:val="13"/>
              </w:rPr>
              <w:t>Insufficient public evidence</w:t>
            </w:r>
          </w:p>
        </w:tc>
        <w:tc>
          <w:tcPr>
            <w:tcW w:type="dxa" w:w="6804"/>
            <w:shd w:fill="F5F7F8"/>
            <w:tcMar>
              <w:top w:w="55" w:type="dxa"/>
              <w:start w:w="70" w:type="dxa"/>
              <w:bottom w:w="55" w:type="dxa"/>
              <w:end w:w="70" w:type="dxa"/>
            </w:tcMar>
            <w:vAlign w:val="top"/>
          </w:tcPr>
          <w:p>
            <w:pPr>
              <w:pStyle w:val="TableSmall"/>
            </w:pPr>
            <w:r>
              <w:rPr>
                <w:sz w:val="13"/>
              </w:rPr>
              <w:t>No defensible current comparative judgement.</w:t>
            </w:r>
          </w:p>
        </w:tc>
        <w:tc>
          <w:tcPr>
            <w:tcW w:type="dxa" w:w="5103"/>
            <w:shd w:fill="F5F7F8"/>
            <w:tcMar>
              <w:top w:w="55" w:type="dxa"/>
              <w:start w:w="70" w:type="dxa"/>
              <w:bottom w:w="55" w:type="dxa"/>
              <w:end w:w="70" w:type="dxa"/>
            </w:tcMar>
            <w:vAlign w:val="top"/>
          </w:tcPr>
          <w:p>
            <w:pPr>
              <w:pStyle w:val="TableSmall"/>
            </w:pPr>
            <w:r>
              <w:rPr>
                <w:sz w:val="13"/>
              </w:rPr>
              <w:t>The honest answer where menus/recent evidence are not public.</w:t>
            </w:r>
          </w:p>
        </w:tc>
      </w:tr>
    </w:tbl>
    <w:p>
      <w:pPr>
        <w:spacing w:after="20"/>
      </w:pPr>
    </w:p>
    <w:tbl>
      <w:tblPr>
        <w:tblW w:type="dxa" w:w="15195"/>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757"/>
        <w:gridCol w:w="3628"/>
        <w:gridCol w:w="4025"/>
        <w:gridCol w:w="1928"/>
        <w:gridCol w:w="1247"/>
        <w:gridCol w:w="2608"/>
      </w:tblGrid>
      <w:tr>
        <w:trPr>
          <w:tblHeader w:val="true"/>
          <w:cantSplit w:val="true"/>
        </w:trPr>
        <w:tc>
          <w:tcPr>
            <w:tcW w:type="dxa" w:w="1757"/>
            <w:shd w:fill="17324D"/>
            <w:tcMar>
              <w:top w:w="70" w:type="dxa"/>
              <w:start w:w="80" w:type="dxa"/>
              <w:bottom w:w="70" w:type="dxa"/>
              <w:end w:w="80" w:type="dxa"/>
            </w:tcMar>
            <w:vAlign w:val="center"/>
          </w:tcPr>
          <w:p>
            <w:pPr>
              <w:pStyle w:val="TableSmall"/>
              <w:jc w:val="left"/>
            </w:pPr>
            <w:r>
              <w:rPr>
                <w:b/>
                <w:color w:val="FFFFFF"/>
                <w:sz w:val="12"/>
              </w:rPr>
              <w:t>College</w:t>
            </w:r>
          </w:p>
        </w:tc>
        <w:tc>
          <w:tcPr>
            <w:tcW w:type="dxa" w:w="3628"/>
            <w:shd w:fill="17324D"/>
            <w:tcMar>
              <w:top w:w="70" w:type="dxa"/>
              <w:start w:w="80" w:type="dxa"/>
              <w:bottom w:w="70" w:type="dxa"/>
              <w:end w:w="80" w:type="dxa"/>
            </w:tcMar>
            <w:vAlign w:val="center"/>
          </w:tcPr>
          <w:p>
            <w:pPr>
              <w:pStyle w:val="TableSmall"/>
              <w:jc w:val="left"/>
            </w:pPr>
            <w:r>
              <w:rPr>
                <w:b/>
                <w:color w:val="FFFFFF"/>
                <w:sz w:val="12"/>
              </w:rPr>
              <w:t>Dates / recurring rhythm</w:t>
            </w:r>
          </w:p>
        </w:tc>
        <w:tc>
          <w:tcPr>
            <w:tcW w:type="dxa" w:w="4025"/>
            <w:shd w:fill="17324D"/>
            <w:tcMar>
              <w:top w:w="70" w:type="dxa"/>
              <w:start w:w="80" w:type="dxa"/>
              <w:bottom w:w="70" w:type="dxa"/>
              <w:end w:w="80" w:type="dxa"/>
            </w:tcMar>
            <w:vAlign w:val="center"/>
          </w:tcPr>
          <w:p>
            <w:pPr>
              <w:pStyle w:val="TableSmall"/>
              <w:jc w:val="left"/>
            </w:pPr>
            <w:r>
              <w:rPr>
                <w:b/>
                <w:color w:val="FFFFFF"/>
                <w:sz w:val="12"/>
              </w:rPr>
              <w:t>Dress, format and guest warning</w:t>
            </w:r>
          </w:p>
        </w:tc>
        <w:tc>
          <w:tcPr>
            <w:tcW w:type="dxa" w:w="1927"/>
            <w:shd w:fill="17324D"/>
            <w:tcMar>
              <w:top w:w="70" w:type="dxa"/>
              <w:start w:w="80" w:type="dxa"/>
              <w:bottom w:w="70" w:type="dxa"/>
              <w:end w:w="80" w:type="dxa"/>
            </w:tcMar>
            <w:vAlign w:val="center"/>
          </w:tcPr>
          <w:p>
            <w:pPr>
              <w:pStyle w:val="TableSmall"/>
              <w:jc w:val="left"/>
            </w:pPr>
            <w:r>
              <w:rPr>
                <w:b/>
                <w:color w:val="FFFFFF"/>
                <w:sz w:val="12"/>
              </w:rPr>
              <w:t>Food guide</w:t>
            </w:r>
          </w:p>
        </w:tc>
        <w:tc>
          <w:tcPr>
            <w:tcW w:type="dxa" w:w="1247"/>
            <w:shd w:fill="17324D"/>
            <w:tcMar>
              <w:top w:w="70" w:type="dxa"/>
              <w:start w:w="80" w:type="dxa"/>
              <w:bottom w:w="70" w:type="dxa"/>
              <w:end w:w="80" w:type="dxa"/>
            </w:tcMar>
            <w:vAlign w:val="center"/>
          </w:tcPr>
          <w:p>
            <w:pPr>
              <w:pStyle w:val="TableSmall"/>
              <w:jc w:val="left"/>
            </w:pPr>
            <w:r>
              <w:rPr>
                <w:b/>
                <w:color w:val="FFFFFF"/>
                <w:sz w:val="12"/>
              </w:rPr>
              <w:t>Confidence</w:t>
            </w:r>
          </w:p>
        </w:tc>
        <w:tc>
          <w:tcPr>
            <w:tcW w:type="dxa" w:w="2608"/>
            <w:shd w:fill="17324D"/>
            <w:tcMar>
              <w:top w:w="70" w:type="dxa"/>
              <w:start w:w="80" w:type="dxa"/>
              <w:bottom w:w="70" w:type="dxa"/>
              <w:end w:w="80" w:type="dxa"/>
            </w:tcMar>
            <w:vAlign w:val="center"/>
          </w:tcPr>
          <w:p>
            <w:pPr>
              <w:pStyle w:val="TableSmall"/>
              <w:jc w:val="left"/>
            </w:pPr>
            <w:r>
              <w:rPr>
                <w:b/>
                <w:color w:val="FFFFFF"/>
                <w:sz w:val="12"/>
              </w:rPr>
              <w:t>Evidence note</w:t>
            </w:r>
          </w:p>
        </w:tc>
      </w:tr>
      <w:tr>
        <w:trPr>
          <w:cantSplit w:val="true"/>
        </w:trPr>
        <w:tc>
          <w:tcPr>
            <w:tcW w:type="dxa" w:w="1757"/>
            <w:tcMar>
              <w:top w:w="55" w:type="dxa"/>
              <w:start w:w="70" w:type="dxa"/>
              <w:bottom w:w="55" w:type="dxa"/>
              <w:end w:w="70" w:type="dxa"/>
            </w:tcMar>
            <w:vAlign w:val="top"/>
          </w:tcPr>
          <w:p>
            <w:pPr>
              <w:pStyle w:val="TableSmall"/>
            </w:pPr>
            <w:r>
              <w:rPr>
                <w:sz w:val="12"/>
              </w:rPr>
              <w:t>Christ's</w:t>
            </w:r>
          </w:p>
        </w:tc>
        <w:tc>
          <w:tcPr>
            <w:tcW w:type="dxa" w:w="3628"/>
            <w:tcMar>
              <w:top w:w="55" w:type="dxa"/>
              <w:start w:w="70" w:type="dxa"/>
              <w:bottom w:w="55" w:type="dxa"/>
              <w:end w:w="70" w:type="dxa"/>
            </w:tcMar>
            <w:vAlign w:val="top"/>
          </w:tcPr>
          <w:p>
            <w:pPr>
              <w:pStyle w:val="TableSmall"/>
            </w:pPr>
            <w:r>
              <w:rPr>
                <w:sz w:val="12"/>
              </w:rPr>
              <w:t>Bookable term-time Formals; public page does not state fixed weekdays. Exact dates on intranet.</w:t>
            </w:r>
          </w:p>
        </w:tc>
        <w:tc>
          <w:tcPr>
            <w:tcW w:type="dxa" w:w="4025"/>
            <w:tcMar>
              <w:top w:w="55" w:type="dxa"/>
              <w:start w:w="70" w:type="dxa"/>
              <w:bottom w:w="55" w:type="dxa"/>
              <w:end w:w="70" w:type="dxa"/>
            </w:tcMar>
            <w:vAlign w:val="top"/>
          </w:tcPr>
          <w:p>
            <w:pPr>
              <w:pStyle w:val="TableSmall"/>
            </w:pPr>
            <w:r>
              <w:rPr>
                <w:sz w:val="12"/>
              </w:rPr>
              <w:t>Three courses. Gown required; dress smart. Special Halloween/Christmas “super halls”.</w:t>
            </w:r>
          </w:p>
        </w:tc>
        <w:tc>
          <w:tcPr>
            <w:tcW w:type="dxa" w:w="1927"/>
            <w:tcMar>
              <w:top w:w="55" w:type="dxa"/>
              <w:start w:w="70" w:type="dxa"/>
              <w:bottom w:w="55" w:type="dxa"/>
              <w:end w:w="70" w:type="dxa"/>
            </w:tcMar>
            <w:vAlign w:val="top"/>
          </w:tcPr>
          <w:p>
            <w:pPr>
              <w:pStyle w:val="TableSmall"/>
            </w:pPr>
            <w:r>
              <w:rPr>
                <w:sz w:val="12"/>
              </w:rPr>
              <w:t>Strong traditional</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Official public dining page. [C01]</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Churchill</w:t>
            </w:r>
          </w:p>
        </w:tc>
        <w:tc>
          <w:tcPr>
            <w:tcW w:type="dxa" w:w="3628"/>
            <w:shd w:fill="F5F7F8"/>
            <w:tcMar>
              <w:top w:w="55" w:type="dxa"/>
              <w:start w:w="70" w:type="dxa"/>
              <w:bottom w:w="55" w:type="dxa"/>
              <w:end w:w="70" w:type="dxa"/>
            </w:tcMar>
            <w:vAlign w:val="top"/>
          </w:tcPr>
          <w:p>
            <w:pPr>
              <w:pStyle w:val="TableSmall"/>
            </w:pPr>
            <w:r>
              <w:rPr>
                <w:sz w:val="12"/>
              </w:rPr>
              <w:t>At least twice weekly in recent College descriptions; check current student hub for exact nights.</w:t>
            </w:r>
          </w:p>
        </w:tc>
        <w:tc>
          <w:tcPr>
            <w:tcW w:type="dxa" w:w="4025"/>
            <w:shd w:fill="F5F7F8"/>
            <w:tcMar>
              <w:top w:w="55" w:type="dxa"/>
              <w:start w:w="70" w:type="dxa"/>
              <w:bottom w:w="55" w:type="dxa"/>
              <w:end w:w="70" w:type="dxa"/>
            </w:tcMar>
            <w:vAlign w:val="top"/>
          </w:tcPr>
          <w:p>
            <w:pPr>
              <w:pStyle w:val="TableSmall"/>
            </w:pPr>
            <w:r>
              <w:rPr>
                <w:sz w:val="12"/>
              </w:rPr>
              <w:t>Ordinary Formals are relatively relaxed; gowns are generally associated with special feasts rather than every dinner—verify invitation.</w:t>
            </w:r>
          </w:p>
        </w:tc>
        <w:tc>
          <w:tcPr>
            <w:tcW w:type="dxa" w:w="1927"/>
            <w:shd w:fill="F5F7F8"/>
            <w:tcMar>
              <w:top w:w="55" w:type="dxa"/>
              <w:start w:w="70" w:type="dxa"/>
              <w:bottom w:w="55" w:type="dxa"/>
              <w:end w:w="70" w:type="dxa"/>
            </w:tcMar>
            <w:vAlign w:val="top"/>
          </w:tcPr>
          <w:p>
            <w:pPr>
              <w:pStyle w:val="TableSmall"/>
            </w:pPr>
            <w:r>
              <w:rPr>
                <w:sz w:val="12"/>
              </w:rPr>
              <w:t>Solid / community</w:t>
            </w:r>
          </w:p>
        </w:tc>
        <w:tc>
          <w:tcPr>
            <w:tcW w:type="dxa" w:w="1247"/>
            <w:shd w:fill="F5F7F8"/>
            <w:tcMar>
              <w:top w:w="55" w:type="dxa"/>
              <w:start w:w="70" w:type="dxa"/>
              <w:bottom w:w="55" w:type="dxa"/>
              <w:end w:w="70" w:type="dxa"/>
            </w:tcMar>
            <w:vAlign w:val="top"/>
          </w:tcPr>
          <w:p>
            <w:pPr>
              <w:pStyle w:val="TableSmall"/>
            </w:pPr>
            <w:r>
              <w:rPr>
                <w:sz w:val="12"/>
              </w:rPr>
              <w:t>Medium-low</w:t>
            </w:r>
          </w:p>
        </w:tc>
        <w:tc>
          <w:tcPr>
            <w:tcW w:type="dxa" w:w="2608"/>
            <w:shd w:fill="F5F7F8"/>
            <w:tcMar>
              <w:top w:w="55" w:type="dxa"/>
              <w:start w:w="70" w:type="dxa"/>
              <w:bottom w:w="55" w:type="dxa"/>
              <w:end w:w="70" w:type="dxa"/>
            </w:tcMar>
            <w:vAlign w:val="top"/>
          </w:tcPr>
          <w:p>
            <w:pPr>
              <w:pStyle w:val="TableSmall"/>
            </w:pPr>
            <w:r>
              <w:rPr>
                <w:sz w:val="12"/>
              </w:rPr>
              <w:t>Modern College; public campus page, operational calendar internal. [C02]</w:t>
            </w:r>
          </w:p>
        </w:tc>
      </w:tr>
      <w:tr>
        <w:trPr>
          <w:cantSplit w:val="true"/>
        </w:trPr>
        <w:tc>
          <w:tcPr>
            <w:tcW w:type="dxa" w:w="1757"/>
            <w:tcMar>
              <w:top w:w="55" w:type="dxa"/>
              <w:start w:w="70" w:type="dxa"/>
              <w:bottom w:w="55" w:type="dxa"/>
              <w:end w:w="70" w:type="dxa"/>
            </w:tcMar>
            <w:vAlign w:val="top"/>
          </w:tcPr>
          <w:p>
            <w:pPr>
              <w:pStyle w:val="TableSmall"/>
            </w:pPr>
            <w:r>
              <w:rPr>
                <w:sz w:val="12"/>
              </w:rPr>
              <w:t>Clare</w:t>
            </w:r>
          </w:p>
        </w:tc>
        <w:tc>
          <w:tcPr>
            <w:tcW w:type="dxa" w:w="3628"/>
            <w:tcMar>
              <w:top w:w="55" w:type="dxa"/>
              <w:start w:w="70" w:type="dxa"/>
              <w:bottom w:w="55" w:type="dxa"/>
              <w:end w:w="70" w:type="dxa"/>
            </w:tcMar>
            <w:vAlign w:val="top"/>
          </w:tcPr>
          <w:p>
            <w:pPr>
              <w:pStyle w:val="TableSmall"/>
            </w:pPr>
            <w:r>
              <w:rPr>
                <w:sz w:val="12"/>
              </w:rPr>
              <w:t>Four times a week in term; exact weekday/date booking shown to members.</w:t>
            </w:r>
          </w:p>
        </w:tc>
        <w:tc>
          <w:tcPr>
            <w:tcW w:type="dxa" w:w="4025"/>
            <w:tcMar>
              <w:top w:w="55" w:type="dxa"/>
              <w:start w:w="70" w:type="dxa"/>
              <w:bottom w:w="55" w:type="dxa"/>
              <w:end w:w="70" w:type="dxa"/>
            </w:tcMar>
            <w:vAlign w:val="top"/>
          </w:tcPr>
          <w:p>
            <w:pPr>
              <w:pStyle w:val="TableSmall"/>
            </w:pPr>
            <w:r>
              <w:rPr>
                <w:sz w:val="12"/>
              </w:rPr>
              <w:t>Three courses; students usually wear academic gowns.</w:t>
            </w:r>
          </w:p>
        </w:tc>
        <w:tc>
          <w:tcPr>
            <w:tcW w:type="dxa" w:w="1927"/>
            <w:tcMar>
              <w:top w:w="55" w:type="dxa"/>
              <w:start w:w="70" w:type="dxa"/>
              <w:bottom w:w="55" w:type="dxa"/>
              <w:end w:w="70" w:type="dxa"/>
            </w:tcMar>
            <w:vAlign w:val="top"/>
          </w:tcPr>
          <w:p>
            <w:pPr>
              <w:pStyle w:val="TableSmall"/>
            </w:pPr>
            <w:r>
              <w:rPr>
                <w:sz w:val="12"/>
              </w:rPr>
              <w:t>Destination / strong</w:t>
            </w:r>
          </w:p>
        </w:tc>
        <w:tc>
          <w:tcPr>
            <w:tcW w:type="dxa" w:w="1247"/>
            <w:tcMar>
              <w:top w:w="55" w:type="dxa"/>
              <w:start w:w="70" w:type="dxa"/>
              <w:bottom w:w="55" w:type="dxa"/>
              <w:end w:w="70" w:type="dxa"/>
            </w:tcMar>
            <w:vAlign w:val="top"/>
          </w:tcPr>
          <w:p>
            <w:pPr>
              <w:pStyle w:val="TableSmall"/>
            </w:pPr>
            <w:r>
              <w:rPr>
                <w:sz w:val="12"/>
              </w:rPr>
              <w:t>Medium-high</w:t>
            </w:r>
          </w:p>
        </w:tc>
        <w:tc>
          <w:tcPr>
            <w:tcW w:type="dxa" w:w="2608"/>
            <w:tcMar>
              <w:top w:w="55" w:type="dxa"/>
              <w:start w:w="70" w:type="dxa"/>
              <w:bottom w:w="55" w:type="dxa"/>
              <w:end w:w="70" w:type="dxa"/>
            </w:tcMar>
            <w:vAlign w:val="top"/>
          </w:tcPr>
          <w:p>
            <w:pPr>
              <w:pStyle w:val="TableSmall"/>
            </w:pPr>
            <w:r>
              <w:rPr>
                <w:sz w:val="12"/>
              </w:rPr>
              <w:t>Official page explicitly states frequency and carries a named student endorsement. [C03]</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Corpus Christi</w:t>
            </w:r>
          </w:p>
        </w:tc>
        <w:tc>
          <w:tcPr>
            <w:tcW w:type="dxa" w:w="3628"/>
            <w:shd w:fill="F5F7F8"/>
            <w:tcMar>
              <w:top w:w="55" w:type="dxa"/>
              <w:start w:w="70" w:type="dxa"/>
              <w:bottom w:w="55" w:type="dxa"/>
              <w:end w:w="70" w:type="dxa"/>
            </w:tcMar>
            <w:vAlign w:val="top"/>
          </w:tcPr>
          <w:p>
            <w:pPr>
              <w:pStyle w:val="TableSmall"/>
            </w:pPr>
            <w:r>
              <w:rPr>
                <w:sz w:val="12"/>
              </w:rPr>
              <w:t>Exact 2026–27 public schedule not located; use member booking calendar.</w:t>
            </w:r>
          </w:p>
        </w:tc>
        <w:tc>
          <w:tcPr>
            <w:tcW w:type="dxa" w:w="4025"/>
            <w:shd w:fill="F5F7F8"/>
            <w:tcMar>
              <w:top w:w="55" w:type="dxa"/>
              <w:start w:w="70" w:type="dxa"/>
              <w:bottom w:w="55" w:type="dxa"/>
              <w:end w:w="70" w:type="dxa"/>
            </w:tcMar>
            <w:vAlign w:val="top"/>
          </w:tcPr>
          <w:p>
            <w:pPr>
              <w:pStyle w:val="TableSmall"/>
            </w:pPr>
            <w:r>
              <w:rPr>
                <w:sz w:val="12"/>
              </w:rPr>
              <w:t>Likely gown/smart for ordinary Formal; invitation controls.</w:t>
            </w:r>
          </w:p>
        </w:tc>
        <w:tc>
          <w:tcPr>
            <w:tcW w:type="dxa" w:w="1927"/>
            <w:shd w:fill="F5F7F8"/>
            <w:tcMar>
              <w:top w:w="55" w:type="dxa"/>
              <w:start w:w="70" w:type="dxa"/>
              <w:bottom w:w="55" w:type="dxa"/>
              <w:end w:w="70" w:type="dxa"/>
            </w:tcMar>
            <w:vAlign w:val="top"/>
          </w:tcPr>
          <w:p>
            <w:pPr>
              <w:pStyle w:val="TableSmall"/>
            </w:pPr>
            <w:r>
              <w:rPr>
                <w:sz w:val="12"/>
              </w:rPr>
              <w:t>Insufficient public evidence</w:t>
            </w:r>
          </w:p>
        </w:tc>
        <w:tc>
          <w:tcPr>
            <w:tcW w:type="dxa" w:w="1247"/>
            <w:shd w:fill="F5F7F8"/>
            <w:tcMar>
              <w:top w:w="55" w:type="dxa"/>
              <w:start w:w="70" w:type="dxa"/>
              <w:bottom w:w="55" w:type="dxa"/>
              <w:end w:w="70" w:type="dxa"/>
            </w:tcMar>
            <w:vAlign w:val="top"/>
          </w:tcPr>
          <w:p>
            <w:pPr>
              <w:pStyle w:val="TableSmall"/>
            </w:pPr>
            <w:r>
              <w:rPr>
                <w:sz w:val="12"/>
              </w:rPr>
              <w:t>Low</w:t>
            </w:r>
          </w:p>
        </w:tc>
        <w:tc>
          <w:tcPr>
            <w:tcW w:type="dxa" w:w="2608"/>
            <w:shd w:fill="F5F7F8"/>
            <w:tcMar>
              <w:top w:w="55" w:type="dxa"/>
              <w:start w:w="70" w:type="dxa"/>
              <w:bottom w:w="55" w:type="dxa"/>
              <w:end w:w="70" w:type="dxa"/>
            </w:tcMar>
            <w:vAlign w:val="top"/>
          </w:tcPr>
          <w:p>
            <w:pPr>
              <w:pStyle w:val="TableSmall"/>
            </w:pPr>
            <w:r>
              <w:rPr>
                <w:sz w:val="12"/>
              </w:rPr>
              <w:t>Do not rely on another College’s Friday-formal assumption.</w:t>
            </w:r>
          </w:p>
        </w:tc>
      </w:tr>
      <w:tr>
        <w:trPr>
          <w:cantSplit w:val="true"/>
        </w:trPr>
        <w:tc>
          <w:tcPr>
            <w:tcW w:type="dxa" w:w="1757"/>
            <w:tcMar>
              <w:top w:w="55" w:type="dxa"/>
              <w:start w:w="70" w:type="dxa"/>
              <w:bottom w:w="55" w:type="dxa"/>
              <w:end w:w="70" w:type="dxa"/>
            </w:tcMar>
            <w:vAlign w:val="top"/>
          </w:tcPr>
          <w:p>
            <w:pPr>
              <w:pStyle w:val="TableSmall"/>
            </w:pPr>
            <w:r>
              <w:rPr>
                <w:sz w:val="12"/>
              </w:rPr>
              <w:t>Downing</w:t>
            </w:r>
          </w:p>
        </w:tc>
        <w:tc>
          <w:tcPr>
            <w:tcW w:type="dxa" w:w="3628"/>
            <w:tcMar>
              <w:top w:w="55" w:type="dxa"/>
              <w:start w:w="70" w:type="dxa"/>
              <w:bottom w:w="55" w:type="dxa"/>
              <w:end w:w="70" w:type="dxa"/>
            </w:tcMar>
            <w:vAlign w:val="top"/>
          </w:tcPr>
          <w:p>
            <w:pPr>
              <w:pStyle w:val="TableSmall"/>
            </w:pPr>
            <w:r>
              <w:rPr>
                <w:sz w:val="12"/>
              </w:rPr>
              <w:t>Commonly several nights each week in Full Term; verify current recurring nights and feasts.</w:t>
            </w:r>
          </w:p>
        </w:tc>
        <w:tc>
          <w:tcPr>
            <w:tcW w:type="dxa" w:w="4025"/>
            <w:tcMar>
              <w:top w:w="55" w:type="dxa"/>
              <w:start w:w="70" w:type="dxa"/>
              <w:bottom w:w="55" w:type="dxa"/>
              <w:end w:w="70" w:type="dxa"/>
            </w:tcMar>
            <w:vAlign w:val="top"/>
          </w:tcPr>
          <w:p>
            <w:pPr>
              <w:pStyle w:val="TableSmall"/>
            </w:pPr>
            <w:r>
              <w:rPr>
                <w:sz w:val="12"/>
              </w:rPr>
              <w:t>Gown and smart dress normally expected.</w:t>
            </w:r>
          </w:p>
        </w:tc>
        <w:tc>
          <w:tcPr>
            <w:tcW w:type="dxa" w:w="1927"/>
            <w:tcMar>
              <w:top w:w="55" w:type="dxa"/>
              <w:start w:w="70" w:type="dxa"/>
              <w:bottom w:w="55" w:type="dxa"/>
              <w:end w:w="70" w:type="dxa"/>
            </w:tcMar>
            <w:vAlign w:val="top"/>
          </w:tcPr>
          <w:p>
            <w:pPr>
              <w:pStyle w:val="TableSmall"/>
            </w:pPr>
            <w:r>
              <w:rPr>
                <w:sz w:val="12"/>
              </w:rPr>
              <w:t>Strong traditional</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Candlelit neoclassical Hall is a substantial part of the experience.</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Emmanuel</w:t>
            </w:r>
          </w:p>
        </w:tc>
        <w:tc>
          <w:tcPr>
            <w:tcW w:type="dxa" w:w="3628"/>
            <w:shd w:fill="F5F7F8"/>
            <w:tcMar>
              <w:top w:w="55" w:type="dxa"/>
              <w:start w:w="70" w:type="dxa"/>
              <w:bottom w:w="55" w:type="dxa"/>
              <w:end w:w="70" w:type="dxa"/>
            </w:tcMar>
            <w:vAlign w:val="top"/>
          </w:tcPr>
          <w:p>
            <w:pPr>
              <w:pStyle w:val="TableSmall"/>
            </w:pPr>
            <w:r>
              <w:rPr>
                <w:sz w:val="12"/>
              </w:rPr>
              <w:t>Regular term-time Formal; exact public 2026–27 weekday list not located.</w:t>
            </w:r>
          </w:p>
        </w:tc>
        <w:tc>
          <w:tcPr>
            <w:tcW w:type="dxa" w:w="4025"/>
            <w:shd w:fill="F5F7F8"/>
            <w:tcMar>
              <w:top w:w="55" w:type="dxa"/>
              <w:start w:w="70" w:type="dxa"/>
              <w:bottom w:w="55" w:type="dxa"/>
              <w:end w:w="70" w:type="dxa"/>
            </w:tcMar>
            <w:vAlign w:val="top"/>
          </w:tcPr>
          <w:p>
            <w:pPr>
              <w:pStyle w:val="TableSmall"/>
            </w:pPr>
            <w:r>
              <w:rPr>
                <w:sz w:val="12"/>
              </w:rPr>
              <w:t>Gown/smart dress normally expected; special dinners may be stricter.</w:t>
            </w:r>
          </w:p>
        </w:tc>
        <w:tc>
          <w:tcPr>
            <w:tcW w:type="dxa" w:w="1927"/>
            <w:shd w:fill="F5F7F8"/>
            <w:tcMar>
              <w:top w:w="55" w:type="dxa"/>
              <w:start w:w="70" w:type="dxa"/>
              <w:bottom w:w="55" w:type="dxa"/>
              <w:end w:w="70" w:type="dxa"/>
            </w:tcMar>
            <w:vAlign w:val="top"/>
          </w:tcPr>
          <w:p>
            <w:pPr>
              <w:pStyle w:val="TableSmall"/>
            </w:pPr>
            <w:r>
              <w:rPr>
                <w:sz w:val="12"/>
              </w:rPr>
              <w:t>Strong traditional</w:t>
            </w:r>
          </w:p>
        </w:tc>
        <w:tc>
          <w:tcPr>
            <w:tcW w:type="dxa" w:w="1247"/>
            <w:shd w:fill="F5F7F8"/>
            <w:tcMar>
              <w:top w:w="55" w:type="dxa"/>
              <w:start w:w="70" w:type="dxa"/>
              <w:bottom w:w="55" w:type="dxa"/>
              <w:end w:w="70" w:type="dxa"/>
            </w:tcMar>
            <w:vAlign w:val="top"/>
          </w:tcPr>
          <w:p>
            <w:pPr>
              <w:pStyle w:val="TableSmall"/>
            </w:pPr>
            <w:r>
              <w:rPr>
                <w:sz w:val="12"/>
              </w:rPr>
              <w:t>Medium-low</w:t>
            </w:r>
          </w:p>
        </w:tc>
        <w:tc>
          <w:tcPr>
            <w:tcW w:type="dxa" w:w="2608"/>
            <w:shd w:fill="F5F7F8"/>
            <w:tcMar>
              <w:top w:w="55" w:type="dxa"/>
              <w:start w:w="70" w:type="dxa"/>
              <w:bottom w:w="55" w:type="dxa"/>
              <w:end w:w="70" w:type="dxa"/>
            </w:tcMar>
            <w:vAlign w:val="top"/>
          </w:tcPr>
          <w:p>
            <w:pPr>
              <w:pStyle w:val="TableSmall"/>
            </w:pPr>
            <w:r>
              <w:rPr>
                <w:sz w:val="12"/>
              </w:rPr>
              <w:t>Check member booking and current guest limit. [C05]</w:t>
            </w:r>
          </w:p>
        </w:tc>
      </w:tr>
      <w:tr>
        <w:trPr>
          <w:cantSplit w:val="true"/>
        </w:trPr>
        <w:tc>
          <w:tcPr>
            <w:tcW w:type="dxa" w:w="1757"/>
            <w:tcMar>
              <w:top w:w="55" w:type="dxa"/>
              <w:start w:w="70" w:type="dxa"/>
              <w:bottom w:w="55" w:type="dxa"/>
              <w:end w:w="70" w:type="dxa"/>
            </w:tcMar>
            <w:vAlign w:val="top"/>
          </w:tcPr>
          <w:p>
            <w:pPr>
              <w:pStyle w:val="TableSmall"/>
            </w:pPr>
            <w:r>
              <w:rPr>
                <w:sz w:val="12"/>
              </w:rPr>
              <w:t>Fitzwilliam</w:t>
            </w:r>
          </w:p>
        </w:tc>
        <w:tc>
          <w:tcPr>
            <w:tcW w:type="dxa" w:w="3628"/>
            <w:tcMar>
              <w:top w:w="55" w:type="dxa"/>
              <w:start w:w="70" w:type="dxa"/>
              <w:bottom w:w="55" w:type="dxa"/>
              <w:end w:w="70" w:type="dxa"/>
            </w:tcMar>
            <w:vAlign w:val="top"/>
          </w:tcPr>
          <w:p>
            <w:pPr>
              <w:pStyle w:val="TableSmall"/>
            </w:pPr>
            <w:r>
              <w:rPr>
                <w:sz w:val="12"/>
              </w:rPr>
              <w:t>Usually Wednesday, with selected additional/special Fridays in recent schedules; verify term calendar.</w:t>
            </w:r>
          </w:p>
        </w:tc>
        <w:tc>
          <w:tcPr>
            <w:tcW w:type="dxa" w:w="4025"/>
            <w:tcMar>
              <w:top w:w="55" w:type="dxa"/>
              <w:start w:w="70" w:type="dxa"/>
              <w:bottom w:w="55" w:type="dxa"/>
              <w:end w:w="70" w:type="dxa"/>
            </w:tcMar>
            <w:vAlign w:val="top"/>
          </w:tcPr>
          <w:p>
            <w:pPr>
              <w:pStyle w:val="TableSmall"/>
            </w:pPr>
            <w:r>
              <w:rPr>
                <w:sz w:val="12"/>
              </w:rPr>
              <w:t>Smart dress; gown requirements can differ by dinner—read event label.</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Cafe/bar/buttery information public; detailed booking is member-facing. [C04]</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Girton</w:t>
            </w:r>
          </w:p>
        </w:tc>
        <w:tc>
          <w:tcPr>
            <w:tcW w:type="dxa" w:w="3628"/>
            <w:shd w:fill="F5F7F8"/>
            <w:tcMar>
              <w:top w:w="55" w:type="dxa"/>
              <w:start w:w="70" w:type="dxa"/>
              <w:bottom w:w="55" w:type="dxa"/>
              <w:end w:w="70" w:type="dxa"/>
            </w:tcMar>
            <w:vAlign w:val="top"/>
          </w:tcPr>
          <w:p>
            <w:pPr>
              <w:pStyle w:val="TableSmall"/>
            </w:pPr>
            <w:r>
              <w:rPr>
                <w:sz w:val="12"/>
              </w:rPr>
              <w:t>Usually a weekly or selected-night pattern rather than near-daily Formal; verify current calendar.</w:t>
            </w:r>
          </w:p>
        </w:tc>
        <w:tc>
          <w:tcPr>
            <w:tcW w:type="dxa" w:w="4025"/>
            <w:shd w:fill="F5F7F8"/>
            <w:tcMar>
              <w:top w:w="55" w:type="dxa"/>
              <w:start w:w="70" w:type="dxa"/>
              <w:bottom w:w="55" w:type="dxa"/>
              <w:end w:w="70" w:type="dxa"/>
            </w:tcMar>
            <w:vAlign w:val="top"/>
          </w:tcPr>
          <w:p>
            <w:pPr>
              <w:pStyle w:val="TableSmall"/>
            </w:pPr>
            <w:r>
              <w:rPr>
                <w:sz w:val="12"/>
              </w:rPr>
              <w:t>Gown and smart/formal dress often used; feast rules stricter.</w:t>
            </w:r>
          </w:p>
        </w:tc>
        <w:tc>
          <w:tcPr>
            <w:tcW w:type="dxa" w:w="1927"/>
            <w:shd w:fill="F5F7F8"/>
            <w:tcMar>
              <w:top w:w="55" w:type="dxa"/>
              <w:start w:w="70" w:type="dxa"/>
              <w:bottom w:w="55" w:type="dxa"/>
              <w:end w:w="70" w:type="dxa"/>
            </w:tcMar>
            <w:vAlign w:val="top"/>
          </w:tcPr>
          <w:p>
            <w:pPr>
              <w:pStyle w:val="TableSmall"/>
            </w:pPr>
            <w:r>
              <w:rPr>
                <w:sz w:val="12"/>
              </w:rPr>
              <w:t>Solid / community</w:t>
            </w:r>
          </w:p>
        </w:tc>
        <w:tc>
          <w:tcPr>
            <w:tcW w:type="dxa" w:w="1247"/>
            <w:shd w:fill="F5F7F8"/>
            <w:tcMar>
              <w:top w:w="55" w:type="dxa"/>
              <w:start w:w="70" w:type="dxa"/>
              <w:bottom w:w="55" w:type="dxa"/>
              <w:end w:w="70" w:type="dxa"/>
            </w:tcMar>
            <w:vAlign w:val="top"/>
          </w:tcPr>
          <w:p>
            <w:pPr>
              <w:pStyle w:val="TableSmall"/>
            </w:pPr>
            <w:r>
              <w:rPr>
                <w:sz w:val="12"/>
              </w:rPr>
              <w:t>Medium-low</w:t>
            </w:r>
          </w:p>
        </w:tc>
        <w:tc>
          <w:tcPr>
            <w:tcW w:type="dxa" w:w="2608"/>
            <w:shd w:fill="F5F7F8"/>
            <w:tcMar>
              <w:top w:w="55" w:type="dxa"/>
              <w:start w:w="70" w:type="dxa"/>
              <w:bottom w:w="55" w:type="dxa"/>
              <w:end w:w="70" w:type="dxa"/>
            </w:tcMar>
            <w:vAlign w:val="top"/>
          </w:tcPr>
          <w:p>
            <w:pPr>
              <w:pStyle w:val="TableSmall"/>
            </w:pPr>
            <w:r>
              <w:rPr>
                <w:sz w:val="12"/>
              </w:rPr>
              <w:t>The travel home after dinner matters if living centrally.</w:t>
            </w:r>
          </w:p>
        </w:tc>
      </w:tr>
      <w:tr>
        <w:trPr>
          <w:cantSplit w:val="true"/>
        </w:trPr>
        <w:tc>
          <w:tcPr>
            <w:tcW w:type="dxa" w:w="1757"/>
            <w:tcMar>
              <w:top w:w="55" w:type="dxa"/>
              <w:start w:w="70" w:type="dxa"/>
              <w:bottom w:w="55" w:type="dxa"/>
              <w:end w:w="70" w:type="dxa"/>
            </w:tcMar>
            <w:vAlign w:val="top"/>
          </w:tcPr>
          <w:p>
            <w:pPr>
              <w:pStyle w:val="TableSmall"/>
            </w:pPr>
            <w:r>
              <w:rPr>
                <w:sz w:val="12"/>
              </w:rPr>
              <w:t>Gonville &amp; Caius</w:t>
            </w:r>
          </w:p>
        </w:tc>
        <w:tc>
          <w:tcPr>
            <w:tcW w:type="dxa" w:w="3628"/>
            <w:tcMar>
              <w:top w:w="55" w:type="dxa"/>
              <w:start w:w="70" w:type="dxa"/>
              <w:bottom w:w="55" w:type="dxa"/>
              <w:end w:w="70" w:type="dxa"/>
            </w:tcMar>
            <w:vAlign w:val="top"/>
          </w:tcPr>
          <w:p>
            <w:pPr>
              <w:pStyle w:val="TableSmall"/>
            </w:pPr>
            <w:r>
              <w:rPr>
                <w:sz w:val="12"/>
              </w:rPr>
              <w:t>Traditionally one of the highest-frequency offerings, often six evenings with sittings; verify exceptions and vacation gaps.</w:t>
            </w:r>
          </w:p>
        </w:tc>
        <w:tc>
          <w:tcPr>
            <w:tcW w:type="dxa" w:w="4025"/>
            <w:tcMar>
              <w:top w:w="55" w:type="dxa"/>
              <w:start w:w="70" w:type="dxa"/>
              <w:bottom w:w="55" w:type="dxa"/>
              <w:end w:w="70" w:type="dxa"/>
            </w:tcMar>
            <w:vAlign w:val="top"/>
          </w:tcPr>
          <w:p>
            <w:pPr>
              <w:pStyle w:val="TableSmall"/>
            </w:pPr>
            <w:r>
              <w:rPr>
                <w:sz w:val="12"/>
              </w:rPr>
              <w:t>Gown and smart dress expected; grace and a traditional service.</w:t>
            </w:r>
          </w:p>
        </w:tc>
        <w:tc>
          <w:tcPr>
            <w:tcW w:type="dxa" w:w="1927"/>
            <w:tcMar>
              <w:top w:w="55" w:type="dxa"/>
              <w:start w:w="70" w:type="dxa"/>
              <w:bottom w:w="55" w:type="dxa"/>
              <w:end w:w="70" w:type="dxa"/>
            </w:tcMar>
            <w:vAlign w:val="top"/>
          </w:tcPr>
          <w:p>
            <w:pPr>
              <w:pStyle w:val="TableSmall"/>
            </w:pPr>
            <w:r>
              <w:rPr>
                <w:sz w:val="12"/>
              </w:rPr>
              <w:t>Destination / strong</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High availability makes it useful for swaps as well as prestige.</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Homerton</w:t>
            </w:r>
          </w:p>
        </w:tc>
        <w:tc>
          <w:tcPr>
            <w:tcW w:type="dxa" w:w="3628"/>
            <w:shd w:fill="F5F7F8"/>
            <w:tcMar>
              <w:top w:w="55" w:type="dxa"/>
              <w:start w:w="70" w:type="dxa"/>
              <w:bottom w:w="55" w:type="dxa"/>
              <w:end w:w="70" w:type="dxa"/>
            </w:tcMar>
            <w:vAlign w:val="top"/>
          </w:tcPr>
          <w:p>
            <w:pPr>
              <w:pStyle w:val="TableSmall"/>
            </w:pPr>
            <w:r>
              <w:rPr>
                <w:sz w:val="12"/>
              </w:rPr>
              <w:t>Regular Formal/special dinners, but a stable public 2026–27 weekday pattern was not located.</w:t>
            </w:r>
          </w:p>
        </w:tc>
        <w:tc>
          <w:tcPr>
            <w:tcW w:type="dxa" w:w="4025"/>
            <w:shd w:fill="F5F7F8"/>
            <w:tcMar>
              <w:top w:w="55" w:type="dxa"/>
              <w:start w:w="70" w:type="dxa"/>
              <w:bottom w:w="55" w:type="dxa"/>
              <w:end w:w="70" w:type="dxa"/>
            </w:tcMar>
            <w:vAlign w:val="top"/>
          </w:tcPr>
          <w:p>
            <w:pPr>
              <w:pStyle w:val="TableSmall"/>
            </w:pPr>
            <w:r>
              <w:rPr>
                <w:sz w:val="12"/>
              </w:rPr>
              <w:t>Invitation-specific; verify gown, guest and dress rules.</w:t>
            </w:r>
          </w:p>
        </w:tc>
        <w:tc>
          <w:tcPr>
            <w:tcW w:type="dxa" w:w="1927"/>
            <w:shd w:fill="F5F7F8"/>
            <w:tcMar>
              <w:top w:w="55" w:type="dxa"/>
              <w:start w:w="70" w:type="dxa"/>
              <w:bottom w:w="55" w:type="dxa"/>
              <w:end w:w="70" w:type="dxa"/>
            </w:tcMar>
            <w:vAlign w:val="top"/>
          </w:tcPr>
          <w:p>
            <w:pPr>
              <w:pStyle w:val="TableSmall"/>
            </w:pPr>
            <w:r>
              <w:rPr>
                <w:sz w:val="12"/>
              </w:rPr>
              <w:t>Solid / community</w:t>
            </w:r>
          </w:p>
        </w:tc>
        <w:tc>
          <w:tcPr>
            <w:tcW w:type="dxa" w:w="1247"/>
            <w:shd w:fill="F5F7F8"/>
            <w:tcMar>
              <w:top w:w="55" w:type="dxa"/>
              <w:start w:w="70" w:type="dxa"/>
              <w:bottom w:w="55" w:type="dxa"/>
              <w:end w:w="70" w:type="dxa"/>
            </w:tcMar>
            <w:vAlign w:val="top"/>
          </w:tcPr>
          <w:p>
            <w:pPr>
              <w:pStyle w:val="TableSmall"/>
            </w:pPr>
            <w:r>
              <w:rPr>
                <w:sz w:val="12"/>
              </w:rPr>
              <w:t>Low</w:t>
            </w:r>
          </w:p>
        </w:tc>
        <w:tc>
          <w:tcPr>
            <w:tcW w:type="dxa" w:w="2608"/>
            <w:shd w:fill="F5F7F8"/>
            <w:tcMar>
              <w:top w:w="55" w:type="dxa"/>
              <w:start w:w="70" w:type="dxa"/>
              <w:bottom w:w="55" w:type="dxa"/>
              <w:end w:w="70" w:type="dxa"/>
            </w:tcMar>
            <w:vAlign w:val="top"/>
          </w:tcPr>
          <w:p>
            <w:pPr>
              <w:pStyle w:val="TableSmall"/>
            </w:pPr>
            <w:r>
              <w:rPr>
                <w:sz w:val="12"/>
              </w:rPr>
              <w:t>Large, diverse College; do not assume old central-College conventions.</w:t>
            </w:r>
          </w:p>
        </w:tc>
      </w:tr>
      <w:tr>
        <w:trPr>
          <w:cantSplit w:val="true"/>
        </w:trPr>
        <w:tc>
          <w:tcPr>
            <w:tcW w:type="dxa" w:w="1757"/>
            <w:tcMar>
              <w:top w:w="55" w:type="dxa"/>
              <w:start w:w="70" w:type="dxa"/>
              <w:bottom w:w="55" w:type="dxa"/>
              <w:end w:w="70" w:type="dxa"/>
            </w:tcMar>
            <w:vAlign w:val="top"/>
          </w:tcPr>
          <w:p>
            <w:pPr>
              <w:pStyle w:val="TableSmall"/>
            </w:pPr>
            <w:r>
              <w:rPr>
                <w:sz w:val="12"/>
              </w:rPr>
              <w:t>Hughes Hall</w:t>
            </w:r>
          </w:p>
        </w:tc>
        <w:tc>
          <w:tcPr>
            <w:tcW w:type="dxa" w:w="3628"/>
            <w:tcMar>
              <w:top w:w="55" w:type="dxa"/>
              <w:start w:w="70" w:type="dxa"/>
              <w:bottom w:w="55" w:type="dxa"/>
              <w:end w:w="70" w:type="dxa"/>
            </w:tcMar>
            <w:vAlign w:val="top"/>
          </w:tcPr>
          <w:p>
            <w:pPr>
              <w:pStyle w:val="TableSmall"/>
            </w:pPr>
            <w:r>
              <w:rPr>
                <w:sz w:val="12"/>
              </w:rPr>
              <w:t>Regular mature/postgraduate community dinners and special Formals; exact dates through College channels.</w:t>
            </w:r>
          </w:p>
        </w:tc>
        <w:tc>
          <w:tcPr>
            <w:tcW w:type="dxa" w:w="4025"/>
            <w:tcMar>
              <w:top w:w="55" w:type="dxa"/>
              <w:start w:w="70" w:type="dxa"/>
              <w:bottom w:w="55" w:type="dxa"/>
              <w:end w:w="70" w:type="dxa"/>
            </w:tcMar>
            <w:vAlign w:val="top"/>
          </w:tcPr>
          <w:p>
            <w:pPr>
              <w:pStyle w:val="TableSmall"/>
            </w:pPr>
            <w:r>
              <w:rPr>
                <w:sz w:val="12"/>
              </w:rPr>
              <w:t>Often formal dress with event-specific gown guidance; verify each booking.</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Medium-low</w:t>
            </w:r>
          </w:p>
        </w:tc>
        <w:tc>
          <w:tcPr>
            <w:tcW w:type="dxa" w:w="2608"/>
            <w:tcMar>
              <w:top w:w="55" w:type="dxa"/>
              <w:start w:w="70" w:type="dxa"/>
              <w:bottom w:w="55" w:type="dxa"/>
              <w:end w:w="70" w:type="dxa"/>
            </w:tcMar>
            <w:vAlign w:val="top"/>
          </w:tcPr>
          <w:p>
            <w:pPr>
              <w:pStyle w:val="TableSmall"/>
            </w:pPr>
            <w:r>
              <w:rPr>
                <w:sz w:val="12"/>
              </w:rPr>
              <w:t>Adult and international atmosphere can be more comfortable for partners/older guests.</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Jesus</w:t>
            </w:r>
          </w:p>
        </w:tc>
        <w:tc>
          <w:tcPr>
            <w:tcW w:type="dxa" w:w="3628"/>
            <w:shd w:fill="F5F7F8"/>
            <w:tcMar>
              <w:top w:w="55" w:type="dxa"/>
              <w:start w:w="70" w:type="dxa"/>
              <w:bottom w:w="55" w:type="dxa"/>
              <w:end w:w="70" w:type="dxa"/>
            </w:tcMar>
            <w:vAlign w:val="top"/>
          </w:tcPr>
          <w:p>
            <w:pPr>
              <w:pStyle w:val="TableSmall"/>
            </w:pPr>
            <w:r>
              <w:rPr>
                <w:sz w:val="12"/>
              </w:rPr>
              <w:t>Five nights a week in widely published College descriptions; verify current exclusions.</w:t>
            </w:r>
          </w:p>
        </w:tc>
        <w:tc>
          <w:tcPr>
            <w:tcW w:type="dxa" w:w="4025"/>
            <w:shd w:fill="F5F7F8"/>
            <w:tcMar>
              <w:top w:w="55" w:type="dxa"/>
              <w:start w:w="70" w:type="dxa"/>
              <w:bottom w:w="55" w:type="dxa"/>
              <w:end w:w="70" w:type="dxa"/>
            </w:tcMar>
            <w:vAlign w:val="top"/>
          </w:tcPr>
          <w:p>
            <w:pPr>
              <w:pStyle w:val="TableSmall"/>
            </w:pPr>
            <w:r>
              <w:rPr>
                <w:sz w:val="12"/>
              </w:rPr>
              <w:t>Gown plus formal/smart clothing expected. Three-course dinner.</w:t>
            </w:r>
          </w:p>
        </w:tc>
        <w:tc>
          <w:tcPr>
            <w:tcW w:type="dxa" w:w="1927"/>
            <w:shd w:fill="F5F7F8"/>
            <w:tcMar>
              <w:top w:w="55" w:type="dxa"/>
              <w:start w:w="70" w:type="dxa"/>
              <w:bottom w:w="55" w:type="dxa"/>
              <w:end w:w="70" w:type="dxa"/>
            </w:tcMar>
            <w:vAlign w:val="top"/>
          </w:tcPr>
          <w:p>
            <w:pPr>
              <w:pStyle w:val="TableSmall"/>
            </w:pPr>
            <w:r>
              <w:rPr>
                <w:sz w:val="12"/>
              </w:rPr>
              <w:t>Destination / strong</w:t>
            </w:r>
          </w:p>
        </w:tc>
        <w:tc>
          <w:tcPr>
            <w:tcW w:type="dxa" w:w="1247"/>
            <w:shd w:fill="F5F7F8"/>
            <w:tcMar>
              <w:top w:w="55" w:type="dxa"/>
              <w:start w:w="70" w:type="dxa"/>
              <w:bottom w:w="55" w:type="dxa"/>
              <w:end w:w="70" w:type="dxa"/>
            </w:tcMar>
            <w:vAlign w:val="top"/>
          </w:tcPr>
          <w:p>
            <w:pPr>
              <w:pStyle w:val="TableSmall"/>
            </w:pPr>
            <w:r>
              <w:rPr>
                <w:sz w:val="12"/>
              </w:rPr>
              <w:t>Medium</w:t>
            </w:r>
          </w:p>
        </w:tc>
        <w:tc>
          <w:tcPr>
            <w:tcW w:type="dxa" w:w="2608"/>
            <w:shd w:fill="F5F7F8"/>
            <w:tcMar>
              <w:top w:w="55" w:type="dxa"/>
              <w:start w:w="70" w:type="dxa"/>
              <w:bottom w:w="55" w:type="dxa"/>
              <w:end w:w="70" w:type="dxa"/>
            </w:tcMar>
            <w:vAlign w:val="top"/>
          </w:tcPr>
          <w:p>
            <w:pPr>
              <w:pStyle w:val="TableSmall"/>
            </w:pPr>
            <w:r>
              <w:rPr>
                <w:sz w:val="12"/>
              </w:rPr>
              <w:t>Frequent, traditional and sociable; guest places can be competitive.</w:t>
            </w:r>
          </w:p>
        </w:tc>
      </w:tr>
      <w:tr>
        <w:trPr>
          <w:cantSplit w:val="true"/>
        </w:trPr>
        <w:tc>
          <w:tcPr>
            <w:tcW w:type="dxa" w:w="1757"/>
            <w:tcMar>
              <w:top w:w="55" w:type="dxa"/>
              <w:start w:w="70" w:type="dxa"/>
              <w:bottom w:w="55" w:type="dxa"/>
              <w:end w:w="70" w:type="dxa"/>
            </w:tcMar>
            <w:vAlign w:val="top"/>
          </w:tcPr>
          <w:p>
            <w:pPr>
              <w:pStyle w:val="TableSmall"/>
            </w:pPr>
            <w:r>
              <w:rPr>
                <w:sz w:val="12"/>
              </w:rPr>
              <w:t>King's</w:t>
            </w:r>
          </w:p>
        </w:tc>
        <w:tc>
          <w:tcPr>
            <w:tcW w:type="dxa" w:w="3628"/>
            <w:tcMar>
              <w:top w:w="55" w:type="dxa"/>
              <w:start w:w="70" w:type="dxa"/>
              <w:bottom w:w="55" w:type="dxa"/>
              <w:end w:w="70" w:type="dxa"/>
            </w:tcMar>
            <w:vAlign w:val="top"/>
          </w:tcPr>
          <w:p>
            <w:pPr>
              <w:pStyle w:val="TableSmall"/>
            </w:pPr>
            <w:r>
              <w:rPr>
                <w:sz w:val="12"/>
              </w:rPr>
              <w:t>Regular Formals/special dinners; exact term schedule and eligibility are member-facing.</w:t>
            </w:r>
          </w:p>
        </w:tc>
        <w:tc>
          <w:tcPr>
            <w:tcW w:type="dxa" w:w="4025"/>
            <w:tcMar>
              <w:top w:w="55" w:type="dxa"/>
              <w:start w:w="70" w:type="dxa"/>
              <w:bottom w:w="55" w:type="dxa"/>
              <w:end w:w="70" w:type="dxa"/>
            </w:tcMar>
            <w:vAlign w:val="top"/>
          </w:tcPr>
          <w:p>
            <w:pPr>
              <w:pStyle w:val="TableSmall"/>
            </w:pPr>
            <w:r>
              <w:rPr>
                <w:sz w:val="12"/>
              </w:rPr>
              <w:t>Event-specific gown and smart-dress rules; read ticket wording.</w:t>
            </w:r>
          </w:p>
        </w:tc>
        <w:tc>
          <w:tcPr>
            <w:tcW w:type="dxa" w:w="1927"/>
            <w:tcMar>
              <w:top w:w="55" w:type="dxa"/>
              <w:start w:w="70" w:type="dxa"/>
              <w:bottom w:w="55" w:type="dxa"/>
              <w:end w:w="70" w:type="dxa"/>
            </w:tcMar>
            <w:vAlign w:val="top"/>
          </w:tcPr>
          <w:p>
            <w:pPr>
              <w:pStyle w:val="TableSmall"/>
            </w:pPr>
            <w:r>
              <w:rPr>
                <w:sz w:val="12"/>
              </w:rPr>
              <w:t>Strong traditional</w:t>
            </w:r>
          </w:p>
        </w:tc>
        <w:tc>
          <w:tcPr>
            <w:tcW w:type="dxa" w:w="1247"/>
            <w:tcMar>
              <w:top w:w="55" w:type="dxa"/>
              <w:start w:w="70" w:type="dxa"/>
              <w:bottom w:w="55" w:type="dxa"/>
              <w:end w:w="70" w:type="dxa"/>
            </w:tcMar>
            <w:vAlign w:val="top"/>
          </w:tcPr>
          <w:p>
            <w:pPr>
              <w:pStyle w:val="TableSmall"/>
            </w:pPr>
            <w:r>
              <w:rPr>
                <w:sz w:val="12"/>
              </w:rPr>
              <w:t>Medium-low</w:t>
            </w:r>
          </w:p>
        </w:tc>
        <w:tc>
          <w:tcPr>
            <w:tcW w:type="dxa" w:w="2608"/>
            <w:tcMar>
              <w:top w:w="55" w:type="dxa"/>
              <w:start w:w="70" w:type="dxa"/>
              <w:bottom w:w="55" w:type="dxa"/>
              <w:end w:w="70" w:type="dxa"/>
            </w:tcMar>
            <w:vAlign w:val="top"/>
          </w:tcPr>
          <w:p>
            <w:pPr>
              <w:pStyle w:val="TableSmall"/>
            </w:pPr>
            <w:r>
              <w:rPr>
                <w:sz w:val="12"/>
              </w:rPr>
              <w:t>Extraordinary setting, but the experience varies by event and crowd.</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Lucy Cavendish</w:t>
            </w:r>
          </w:p>
        </w:tc>
        <w:tc>
          <w:tcPr>
            <w:tcW w:type="dxa" w:w="3628"/>
            <w:shd w:fill="F5F7F8"/>
            <w:tcMar>
              <w:top w:w="55" w:type="dxa"/>
              <w:start w:w="70" w:type="dxa"/>
              <w:bottom w:w="55" w:type="dxa"/>
              <w:end w:w="70" w:type="dxa"/>
            </w:tcMar>
            <w:vAlign w:val="top"/>
          </w:tcPr>
          <w:p>
            <w:pPr>
              <w:pStyle w:val="TableSmall"/>
            </w:pPr>
            <w:r>
              <w:rPr>
                <w:sz w:val="12"/>
              </w:rPr>
              <w:t>Regular College dining and selected Formals; exact 2026–27 dates not publicly confirmed.</w:t>
            </w:r>
          </w:p>
        </w:tc>
        <w:tc>
          <w:tcPr>
            <w:tcW w:type="dxa" w:w="4025"/>
            <w:shd w:fill="F5F7F8"/>
            <w:tcMar>
              <w:top w:w="55" w:type="dxa"/>
              <w:start w:w="70" w:type="dxa"/>
              <w:bottom w:w="55" w:type="dxa"/>
              <w:end w:w="70" w:type="dxa"/>
            </w:tcMar>
            <w:vAlign w:val="top"/>
          </w:tcPr>
          <w:p>
            <w:pPr>
              <w:pStyle w:val="TableSmall"/>
            </w:pPr>
            <w:r>
              <w:rPr>
                <w:sz w:val="12"/>
              </w:rPr>
              <w:t>Usually smart with event-specific gown guidance.</w:t>
            </w:r>
          </w:p>
        </w:tc>
        <w:tc>
          <w:tcPr>
            <w:tcW w:type="dxa" w:w="1927"/>
            <w:shd w:fill="F5F7F8"/>
            <w:tcMar>
              <w:top w:w="55" w:type="dxa"/>
              <w:start w:w="70" w:type="dxa"/>
              <w:bottom w:w="55" w:type="dxa"/>
              <w:end w:w="70" w:type="dxa"/>
            </w:tcMar>
            <w:vAlign w:val="top"/>
          </w:tcPr>
          <w:p>
            <w:pPr>
              <w:pStyle w:val="TableSmall"/>
            </w:pPr>
            <w:r>
              <w:rPr>
                <w:sz w:val="12"/>
              </w:rPr>
              <w:t>Solid / community</w:t>
            </w:r>
          </w:p>
        </w:tc>
        <w:tc>
          <w:tcPr>
            <w:tcW w:type="dxa" w:w="1247"/>
            <w:shd w:fill="F5F7F8"/>
            <w:tcMar>
              <w:top w:w="55" w:type="dxa"/>
              <w:start w:w="70" w:type="dxa"/>
              <w:bottom w:w="55" w:type="dxa"/>
              <w:end w:w="70" w:type="dxa"/>
            </w:tcMar>
            <w:vAlign w:val="top"/>
          </w:tcPr>
          <w:p>
            <w:pPr>
              <w:pStyle w:val="TableSmall"/>
            </w:pPr>
            <w:r>
              <w:rPr>
                <w:sz w:val="12"/>
              </w:rPr>
              <w:t>Low</w:t>
            </w:r>
          </w:p>
        </w:tc>
        <w:tc>
          <w:tcPr>
            <w:tcW w:type="dxa" w:w="2608"/>
            <w:shd w:fill="F5F7F8"/>
            <w:tcMar>
              <w:top w:w="55" w:type="dxa"/>
              <w:start w:w="70" w:type="dxa"/>
              <w:bottom w:w="55" w:type="dxa"/>
              <w:end w:w="70" w:type="dxa"/>
            </w:tcMar>
            <w:vAlign w:val="top"/>
          </w:tcPr>
          <w:p>
            <w:pPr>
              <w:pStyle w:val="TableSmall"/>
            </w:pPr>
            <w:r>
              <w:rPr>
                <w:sz w:val="12"/>
              </w:rPr>
              <w:t>Current culture is evolving as the undergraduate age mix changes.</w:t>
            </w:r>
          </w:p>
        </w:tc>
      </w:tr>
      <w:tr>
        <w:trPr>
          <w:cantSplit w:val="true"/>
        </w:trPr>
        <w:tc>
          <w:tcPr>
            <w:tcW w:type="dxa" w:w="1757"/>
            <w:tcMar>
              <w:top w:w="55" w:type="dxa"/>
              <w:start w:w="70" w:type="dxa"/>
              <w:bottom w:w="55" w:type="dxa"/>
              <w:end w:w="70" w:type="dxa"/>
            </w:tcMar>
            <w:vAlign w:val="top"/>
          </w:tcPr>
          <w:p>
            <w:pPr>
              <w:pStyle w:val="TableSmall"/>
            </w:pPr>
            <w:r>
              <w:rPr>
                <w:sz w:val="12"/>
              </w:rPr>
              <w:t>Magdalene</w:t>
            </w:r>
          </w:p>
        </w:tc>
        <w:tc>
          <w:tcPr>
            <w:tcW w:type="dxa" w:w="3628"/>
            <w:tcMar>
              <w:top w:w="55" w:type="dxa"/>
              <w:start w:w="70" w:type="dxa"/>
              <w:bottom w:w="55" w:type="dxa"/>
              <w:end w:w="70" w:type="dxa"/>
            </w:tcMar>
            <w:vAlign w:val="top"/>
          </w:tcPr>
          <w:p>
            <w:pPr>
              <w:pStyle w:val="TableSmall"/>
            </w:pPr>
            <w:r>
              <w:rPr>
                <w:sz w:val="12"/>
              </w:rPr>
              <w:t>High-frequency Formal pattern in Full Term, often most weekday evenings; verify current dates.</w:t>
            </w:r>
          </w:p>
        </w:tc>
        <w:tc>
          <w:tcPr>
            <w:tcW w:type="dxa" w:w="4025"/>
            <w:tcMar>
              <w:top w:w="55" w:type="dxa"/>
              <w:start w:w="70" w:type="dxa"/>
              <w:bottom w:w="55" w:type="dxa"/>
              <w:end w:w="70" w:type="dxa"/>
            </w:tcMar>
            <w:vAlign w:val="top"/>
          </w:tcPr>
          <w:p>
            <w:pPr>
              <w:pStyle w:val="TableSmall"/>
            </w:pPr>
            <w:r>
              <w:rPr>
                <w:sz w:val="12"/>
              </w:rPr>
              <w:t>Gown and smart/formal dress; some special dinners approach black/white-tie tradition.</w:t>
            </w:r>
          </w:p>
        </w:tc>
        <w:tc>
          <w:tcPr>
            <w:tcW w:type="dxa" w:w="1927"/>
            <w:tcMar>
              <w:top w:w="55" w:type="dxa"/>
              <w:start w:w="70" w:type="dxa"/>
              <w:bottom w:w="55" w:type="dxa"/>
              <w:end w:w="70" w:type="dxa"/>
            </w:tcMar>
            <w:vAlign w:val="top"/>
          </w:tcPr>
          <w:p>
            <w:pPr>
              <w:pStyle w:val="TableSmall"/>
            </w:pPr>
            <w:r>
              <w:rPr>
                <w:sz w:val="12"/>
              </w:rPr>
              <w:t>Destination / strong</w:t>
            </w:r>
          </w:p>
        </w:tc>
        <w:tc>
          <w:tcPr>
            <w:tcW w:type="dxa" w:w="1247"/>
            <w:tcMar>
              <w:top w:w="55" w:type="dxa"/>
              <w:start w:w="70" w:type="dxa"/>
              <w:bottom w:w="55" w:type="dxa"/>
              <w:end w:w="70" w:type="dxa"/>
            </w:tcMar>
            <w:vAlign w:val="top"/>
          </w:tcPr>
          <w:p>
            <w:pPr>
              <w:pStyle w:val="TableSmall"/>
            </w:pPr>
            <w:r>
              <w:rPr>
                <w:sz w:val="12"/>
              </w:rPr>
              <w:t>Medium-high</w:t>
            </w:r>
          </w:p>
        </w:tc>
        <w:tc>
          <w:tcPr>
            <w:tcW w:type="dxa" w:w="2608"/>
            <w:tcMar>
              <w:top w:w="55" w:type="dxa"/>
              <w:start w:w="70" w:type="dxa"/>
              <w:bottom w:w="55" w:type="dxa"/>
              <w:end w:w="70" w:type="dxa"/>
            </w:tcMar>
            <w:vAlign w:val="top"/>
          </w:tcPr>
          <w:p>
            <w:pPr>
              <w:pStyle w:val="TableSmall"/>
            </w:pPr>
            <w:r>
              <w:rPr>
                <w:sz w:val="12"/>
              </w:rPr>
              <w:t>Small, candlelit and intimate; often chosen for atmosphere.</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Murray Edwards</w:t>
            </w:r>
          </w:p>
        </w:tc>
        <w:tc>
          <w:tcPr>
            <w:tcW w:type="dxa" w:w="3628"/>
            <w:shd w:fill="F5F7F8"/>
            <w:tcMar>
              <w:top w:w="55" w:type="dxa"/>
              <w:start w:w="70" w:type="dxa"/>
              <w:bottom w:w="55" w:type="dxa"/>
              <w:end w:w="70" w:type="dxa"/>
            </w:tcMar>
            <w:vAlign w:val="top"/>
          </w:tcPr>
          <w:p>
            <w:pPr>
              <w:pStyle w:val="TableSmall"/>
            </w:pPr>
            <w:r>
              <w:rPr>
                <w:sz w:val="12"/>
              </w:rPr>
              <w:t>A regular weekly Formal has commonly been held on Tuesday in the Dome; verify term calendar.</w:t>
            </w:r>
          </w:p>
        </w:tc>
        <w:tc>
          <w:tcPr>
            <w:tcW w:type="dxa" w:w="4025"/>
            <w:shd w:fill="F5F7F8"/>
            <w:tcMar>
              <w:top w:w="55" w:type="dxa"/>
              <w:start w:w="70" w:type="dxa"/>
              <w:bottom w:w="55" w:type="dxa"/>
              <w:end w:w="70" w:type="dxa"/>
            </w:tcMar>
            <w:vAlign w:val="top"/>
          </w:tcPr>
          <w:p>
            <w:pPr>
              <w:pStyle w:val="TableSmall"/>
            </w:pPr>
            <w:r>
              <w:rPr>
                <w:sz w:val="12"/>
              </w:rPr>
              <w:t>Smart dress; gown/event wording should be checked.</w:t>
            </w:r>
          </w:p>
        </w:tc>
        <w:tc>
          <w:tcPr>
            <w:tcW w:type="dxa" w:w="1927"/>
            <w:shd w:fill="F5F7F8"/>
            <w:tcMar>
              <w:top w:w="55" w:type="dxa"/>
              <w:start w:w="70" w:type="dxa"/>
              <w:bottom w:w="55" w:type="dxa"/>
              <w:end w:w="70" w:type="dxa"/>
            </w:tcMar>
            <w:vAlign w:val="top"/>
          </w:tcPr>
          <w:p>
            <w:pPr>
              <w:pStyle w:val="TableSmall"/>
            </w:pPr>
            <w:r>
              <w:rPr>
                <w:sz w:val="12"/>
              </w:rPr>
              <w:t>Solid / community</w:t>
            </w:r>
          </w:p>
        </w:tc>
        <w:tc>
          <w:tcPr>
            <w:tcW w:type="dxa" w:w="1247"/>
            <w:shd w:fill="F5F7F8"/>
            <w:tcMar>
              <w:top w:w="55" w:type="dxa"/>
              <w:start w:w="70" w:type="dxa"/>
              <w:bottom w:w="55" w:type="dxa"/>
              <w:end w:w="70" w:type="dxa"/>
            </w:tcMar>
            <w:vAlign w:val="top"/>
          </w:tcPr>
          <w:p>
            <w:pPr>
              <w:pStyle w:val="TableSmall"/>
            </w:pPr>
            <w:r>
              <w:rPr>
                <w:sz w:val="12"/>
              </w:rPr>
              <w:t>Medium</w:t>
            </w:r>
          </w:p>
        </w:tc>
        <w:tc>
          <w:tcPr>
            <w:tcW w:type="dxa" w:w="2608"/>
            <w:shd w:fill="F5F7F8"/>
            <w:tcMar>
              <w:top w:w="55" w:type="dxa"/>
              <w:start w:w="70" w:type="dxa"/>
              <w:bottom w:w="55" w:type="dxa"/>
              <w:end w:w="70" w:type="dxa"/>
            </w:tcMar>
            <w:vAlign w:val="top"/>
          </w:tcPr>
          <w:p>
            <w:pPr>
              <w:pStyle w:val="TableSmall"/>
            </w:pPr>
            <w:r>
              <w:rPr>
                <w:sz w:val="12"/>
              </w:rPr>
              <w:t>Modern setting and community feel rather than pseudo-medieval theatre.</w:t>
            </w:r>
          </w:p>
        </w:tc>
      </w:tr>
      <w:tr>
        <w:trPr>
          <w:cantSplit w:val="true"/>
        </w:trPr>
        <w:tc>
          <w:tcPr>
            <w:tcW w:type="dxa" w:w="1757"/>
            <w:tcMar>
              <w:top w:w="55" w:type="dxa"/>
              <w:start w:w="70" w:type="dxa"/>
              <w:bottom w:w="55" w:type="dxa"/>
              <w:end w:w="70" w:type="dxa"/>
            </w:tcMar>
            <w:vAlign w:val="top"/>
          </w:tcPr>
          <w:p>
            <w:pPr>
              <w:pStyle w:val="TableSmall"/>
            </w:pPr>
            <w:r>
              <w:rPr>
                <w:sz w:val="12"/>
              </w:rPr>
              <w:t>Newnham</w:t>
            </w:r>
          </w:p>
        </w:tc>
        <w:tc>
          <w:tcPr>
            <w:tcW w:type="dxa" w:w="3628"/>
            <w:tcMar>
              <w:top w:w="55" w:type="dxa"/>
              <w:start w:w="70" w:type="dxa"/>
              <w:bottom w:w="55" w:type="dxa"/>
              <w:end w:w="70" w:type="dxa"/>
            </w:tcMar>
            <w:vAlign w:val="top"/>
          </w:tcPr>
          <w:p>
            <w:pPr>
              <w:pStyle w:val="TableSmall"/>
            </w:pPr>
            <w:r>
              <w:rPr>
                <w:sz w:val="12"/>
              </w:rPr>
              <w:t>Regular Formals and special dinners; exact weekly pattern is not consistently public.</w:t>
            </w:r>
          </w:p>
        </w:tc>
        <w:tc>
          <w:tcPr>
            <w:tcW w:type="dxa" w:w="4025"/>
            <w:tcMar>
              <w:top w:w="55" w:type="dxa"/>
              <w:start w:w="70" w:type="dxa"/>
              <w:bottom w:w="55" w:type="dxa"/>
              <w:end w:w="70" w:type="dxa"/>
            </w:tcMar>
            <w:vAlign w:val="top"/>
          </w:tcPr>
          <w:p>
            <w:pPr>
              <w:pStyle w:val="TableSmall"/>
            </w:pPr>
            <w:r>
              <w:rPr>
                <w:sz w:val="12"/>
              </w:rPr>
              <w:t>Gown/smart dress as specified; guests and special events vary.</w:t>
            </w:r>
          </w:p>
        </w:tc>
        <w:tc>
          <w:tcPr>
            <w:tcW w:type="dxa" w:w="1927"/>
            <w:tcMar>
              <w:top w:w="55" w:type="dxa"/>
              <w:start w:w="70" w:type="dxa"/>
              <w:bottom w:w="55" w:type="dxa"/>
              <w:end w:w="70" w:type="dxa"/>
            </w:tcMar>
            <w:vAlign w:val="top"/>
          </w:tcPr>
          <w:p>
            <w:pPr>
              <w:pStyle w:val="TableSmall"/>
            </w:pPr>
            <w:r>
              <w:rPr>
                <w:sz w:val="12"/>
              </w:rPr>
              <w:t>Strong traditional</w:t>
            </w:r>
          </w:p>
        </w:tc>
        <w:tc>
          <w:tcPr>
            <w:tcW w:type="dxa" w:w="1247"/>
            <w:tcMar>
              <w:top w:w="55" w:type="dxa"/>
              <w:start w:w="70" w:type="dxa"/>
              <w:bottom w:w="55" w:type="dxa"/>
              <w:end w:w="70" w:type="dxa"/>
            </w:tcMar>
            <w:vAlign w:val="top"/>
          </w:tcPr>
          <w:p>
            <w:pPr>
              <w:pStyle w:val="TableSmall"/>
            </w:pPr>
            <w:r>
              <w:rPr>
                <w:sz w:val="12"/>
              </w:rPr>
              <w:t>Medium-low</w:t>
            </w:r>
          </w:p>
        </w:tc>
        <w:tc>
          <w:tcPr>
            <w:tcW w:type="dxa" w:w="2608"/>
            <w:tcMar>
              <w:top w:w="55" w:type="dxa"/>
              <w:start w:w="70" w:type="dxa"/>
              <w:bottom w:w="55" w:type="dxa"/>
              <w:end w:w="70" w:type="dxa"/>
            </w:tcMar>
            <w:vAlign w:val="top"/>
          </w:tcPr>
          <w:p>
            <w:pPr>
              <w:pStyle w:val="TableSmall"/>
            </w:pPr>
            <w:r>
              <w:rPr>
                <w:sz w:val="12"/>
              </w:rPr>
              <w:t>Hall, gardens and women’s-college history are central to the appeal.</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Pembroke</w:t>
            </w:r>
          </w:p>
        </w:tc>
        <w:tc>
          <w:tcPr>
            <w:tcW w:type="dxa" w:w="3628"/>
            <w:shd w:fill="F5F7F8"/>
            <w:tcMar>
              <w:top w:w="55" w:type="dxa"/>
              <w:start w:w="70" w:type="dxa"/>
              <w:bottom w:w="55" w:type="dxa"/>
              <w:end w:w="70" w:type="dxa"/>
            </w:tcMar>
            <w:vAlign w:val="top"/>
          </w:tcPr>
          <w:p>
            <w:pPr>
              <w:pStyle w:val="TableSmall"/>
            </w:pPr>
            <w:r>
              <w:rPr>
                <w:sz w:val="12"/>
              </w:rPr>
              <w:t>Commonly four evenings a week in Full Term; confirm live calendar.</w:t>
            </w:r>
          </w:p>
        </w:tc>
        <w:tc>
          <w:tcPr>
            <w:tcW w:type="dxa" w:w="4025"/>
            <w:shd w:fill="F5F7F8"/>
            <w:tcMar>
              <w:top w:w="55" w:type="dxa"/>
              <w:start w:w="70" w:type="dxa"/>
              <w:bottom w:w="55" w:type="dxa"/>
              <w:end w:w="70" w:type="dxa"/>
            </w:tcMar>
            <w:vAlign w:val="top"/>
          </w:tcPr>
          <w:p>
            <w:pPr>
              <w:pStyle w:val="TableSmall"/>
            </w:pPr>
            <w:r>
              <w:rPr>
                <w:sz w:val="12"/>
              </w:rPr>
              <w:t>Gown, smart dress and Latin grace are usual.</w:t>
            </w:r>
          </w:p>
        </w:tc>
        <w:tc>
          <w:tcPr>
            <w:tcW w:type="dxa" w:w="1927"/>
            <w:shd w:fill="F5F7F8"/>
            <w:tcMar>
              <w:top w:w="55" w:type="dxa"/>
              <w:start w:w="70" w:type="dxa"/>
              <w:bottom w:w="55" w:type="dxa"/>
              <w:end w:w="70" w:type="dxa"/>
            </w:tcMar>
            <w:vAlign w:val="top"/>
          </w:tcPr>
          <w:p>
            <w:pPr>
              <w:pStyle w:val="TableSmall"/>
            </w:pPr>
            <w:r>
              <w:rPr>
                <w:sz w:val="12"/>
              </w:rPr>
              <w:t>Destination / strong</w:t>
            </w:r>
          </w:p>
        </w:tc>
        <w:tc>
          <w:tcPr>
            <w:tcW w:type="dxa" w:w="1247"/>
            <w:shd w:fill="F5F7F8"/>
            <w:tcMar>
              <w:top w:w="55" w:type="dxa"/>
              <w:start w:w="70" w:type="dxa"/>
              <w:bottom w:w="55" w:type="dxa"/>
              <w:end w:w="70" w:type="dxa"/>
            </w:tcMar>
            <w:vAlign w:val="top"/>
          </w:tcPr>
          <w:p>
            <w:pPr>
              <w:pStyle w:val="TableSmall"/>
            </w:pPr>
            <w:r>
              <w:rPr>
                <w:sz w:val="12"/>
              </w:rPr>
              <w:t>Medium-high</w:t>
            </w:r>
          </w:p>
        </w:tc>
        <w:tc>
          <w:tcPr>
            <w:tcW w:type="dxa" w:w="2608"/>
            <w:shd w:fill="F5F7F8"/>
            <w:tcMar>
              <w:top w:w="55" w:type="dxa"/>
              <w:start w:w="70" w:type="dxa"/>
              <w:bottom w:w="55" w:type="dxa"/>
              <w:end w:w="70" w:type="dxa"/>
            </w:tcMar>
            <w:vAlign w:val="top"/>
          </w:tcPr>
          <w:p>
            <w:pPr>
              <w:pStyle w:val="TableSmall"/>
            </w:pPr>
            <w:r>
              <w:rPr>
                <w:sz w:val="12"/>
              </w:rPr>
              <w:t>A classic guest-formal target with a strong dining reputation.</w:t>
            </w:r>
          </w:p>
        </w:tc>
      </w:tr>
      <w:tr>
        <w:trPr>
          <w:cantSplit w:val="true"/>
        </w:trPr>
        <w:tc>
          <w:tcPr>
            <w:tcW w:type="dxa" w:w="1757"/>
            <w:tcMar>
              <w:top w:w="55" w:type="dxa"/>
              <w:start w:w="70" w:type="dxa"/>
              <w:bottom w:w="55" w:type="dxa"/>
              <w:end w:w="70" w:type="dxa"/>
            </w:tcMar>
            <w:vAlign w:val="top"/>
          </w:tcPr>
          <w:p>
            <w:pPr>
              <w:pStyle w:val="TableSmall"/>
            </w:pPr>
            <w:r>
              <w:rPr>
                <w:sz w:val="12"/>
              </w:rPr>
              <w:t>Peterhouse</w:t>
            </w:r>
          </w:p>
        </w:tc>
        <w:tc>
          <w:tcPr>
            <w:tcW w:type="dxa" w:w="3628"/>
            <w:tcMar>
              <w:top w:w="55" w:type="dxa"/>
              <w:start w:w="70" w:type="dxa"/>
              <w:bottom w:w="55" w:type="dxa"/>
              <w:end w:w="70" w:type="dxa"/>
            </w:tcMar>
            <w:vAlign w:val="top"/>
          </w:tcPr>
          <w:p>
            <w:pPr>
              <w:pStyle w:val="TableSmall"/>
            </w:pPr>
            <w:r>
              <w:rPr>
                <w:sz w:val="12"/>
              </w:rPr>
              <w:t>Regular traditional Formal, sometimes with multiple sittings; exact dates are member-facing.</w:t>
            </w:r>
          </w:p>
        </w:tc>
        <w:tc>
          <w:tcPr>
            <w:tcW w:type="dxa" w:w="4025"/>
            <w:tcMar>
              <w:top w:w="55" w:type="dxa"/>
              <w:start w:w="70" w:type="dxa"/>
              <w:bottom w:w="55" w:type="dxa"/>
              <w:end w:w="70" w:type="dxa"/>
            </w:tcMar>
            <w:vAlign w:val="top"/>
          </w:tcPr>
          <w:p>
            <w:pPr>
              <w:pStyle w:val="TableSmall"/>
            </w:pPr>
            <w:r>
              <w:rPr>
                <w:sz w:val="12"/>
              </w:rPr>
              <w:t>Gown and suit/equivalent smart formalwear; feasts may be stricter.</w:t>
            </w:r>
          </w:p>
        </w:tc>
        <w:tc>
          <w:tcPr>
            <w:tcW w:type="dxa" w:w="1927"/>
            <w:tcMar>
              <w:top w:w="55" w:type="dxa"/>
              <w:start w:w="70" w:type="dxa"/>
              <w:bottom w:w="55" w:type="dxa"/>
              <w:end w:w="70" w:type="dxa"/>
            </w:tcMar>
            <w:vAlign w:val="top"/>
          </w:tcPr>
          <w:p>
            <w:pPr>
              <w:pStyle w:val="TableSmall"/>
            </w:pPr>
            <w:r>
              <w:rPr>
                <w:sz w:val="12"/>
              </w:rPr>
              <w:t>Destination / strong</w:t>
            </w:r>
          </w:p>
        </w:tc>
        <w:tc>
          <w:tcPr>
            <w:tcW w:type="dxa" w:w="1247"/>
            <w:tcMar>
              <w:top w:w="55" w:type="dxa"/>
              <w:start w:w="70" w:type="dxa"/>
              <w:bottom w:w="55" w:type="dxa"/>
              <w:end w:w="70" w:type="dxa"/>
            </w:tcMar>
            <w:vAlign w:val="top"/>
          </w:tcPr>
          <w:p>
            <w:pPr>
              <w:pStyle w:val="TableSmall"/>
            </w:pPr>
            <w:r>
              <w:rPr>
                <w:sz w:val="12"/>
              </w:rPr>
              <w:t>Medium-high</w:t>
            </w:r>
          </w:p>
        </w:tc>
        <w:tc>
          <w:tcPr>
            <w:tcW w:type="dxa" w:w="2608"/>
            <w:tcMar>
              <w:top w:w="55" w:type="dxa"/>
              <w:start w:w="70" w:type="dxa"/>
              <w:bottom w:w="55" w:type="dxa"/>
              <w:end w:w="70" w:type="dxa"/>
            </w:tcMar>
            <w:vAlign w:val="top"/>
          </w:tcPr>
          <w:p>
            <w:pPr>
              <w:pStyle w:val="TableSmall"/>
            </w:pPr>
            <w:r>
              <w:rPr>
                <w:sz w:val="12"/>
              </w:rPr>
              <w:t>Small, candlelit and deliberately traditional.</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Queens'</w:t>
            </w:r>
          </w:p>
        </w:tc>
        <w:tc>
          <w:tcPr>
            <w:tcW w:type="dxa" w:w="3628"/>
            <w:shd w:fill="F5F7F8"/>
            <w:tcMar>
              <w:top w:w="55" w:type="dxa"/>
              <w:start w:w="70" w:type="dxa"/>
              <w:bottom w:w="55" w:type="dxa"/>
              <w:end w:w="70" w:type="dxa"/>
            </w:tcMar>
            <w:vAlign w:val="top"/>
          </w:tcPr>
          <w:p>
            <w:pPr>
              <w:pStyle w:val="TableSmall"/>
            </w:pPr>
            <w:r>
              <w:rPr>
                <w:sz w:val="12"/>
              </w:rPr>
              <w:t>Regular term-time Formals; public date-by-date schedule not located.</w:t>
            </w:r>
          </w:p>
        </w:tc>
        <w:tc>
          <w:tcPr>
            <w:tcW w:type="dxa" w:w="4025"/>
            <w:shd w:fill="F5F7F8"/>
            <w:tcMar>
              <w:top w:w="55" w:type="dxa"/>
              <w:start w:w="70" w:type="dxa"/>
              <w:bottom w:w="55" w:type="dxa"/>
              <w:end w:w="70" w:type="dxa"/>
            </w:tcMar>
            <w:vAlign w:val="top"/>
          </w:tcPr>
          <w:p>
            <w:pPr>
              <w:pStyle w:val="TableSmall"/>
            </w:pPr>
            <w:r>
              <w:rPr>
                <w:sz w:val="12"/>
              </w:rPr>
              <w:t>Gown/smart dress normally expected; verify guest and special-event rules.</w:t>
            </w:r>
          </w:p>
        </w:tc>
        <w:tc>
          <w:tcPr>
            <w:tcW w:type="dxa" w:w="1927"/>
            <w:shd w:fill="F5F7F8"/>
            <w:tcMar>
              <w:top w:w="55" w:type="dxa"/>
              <w:start w:w="70" w:type="dxa"/>
              <w:bottom w:w="55" w:type="dxa"/>
              <w:end w:w="70" w:type="dxa"/>
            </w:tcMar>
            <w:vAlign w:val="top"/>
          </w:tcPr>
          <w:p>
            <w:pPr>
              <w:pStyle w:val="TableSmall"/>
            </w:pPr>
            <w:r>
              <w:rPr>
                <w:sz w:val="12"/>
              </w:rPr>
              <w:t>Strong traditional</w:t>
            </w:r>
          </w:p>
        </w:tc>
        <w:tc>
          <w:tcPr>
            <w:tcW w:type="dxa" w:w="1247"/>
            <w:shd w:fill="F5F7F8"/>
            <w:tcMar>
              <w:top w:w="55" w:type="dxa"/>
              <w:start w:w="70" w:type="dxa"/>
              <w:bottom w:w="55" w:type="dxa"/>
              <w:end w:w="70" w:type="dxa"/>
            </w:tcMar>
            <w:vAlign w:val="top"/>
          </w:tcPr>
          <w:p>
            <w:pPr>
              <w:pStyle w:val="TableSmall"/>
            </w:pPr>
            <w:r>
              <w:rPr>
                <w:sz w:val="12"/>
              </w:rPr>
              <w:t>Medium-low</w:t>
            </w:r>
          </w:p>
        </w:tc>
        <w:tc>
          <w:tcPr>
            <w:tcW w:type="dxa" w:w="2608"/>
            <w:shd w:fill="F5F7F8"/>
            <w:tcMar>
              <w:top w:w="55" w:type="dxa"/>
              <w:start w:w="70" w:type="dxa"/>
              <w:bottom w:w="55" w:type="dxa"/>
              <w:end w:w="70" w:type="dxa"/>
            </w:tcMar>
            <w:vAlign w:val="top"/>
          </w:tcPr>
          <w:p>
            <w:pPr>
              <w:pStyle w:val="TableSmall"/>
            </w:pPr>
            <w:r>
              <w:rPr>
                <w:sz w:val="12"/>
              </w:rPr>
              <w:t>River setting adds atmosphere; food comparison evidence is limited.</w:t>
            </w:r>
          </w:p>
        </w:tc>
      </w:tr>
      <w:tr>
        <w:trPr>
          <w:cantSplit w:val="true"/>
        </w:trPr>
        <w:tc>
          <w:tcPr>
            <w:tcW w:type="dxa" w:w="1757"/>
            <w:tcMar>
              <w:top w:w="55" w:type="dxa"/>
              <w:start w:w="70" w:type="dxa"/>
              <w:bottom w:w="55" w:type="dxa"/>
              <w:end w:w="70" w:type="dxa"/>
            </w:tcMar>
            <w:vAlign w:val="top"/>
          </w:tcPr>
          <w:p>
            <w:pPr>
              <w:pStyle w:val="TableSmall"/>
            </w:pPr>
            <w:r>
              <w:rPr>
                <w:sz w:val="12"/>
              </w:rPr>
              <w:t>Robinson</w:t>
            </w:r>
          </w:p>
        </w:tc>
        <w:tc>
          <w:tcPr>
            <w:tcW w:type="dxa" w:w="3628"/>
            <w:tcMar>
              <w:top w:w="55" w:type="dxa"/>
              <w:start w:w="70" w:type="dxa"/>
              <w:bottom w:w="55" w:type="dxa"/>
              <w:end w:w="70" w:type="dxa"/>
            </w:tcMar>
            <w:vAlign w:val="top"/>
          </w:tcPr>
          <w:p>
            <w:pPr>
              <w:pStyle w:val="TableSmall"/>
            </w:pPr>
            <w:r>
              <w:rPr>
                <w:sz w:val="12"/>
              </w:rPr>
              <w:t>Regular Formal/special dinners on selected nights; verify live calendar.</w:t>
            </w:r>
          </w:p>
        </w:tc>
        <w:tc>
          <w:tcPr>
            <w:tcW w:type="dxa" w:w="4025"/>
            <w:tcMar>
              <w:top w:w="55" w:type="dxa"/>
              <w:start w:w="70" w:type="dxa"/>
              <w:bottom w:w="55" w:type="dxa"/>
              <w:end w:w="70" w:type="dxa"/>
            </w:tcMar>
            <w:vAlign w:val="top"/>
          </w:tcPr>
          <w:p>
            <w:pPr>
              <w:pStyle w:val="TableSmall"/>
            </w:pPr>
            <w:r>
              <w:rPr>
                <w:sz w:val="12"/>
              </w:rPr>
              <w:t>Smart dress and event-specific gown rules.</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Low</w:t>
            </w:r>
          </w:p>
        </w:tc>
        <w:tc>
          <w:tcPr>
            <w:tcW w:type="dxa" w:w="2608"/>
            <w:tcMar>
              <w:top w:w="55" w:type="dxa"/>
              <w:start w:w="70" w:type="dxa"/>
              <w:bottom w:w="55" w:type="dxa"/>
              <w:end w:w="70" w:type="dxa"/>
            </w:tcMar>
            <w:vAlign w:val="top"/>
          </w:tcPr>
          <w:p>
            <w:pPr>
              <w:pStyle w:val="TableSmall"/>
            </w:pPr>
            <w:r>
              <w:rPr>
                <w:sz w:val="12"/>
              </w:rPr>
              <w:t>Modern Hall experience; judge by menu and company, not antiquity.</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Selwyn</w:t>
            </w:r>
          </w:p>
        </w:tc>
        <w:tc>
          <w:tcPr>
            <w:tcW w:type="dxa" w:w="3628"/>
            <w:shd w:fill="F5F7F8"/>
            <w:tcMar>
              <w:top w:w="55" w:type="dxa"/>
              <w:start w:w="70" w:type="dxa"/>
              <w:bottom w:w="55" w:type="dxa"/>
              <w:end w:w="70" w:type="dxa"/>
            </w:tcMar>
            <w:vAlign w:val="top"/>
          </w:tcPr>
          <w:p>
            <w:pPr>
              <w:pStyle w:val="TableSmall"/>
            </w:pPr>
            <w:r>
              <w:rPr>
                <w:sz w:val="12"/>
              </w:rPr>
              <w:t>Tuesday and Thursday at about 19:30 in recent public/student information; verify each term.</w:t>
            </w:r>
          </w:p>
        </w:tc>
        <w:tc>
          <w:tcPr>
            <w:tcW w:type="dxa" w:w="4025"/>
            <w:shd w:fill="F5F7F8"/>
            <w:tcMar>
              <w:top w:w="55" w:type="dxa"/>
              <w:start w:w="70" w:type="dxa"/>
              <w:bottom w:w="55" w:type="dxa"/>
              <w:end w:w="70" w:type="dxa"/>
            </w:tcMar>
            <w:vAlign w:val="top"/>
          </w:tcPr>
          <w:p>
            <w:pPr>
              <w:pStyle w:val="TableSmall"/>
            </w:pPr>
            <w:r>
              <w:rPr>
                <w:sz w:val="12"/>
              </w:rPr>
              <w:t>Gown and smart dress; guest allowance commonly limited.</w:t>
            </w:r>
          </w:p>
        </w:tc>
        <w:tc>
          <w:tcPr>
            <w:tcW w:type="dxa" w:w="1927"/>
            <w:shd w:fill="F5F7F8"/>
            <w:tcMar>
              <w:top w:w="55" w:type="dxa"/>
              <w:start w:w="70" w:type="dxa"/>
              <w:bottom w:w="55" w:type="dxa"/>
              <w:end w:w="70" w:type="dxa"/>
            </w:tcMar>
            <w:vAlign w:val="top"/>
          </w:tcPr>
          <w:p>
            <w:pPr>
              <w:pStyle w:val="TableSmall"/>
            </w:pPr>
            <w:r>
              <w:rPr>
                <w:sz w:val="12"/>
              </w:rPr>
              <w:t>Strong traditional</w:t>
            </w:r>
          </w:p>
        </w:tc>
        <w:tc>
          <w:tcPr>
            <w:tcW w:type="dxa" w:w="1247"/>
            <w:shd w:fill="F5F7F8"/>
            <w:tcMar>
              <w:top w:w="55" w:type="dxa"/>
              <w:start w:w="70" w:type="dxa"/>
              <w:bottom w:w="55" w:type="dxa"/>
              <w:end w:w="70" w:type="dxa"/>
            </w:tcMar>
            <w:vAlign w:val="top"/>
          </w:tcPr>
          <w:p>
            <w:pPr>
              <w:pStyle w:val="TableSmall"/>
            </w:pPr>
            <w:r>
              <w:rPr>
                <w:sz w:val="12"/>
              </w:rPr>
              <w:t>Medium-high</w:t>
            </w:r>
          </w:p>
        </w:tc>
        <w:tc>
          <w:tcPr>
            <w:tcW w:type="dxa" w:w="2608"/>
            <w:shd w:fill="F5F7F8"/>
            <w:tcMar>
              <w:top w:w="55" w:type="dxa"/>
              <w:start w:w="70" w:type="dxa"/>
              <w:bottom w:w="55" w:type="dxa"/>
              <w:end w:w="70" w:type="dxa"/>
            </w:tcMar>
            <w:vAlign w:val="top"/>
          </w:tcPr>
          <w:p>
            <w:pPr>
              <w:pStyle w:val="TableSmall"/>
            </w:pPr>
            <w:r>
              <w:rPr>
                <w:sz w:val="12"/>
              </w:rPr>
              <w:t>Convenient for Sidgwick-based students and an accessible first Formal.</w:t>
            </w:r>
          </w:p>
        </w:tc>
      </w:tr>
      <w:tr>
        <w:trPr>
          <w:cantSplit w:val="true"/>
        </w:trPr>
        <w:tc>
          <w:tcPr>
            <w:tcW w:type="dxa" w:w="1757"/>
            <w:tcMar>
              <w:top w:w="55" w:type="dxa"/>
              <w:start w:w="70" w:type="dxa"/>
              <w:bottom w:w="55" w:type="dxa"/>
              <w:end w:w="70" w:type="dxa"/>
            </w:tcMar>
            <w:vAlign w:val="top"/>
          </w:tcPr>
          <w:p>
            <w:pPr>
              <w:pStyle w:val="TableSmall"/>
            </w:pPr>
            <w:r>
              <w:rPr>
                <w:sz w:val="12"/>
              </w:rPr>
              <w:t>Sidney Sussex</w:t>
            </w:r>
          </w:p>
        </w:tc>
        <w:tc>
          <w:tcPr>
            <w:tcW w:type="dxa" w:w="3628"/>
            <w:tcMar>
              <w:top w:w="55" w:type="dxa"/>
              <w:start w:w="70" w:type="dxa"/>
              <w:bottom w:w="55" w:type="dxa"/>
              <w:end w:w="70" w:type="dxa"/>
            </w:tcMar>
            <w:vAlign w:val="top"/>
          </w:tcPr>
          <w:p>
            <w:pPr>
              <w:pStyle w:val="TableSmall"/>
            </w:pPr>
            <w:r>
              <w:rPr>
                <w:sz w:val="12"/>
              </w:rPr>
              <w:t>Regular term-time Formal; exact public 2026–27 pattern not located.</w:t>
            </w:r>
          </w:p>
        </w:tc>
        <w:tc>
          <w:tcPr>
            <w:tcW w:type="dxa" w:w="4025"/>
            <w:tcMar>
              <w:top w:w="55" w:type="dxa"/>
              <w:start w:w="70" w:type="dxa"/>
              <w:bottom w:w="55" w:type="dxa"/>
              <w:end w:w="70" w:type="dxa"/>
            </w:tcMar>
            <w:vAlign w:val="top"/>
          </w:tcPr>
          <w:p>
            <w:pPr>
              <w:pStyle w:val="TableSmall"/>
            </w:pPr>
            <w:r>
              <w:rPr>
                <w:sz w:val="12"/>
              </w:rPr>
              <w:t>Gown/smart dress normally expected.</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Low</w:t>
            </w:r>
          </w:p>
        </w:tc>
        <w:tc>
          <w:tcPr>
            <w:tcW w:type="dxa" w:w="2608"/>
            <w:tcMar>
              <w:top w:w="55" w:type="dxa"/>
              <w:start w:w="70" w:type="dxa"/>
              <w:bottom w:w="55" w:type="dxa"/>
              <w:end w:w="70" w:type="dxa"/>
            </w:tcMar>
            <w:vAlign w:val="top"/>
          </w:tcPr>
          <w:p>
            <w:pPr>
              <w:pStyle w:val="TableSmall"/>
            </w:pPr>
            <w:r>
              <w:rPr>
                <w:sz w:val="12"/>
              </w:rPr>
              <w:t>Very central and intimate; obtain current menu/dietary process.</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St Catharine's</w:t>
            </w:r>
          </w:p>
        </w:tc>
        <w:tc>
          <w:tcPr>
            <w:tcW w:type="dxa" w:w="3628"/>
            <w:shd w:fill="F5F7F8"/>
            <w:tcMar>
              <w:top w:w="55" w:type="dxa"/>
              <w:start w:w="70" w:type="dxa"/>
              <w:bottom w:w="55" w:type="dxa"/>
              <w:end w:w="70" w:type="dxa"/>
            </w:tcMar>
            <w:vAlign w:val="top"/>
          </w:tcPr>
          <w:p>
            <w:pPr>
              <w:pStyle w:val="TableSmall"/>
            </w:pPr>
            <w:r>
              <w:rPr>
                <w:sz w:val="12"/>
              </w:rPr>
              <w:t>Regular term-time Formal; weekday pattern and special dinners shown in booking system.</w:t>
            </w:r>
          </w:p>
        </w:tc>
        <w:tc>
          <w:tcPr>
            <w:tcW w:type="dxa" w:w="4025"/>
            <w:shd w:fill="F5F7F8"/>
            <w:tcMar>
              <w:top w:w="55" w:type="dxa"/>
              <w:start w:w="70" w:type="dxa"/>
              <w:bottom w:w="55" w:type="dxa"/>
              <w:end w:w="70" w:type="dxa"/>
            </w:tcMar>
            <w:vAlign w:val="top"/>
          </w:tcPr>
          <w:p>
            <w:pPr>
              <w:pStyle w:val="TableSmall"/>
            </w:pPr>
            <w:r>
              <w:rPr>
                <w:sz w:val="12"/>
              </w:rPr>
              <w:t>Gown plus smart formal clothing; College has used gender-neutral dress guidance.</w:t>
            </w:r>
          </w:p>
        </w:tc>
        <w:tc>
          <w:tcPr>
            <w:tcW w:type="dxa" w:w="1927"/>
            <w:shd w:fill="F5F7F8"/>
            <w:tcMar>
              <w:top w:w="55" w:type="dxa"/>
              <w:start w:w="70" w:type="dxa"/>
              <w:bottom w:w="55" w:type="dxa"/>
              <w:end w:w="70" w:type="dxa"/>
            </w:tcMar>
            <w:vAlign w:val="top"/>
          </w:tcPr>
          <w:p>
            <w:pPr>
              <w:pStyle w:val="TableSmall"/>
            </w:pPr>
            <w:r>
              <w:rPr>
                <w:sz w:val="12"/>
              </w:rPr>
              <w:t>Strong traditional</w:t>
            </w:r>
          </w:p>
        </w:tc>
        <w:tc>
          <w:tcPr>
            <w:tcW w:type="dxa" w:w="1247"/>
            <w:shd w:fill="F5F7F8"/>
            <w:tcMar>
              <w:top w:w="55" w:type="dxa"/>
              <w:start w:w="70" w:type="dxa"/>
              <w:bottom w:w="55" w:type="dxa"/>
              <w:end w:w="70" w:type="dxa"/>
            </w:tcMar>
            <w:vAlign w:val="top"/>
          </w:tcPr>
          <w:p>
            <w:pPr>
              <w:pStyle w:val="TableSmall"/>
            </w:pPr>
            <w:r>
              <w:rPr>
                <w:sz w:val="12"/>
              </w:rPr>
              <w:t>Medium</w:t>
            </w:r>
          </w:p>
        </w:tc>
        <w:tc>
          <w:tcPr>
            <w:tcW w:type="dxa" w:w="2608"/>
            <w:shd w:fill="F5F7F8"/>
            <w:tcMar>
              <w:top w:w="55" w:type="dxa"/>
              <w:start w:w="70" w:type="dxa"/>
              <w:bottom w:w="55" w:type="dxa"/>
              <w:end w:w="70" w:type="dxa"/>
            </w:tcMar>
            <w:vAlign w:val="top"/>
          </w:tcPr>
          <w:p>
            <w:pPr>
              <w:pStyle w:val="TableSmall"/>
            </w:pPr>
            <w:r>
              <w:rPr>
                <w:sz w:val="12"/>
              </w:rPr>
              <w:t>Compact Hall and active swap culture.</w:t>
            </w:r>
          </w:p>
        </w:tc>
      </w:tr>
      <w:tr>
        <w:trPr>
          <w:cantSplit w:val="true"/>
        </w:trPr>
        <w:tc>
          <w:tcPr>
            <w:tcW w:type="dxa" w:w="1757"/>
            <w:tcMar>
              <w:top w:w="55" w:type="dxa"/>
              <w:start w:w="70" w:type="dxa"/>
              <w:bottom w:w="55" w:type="dxa"/>
              <w:end w:w="70" w:type="dxa"/>
            </w:tcMar>
            <w:vAlign w:val="top"/>
          </w:tcPr>
          <w:p>
            <w:pPr>
              <w:pStyle w:val="TableSmall"/>
            </w:pPr>
            <w:r>
              <w:rPr>
                <w:sz w:val="12"/>
              </w:rPr>
              <w:t>St Edmund's</w:t>
            </w:r>
          </w:p>
        </w:tc>
        <w:tc>
          <w:tcPr>
            <w:tcW w:type="dxa" w:w="3628"/>
            <w:tcMar>
              <w:top w:w="55" w:type="dxa"/>
              <w:start w:w="70" w:type="dxa"/>
              <w:bottom w:w="55" w:type="dxa"/>
              <w:end w:w="70" w:type="dxa"/>
            </w:tcMar>
            <w:vAlign w:val="top"/>
          </w:tcPr>
          <w:p>
            <w:pPr>
              <w:pStyle w:val="TableSmall"/>
            </w:pPr>
            <w:r>
              <w:rPr>
                <w:sz w:val="12"/>
              </w:rPr>
              <w:t>Regular Formal dinners and feasts; exact current dates through College channels.</w:t>
            </w:r>
          </w:p>
        </w:tc>
        <w:tc>
          <w:tcPr>
            <w:tcW w:type="dxa" w:w="4025"/>
            <w:tcMar>
              <w:top w:w="55" w:type="dxa"/>
              <w:start w:w="70" w:type="dxa"/>
              <w:bottom w:w="55" w:type="dxa"/>
              <w:end w:w="70" w:type="dxa"/>
            </w:tcMar>
            <w:vAlign w:val="top"/>
          </w:tcPr>
          <w:p>
            <w:pPr>
              <w:pStyle w:val="TableSmall"/>
            </w:pPr>
            <w:r>
              <w:rPr>
                <w:sz w:val="12"/>
              </w:rPr>
              <w:t>Academic gown required for Formals and College occasions. No separate High Table division at dinner.</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Medium-high</w:t>
            </w:r>
          </w:p>
        </w:tc>
        <w:tc>
          <w:tcPr>
            <w:tcW w:type="dxa" w:w="2608"/>
            <w:tcMar>
              <w:top w:w="55" w:type="dxa"/>
              <w:start w:w="70" w:type="dxa"/>
              <w:bottom w:w="55" w:type="dxa"/>
              <w:end w:w="70" w:type="dxa"/>
            </w:tcMar>
            <w:vAlign w:val="top"/>
          </w:tcPr>
          <w:p>
            <w:pPr>
              <w:pStyle w:val="TableSmall"/>
            </w:pPr>
            <w:r>
              <w:rPr>
                <w:sz w:val="12"/>
              </w:rPr>
              <w:t>The mixed mature/postgraduate table is a distinctive advantage.</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St John's</w:t>
            </w:r>
          </w:p>
        </w:tc>
        <w:tc>
          <w:tcPr>
            <w:tcW w:type="dxa" w:w="3628"/>
            <w:shd w:fill="F5F7F8"/>
            <w:tcMar>
              <w:top w:w="55" w:type="dxa"/>
              <w:start w:w="70" w:type="dxa"/>
              <w:bottom w:w="55" w:type="dxa"/>
              <w:end w:w="70" w:type="dxa"/>
            </w:tcMar>
            <w:vAlign w:val="top"/>
          </w:tcPr>
          <w:p>
            <w:pPr>
              <w:pStyle w:val="TableSmall"/>
            </w:pPr>
            <w:r>
              <w:rPr>
                <w:sz w:val="12"/>
              </w:rPr>
              <w:t>Traditionally six evenings a week in Full Term; verify exclusions and special nights.</w:t>
            </w:r>
          </w:p>
        </w:tc>
        <w:tc>
          <w:tcPr>
            <w:tcW w:type="dxa" w:w="4025"/>
            <w:shd w:fill="F5F7F8"/>
            <w:tcMar>
              <w:top w:w="55" w:type="dxa"/>
              <w:start w:w="70" w:type="dxa"/>
              <w:bottom w:w="55" w:type="dxa"/>
              <w:end w:w="70" w:type="dxa"/>
            </w:tcMar>
            <w:vAlign w:val="top"/>
          </w:tcPr>
          <w:p>
            <w:pPr>
              <w:pStyle w:val="TableSmall"/>
            </w:pPr>
            <w:r>
              <w:rPr>
                <w:sz w:val="12"/>
              </w:rPr>
              <w:t>Gown and smart dress; special feasts stricter.</w:t>
            </w:r>
          </w:p>
        </w:tc>
        <w:tc>
          <w:tcPr>
            <w:tcW w:type="dxa" w:w="1927"/>
            <w:shd w:fill="F5F7F8"/>
            <w:tcMar>
              <w:top w:w="55" w:type="dxa"/>
              <w:start w:w="70" w:type="dxa"/>
              <w:bottom w:w="55" w:type="dxa"/>
              <w:end w:w="70" w:type="dxa"/>
            </w:tcMar>
            <w:vAlign w:val="top"/>
          </w:tcPr>
          <w:p>
            <w:pPr>
              <w:pStyle w:val="TableSmall"/>
            </w:pPr>
            <w:r>
              <w:rPr>
                <w:sz w:val="12"/>
              </w:rPr>
              <w:t>Destination / strong</w:t>
            </w:r>
          </w:p>
        </w:tc>
        <w:tc>
          <w:tcPr>
            <w:tcW w:type="dxa" w:w="1247"/>
            <w:shd w:fill="F5F7F8"/>
            <w:tcMar>
              <w:top w:w="55" w:type="dxa"/>
              <w:start w:w="70" w:type="dxa"/>
              <w:bottom w:w="55" w:type="dxa"/>
              <w:end w:w="70" w:type="dxa"/>
            </w:tcMar>
            <w:vAlign w:val="top"/>
          </w:tcPr>
          <w:p>
            <w:pPr>
              <w:pStyle w:val="TableSmall"/>
            </w:pPr>
            <w:r>
              <w:rPr>
                <w:sz w:val="12"/>
              </w:rPr>
              <w:t>Medium-high</w:t>
            </w:r>
          </w:p>
        </w:tc>
        <w:tc>
          <w:tcPr>
            <w:tcW w:type="dxa" w:w="2608"/>
            <w:shd w:fill="F5F7F8"/>
            <w:tcMar>
              <w:top w:w="55" w:type="dxa"/>
              <w:start w:w="70" w:type="dxa"/>
              <w:bottom w:w="55" w:type="dxa"/>
              <w:end w:w="70" w:type="dxa"/>
            </w:tcMar>
            <w:vAlign w:val="top"/>
          </w:tcPr>
          <w:p>
            <w:pPr>
              <w:pStyle w:val="TableSmall"/>
            </w:pPr>
            <w:r>
              <w:rPr>
                <w:sz w:val="12"/>
              </w:rPr>
              <w:t>Scale, frequency and setting make it a common guest target.</w:t>
            </w:r>
          </w:p>
        </w:tc>
      </w:tr>
      <w:tr>
        <w:trPr>
          <w:cantSplit w:val="true"/>
        </w:trPr>
        <w:tc>
          <w:tcPr>
            <w:tcW w:type="dxa" w:w="1757"/>
            <w:tcMar>
              <w:top w:w="55" w:type="dxa"/>
              <w:start w:w="70" w:type="dxa"/>
              <w:bottom w:w="55" w:type="dxa"/>
              <w:end w:w="70" w:type="dxa"/>
            </w:tcMar>
            <w:vAlign w:val="top"/>
          </w:tcPr>
          <w:p>
            <w:pPr>
              <w:pStyle w:val="TableSmall"/>
            </w:pPr>
            <w:r>
              <w:rPr>
                <w:sz w:val="12"/>
              </w:rPr>
              <w:t>Trinity</w:t>
            </w:r>
          </w:p>
        </w:tc>
        <w:tc>
          <w:tcPr>
            <w:tcW w:type="dxa" w:w="3628"/>
            <w:tcMar>
              <w:top w:w="55" w:type="dxa"/>
              <w:start w:w="70" w:type="dxa"/>
              <w:bottom w:w="55" w:type="dxa"/>
              <w:end w:w="70" w:type="dxa"/>
            </w:tcMar>
            <w:vAlign w:val="top"/>
          </w:tcPr>
          <w:p>
            <w:pPr>
              <w:pStyle w:val="TableSmall"/>
            </w:pPr>
            <w:r>
              <w:rPr>
                <w:sz w:val="12"/>
              </w:rPr>
              <w:t>Frequent term-time Formals and special dinners; exact eligibility/date list is member-facing.</w:t>
            </w:r>
          </w:p>
        </w:tc>
        <w:tc>
          <w:tcPr>
            <w:tcW w:type="dxa" w:w="4025"/>
            <w:tcMar>
              <w:top w:w="55" w:type="dxa"/>
              <w:start w:w="70" w:type="dxa"/>
              <w:bottom w:w="55" w:type="dxa"/>
              <w:end w:w="70" w:type="dxa"/>
            </w:tcMar>
            <w:vAlign w:val="top"/>
          </w:tcPr>
          <w:p>
            <w:pPr>
              <w:pStyle w:val="TableSmall"/>
            </w:pPr>
            <w:r>
              <w:rPr>
                <w:sz w:val="12"/>
              </w:rPr>
              <w:t>Gown and smart dress normally; feasts and Ball dining much stricter.</w:t>
            </w:r>
          </w:p>
        </w:tc>
        <w:tc>
          <w:tcPr>
            <w:tcW w:type="dxa" w:w="1927"/>
            <w:tcMar>
              <w:top w:w="55" w:type="dxa"/>
              <w:start w:w="70" w:type="dxa"/>
              <w:bottom w:w="55" w:type="dxa"/>
              <w:end w:w="70" w:type="dxa"/>
            </w:tcMar>
            <w:vAlign w:val="top"/>
          </w:tcPr>
          <w:p>
            <w:pPr>
              <w:pStyle w:val="TableSmall"/>
            </w:pPr>
            <w:r>
              <w:rPr>
                <w:sz w:val="12"/>
              </w:rPr>
              <w:t>Destination / strong</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Grand setting; ordinary Formal should not be confused with the May Ball dinner.</w:t>
            </w:r>
          </w:p>
        </w:tc>
      </w:tr>
      <w:tr>
        <w:trPr>
          <w:cantSplit w:val="true"/>
        </w:trPr>
        <w:tc>
          <w:tcPr>
            <w:tcW w:type="dxa" w:w="1757"/>
            <w:shd w:fill="F5F7F8"/>
            <w:tcMar>
              <w:top w:w="55" w:type="dxa"/>
              <w:start w:w="70" w:type="dxa"/>
              <w:bottom w:w="55" w:type="dxa"/>
              <w:end w:w="70" w:type="dxa"/>
            </w:tcMar>
            <w:vAlign w:val="top"/>
          </w:tcPr>
          <w:p>
            <w:pPr>
              <w:pStyle w:val="TableSmall"/>
            </w:pPr>
            <w:r>
              <w:rPr>
                <w:sz w:val="12"/>
              </w:rPr>
              <w:t>Trinity Hall</w:t>
            </w:r>
          </w:p>
        </w:tc>
        <w:tc>
          <w:tcPr>
            <w:tcW w:type="dxa" w:w="3628"/>
            <w:shd w:fill="F5F7F8"/>
            <w:tcMar>
              <w:top w:w="55" w:type="dxa"/>
              <w:start w:w="70" w:type="dxa"/>
              <w:bottom w:w="55" w:type="dxa"/>
              <w:end w:w="70" w:type="dxa"/>
            </w:tcMar>
            <w:vAlign w:val="top"/>
          </w:tcPr>
          <w:p>
            <w:pPr>
              <w:pStyle w:val="TableSmall"/>
            </w:pPr>
            <w:r>
              <w:rPr>
                <w:sz w:val="12"/>
              </w:rPr>
              <w:t>Regular selected-night Formals; exact 2026–27 schedule not publicly verified.</w:t>
            </w:r>
          </w:p>
        </w:tc>
        <w:tc>
          <w:tcPr>
            <w:tcW w:type="dxa" w:w="4025"/>
            <w:shd w:fill="F5F7F8"/>
            <w:tcMar>
              <w:top w:w="55" w:type="dxa"/>
              <w:start w:w="70" w:type="dxa"/>
              <w:bottom w:w="55" w:type="dxa"/>
              <w:end w:w="70" w:type="dxa"/>
            </w:tcMar>
            <w:vAlign w:val="top"/>
          </w:tcPr>
          <w:p>
            <w:pPr>
              <w:pStyle w:val="TableSmall"/>
            </w:pPr>
            <w:r>
              <w:rPr>
                <w:sz w:val="12"/>
              </w:rPr>
              <w:t>Gown/smart dress generally expected; invitation controls.</w:t>
            </w:r>
          </w:p>
        </w:tc>
        <w:tc>
          <w:tcPr>
            <w:tcW w:type="dxa" w:w="1927"/>
            <w:shd w:fill="F5F7F8"/>
            <w:tcMar>
              <w:top w:w="55" w:type="dxa"/>
              <w:start w:w="70" w:type="dxa"/>
              <w:bottom w:w="55" w:type="dxa"/>
              <w:end w:w="70" w:type="dxa"/>
            </w:tcMar>
            <w:vAlign w:val="top"/>
          </w:tcPr>
          <w:p>
            <w:pPr>
              <w:pStyle w:val="TableSmall"/>
            </w:pPr>
            <w:r>
              <w:rPr>
                <w:sz w:val="12"/>
              </w:rPr>
              <w:t>Strong traditional</w:t>
            </w:r>
          </w:p>
        </w:tc>
        <w:tc>
          <w:tcPr>
            <w:tcW w:type="dxa" w:w="1247"/>
            <w:shd w:fill="F5F7F8"/>
            <w:tcMar>
              <w:top w:w="55" w:type="dxa"/>
              <w:start w:w="70" w:type="dxa"/>
              <w:bottom w:w="55" w:type="dxa"/>
              <w:end w:w="70" w:type="dxa"/>
            </w:tcMar>
            <w:vAlign w:val="top"/>
          </w:tcPr>
          <w:p>
            <w:pPr>
              <w:pStyle w:val="TableSmall"/>
            </w:pPr>
            <w:r>
              <w:rPr>
                <w:sz w:val="12"/>
              </w:rPr>
              <w:t>Medium-low</w:t>
            </w:r>
          </w:p>
        </w:tc>
        <w:tc>
          <w:tcPr>
            <w:tcW w:type="dxa" w:w="2608"/>
            <w:shd w:fill="F5F7F8"/>
            <w:tcMar>
              <w:top w:w="55" w:type="dxa"/>
              <w:start w:w="70" w:type="dxa"/>
              <w:bottom w:w="55" w:type="dxa"/>
              <w:end w:w="70" w:type="dxa"/>
            </w:tcMar>
            <w:vAlign w:val="top"/>
          </w:tcPr>
          <w:p>
            <w:pPr>
              <w:pStyle w:val="TableSmall"/>
            </w:pPr>
            <w:r>
              <w:rPr>
                <w:sz w:val="12"/>
              </w:rPr>
              <w:t>Small river setting; booking availability can matter more than ranking.</w:t>
            </w:r>
          </w:p>
        </w:tc>
      </w:tr>
      <w:tr>
        <w:trPr>
          <w:cantSplit w:val="true"/>
        </w:trPr>
        <w:tc>
          <w:tcPr>
            <w:tcW w:type="dxa" w:w="1757"/>
            <w:tcMar>
              <w:top w:w="55" w:type="dxa"/>
              <w:start w:w="70" w:type="dxa"/>
              <w:bottom w:w="55" w:type="dxa"/>
              <w:end w:w="70" w:type="dxa"/>
            </w:tcMar>
            <w:vAlign w:val="top"/>
          </w:tcPr>
          <w:p>
            <w:pPr>
              <w:pStyle w:val="TableSmall"/>
            </w:pPr>
            <w:r>
              <w:rPr>
                <w:sz w:val="12"/>
              </w:rPr>
              <w:t>Wolfson</w:t>
            </w:r>
          </w:p>
        </w:tc>
        <w:tc>
          <w:tcPr>
            <w:tcW w:type="dxa" w:w="3628"/>
            <w:tcMar>
              <w:top w:w="55" w:type="dxa"/>
              <w:start w:w="70" w:type="dxa"/>
              <w:bottom w:w="55" w:type="dxa"/>
              <w:end w:w="70" w:type="dxa"/>
            </w:tcMar>
            <w:vAlign w:val="top"/>
          </w:tcPr>
          <w:p>
            <w:pPr>
              <w:pStyle w:val="TableSmall"/>
            </w:pPr>
            <w:r>
              <w:rPr>
                <w:sz w:val="12"/>
              </w:rPr>
              <w:t>Regular Formal Hall and special dinners; exact term dates published to members.</w:t>
            </w:r>
          </w:p>
        </w:tc>
        <w:tc>
          <w:tcPr>
            <w:tcW w:type="dxa" w:w="4025"/>
            <w:tcMar>
              <w:top w:w="55" w:type="dxa"/>
              <w:start w:w="70" w:type="dxa"/>
              <w:bottom w:w="55" w:type="dxa"/>
              <w:end w:w="70" w:type="dxa"/>
            </w:tcMar>
            <w:vAlign w:val="top"/>
          </w:tcPr>
          <w:p>
            <w:pPr>
              <w:pStyle w:val="TableSmall"/>
            </w:pPr>
            <w:r>
              <w:rPr>
                <w:sz w:val="12"/>
              </w:rPr>
              <w:t>Gowns may be encouraged or required for particular occasions rather than uniformly; verify booking.</w:t>
            </w:r>
          </w:p>
        </w:tc>
        <w:tc>
          <w:tcPr>
            <w:tcW w:type="dxa" w:w="1927"/>
            <w:tcMar>
              <w:top w:w="55" w:type="dxa"/>
              <w:start w:w="70" w:type="dxa"/>
              <w:bottom w:w="55" w:type="dxa"/>
              <w:end w:w="70" w:type="dxa"/>
            </w:tcMar>
            <w:vAlign w:val="top"/>
          </w:tcPr>
          <w:p>
            <w:pPr>
              <w:pStyle w:val="TableSmall"/>
            </w:pPr>
            <w:r>
              <w:rPr>
                <w:sz w:val="12"/>
              </w:rPr>
              <w:t>Solid / community</w:t>
            </w:r>
          </w:p>
        </w:tc>
        <w:tc>
          <w:tcPr>
            <w:tcW w:type="dxa" w:w="1247"/>
            <w:tcMar>
              <w:top w:w="55" w:type="dxa"/>
              <w:start w:w="70" w:type="dxa"/>
              <w:bottom w:w="55" w:type="dxa"/>
              <w:end w:w="70" w:type="dxa"/>
            </w:tcMar>
            <w:vAlign w:val="top"/>
          </w:tcPr>
          <w:p>
            <w:pPr>
              <w:pStyle w:val="TableSmall"/>
            </w:pPr>
            <w:r>
              <w:rPr>
                <w:sz w:val="12"/>
              </w:rPr>
              <w:t>Medium</w:t>
            </w:r>
          </w:p>
        </w:tc>
        <w:tc>
          <w:tcPr>
            <w:tcW w:type="dxa" w:w="2608"/>
            <w:tcMar>
              <w:top w:w="55" w:type="dxa"/>
              <w:start w:w="70" w:type="dxa"/>
              <w:bottom w:w="55" w:type="dxa"/>
              <w:end w:w="70" w:type="dxa"/>
            </w:tcMar>
            <w:vAlign w:val="top"/>
          </w:tcPr>
          <w:p>
            <w:pPr>
              <w:pStyle w:val="TableSmall"/>
            </w:pPr>
            <w:r>
              <w:rPr>
                <w:sz w:val="12"/>
              </w:rPr>
              <w:t>No rigid High Table separation is part of its egalitarian mature-college culture.</w:t>
            </w:r>
          </w:p>
        </w:tc>
      </w:tr>
    </w:tbl>
    <w:p>
      <w:pPr>
        <w:spacing w:after="20"/>
      </w:pPr>
    </w:p>
    <w:p>
      <w:pPr>
        <w:pStyle w:val="Source"/>
      </w:pPr>
      <w:r>
        <w:rPr>
          <w:b/>
        </w:rPr>
        <w:t xml:space="preserve">Sources and status: </w:t>
      </w:r>
      <w:r>
        <w:t>Exact dates: current College booking systems and College homepages (direct links in the directory). General cost benchmark: Cambridge estimates ordinary Formal Hall at roughly £12–£25, but guest and special dinner prices can exceed this. [U06]</w:t>
      </w:r>
    </w:p>
    <w:p>
      <w:pPr>
        <w:pStyle w:val="Heading2"/>
        <w:keepNext/>
      </w:pPr>
      <w:r>
        <w:t>Candid “best for” guide</w:t>
      </w:r>
    </w:p>
    <w:tbl>
      <w:tblPr>
        <w:tblW w:type="dxa" w:w="14458"/>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381"/>
        <w:gridCol w:w="2948"/>
        <w:gridCol w:w="5102"/>
        <w:gridCol w:w="4025"/>
      </w:tblGrid>
      <w:tr>
        <w:trPr>
          <w:tblHeader w:val="true"/>
          <w:cantSplit w:val="true"/>
        </w:trPr>
        <w:tc>
          <w:tcPr>
            <w:tcW w:type="dxa" w:w="2381"/>
            <w:shd w:fill="17324D"/>
            <w:tcMar>
              <w:top w:w="70" w:type="dxa"/>
              <w:start w:w="80" w:type="dxa"/>
              <w:bottom w:w="70" w:type="dxa"/>
              <w:end w:w="80" w:type="dxa"/>
            </w:tcMar>
            <w:vAlign w:val="center"/>
          </w:tcPr>
          <w:p>
            <w:pPr>
              <w:pStyle w:val="TableSmall"/>
              <w:jc w:val="left"/>
            </w:pPr>
            <w:r>
              <w:rPr>
                <w:b/>
                <w:color w:val="FFFFFF"/>
                <w:sz w:val="13"/>
              </w:rPr>
              <w:t>What you want</w:t>
            </w:r>
          </w:p>
        </w:tc>
        <w:tc>
          <w:tcPr>
            <w:tcW w:type="dxa" w:w="2948"/>
            <w:shd w:fill="17324D"/>
            <w:tcMar>
              <w:top w:w="70" w:type="dxa"/>
              <w:start w:w="80" w:type="dxa"/>
              <w:bottom w:w="70" w:type="dxa"/>
              <w:end w:w="80" w:type="dxa"/>
            </w:tcMar>
            <w:vAlign w:val="center"/>
          </w:tcPr>
          <w:p>
            <w:pPr>
              <w:pStyle w:val="TableSmall"/>
              <w:jc w:val="left"/>
            </w:pPr>
            <w:r>
              <w:rPr>
                <w:b/>
                <w:color w:val="FFFFFF"/>
                <w:sz w:val="13"/>
              </w:rPr>
              <w:t>Try first</w:t>
            </w:r>
          </w:p>
        </w:tc>
        <w:tc>
          <w:tcPr>
            <w:tcW w:type="dxa" w:w="5103"/>
            <w:shd w:fill="17324D"/>
            <w:tcMar>
              <w:top w:w="70" w:type="dxa"/>
              <w:start w:w="80" w:type="dxa"/>
              <w:bottom w:w="70" w:type="dxa"/>
              <w:end w:w="80" w:type="dxa"/>
            </w:tcMar>
            <w:vAlign w:val="center"/>
          </w:tcPr>
          <w:p>
            <w:pPr>
              <w:pStyle w:val="TableSmall"/>
              <w:jc w:val="left"/>
            </w:pPr>
            <w:r>
              <w:rPr>
                <w:b/>
                <w:color w:val="FFFFFF"/>
                <w:sz w:val="13"/>
              </w:rPr>
              <w:t>Why</w:t>
            </w:r>
          </w:p>
        </w:tc>
        <w:tc>
          <w:tcPr>
            <w:tcW w:type="dxa" w:w="4025"/>
            <w:shd w:fill="17324D"/>
            <w:tcMar>
              <w:top w:w="70" w:type="dxa"/>
              <w:start w:w="80" w:type="dxa"/>
              <w:bottom w:w="70" w:type="dxa"/>
              <w:end w:w="80" w:type="dxa"/>
            </w:tcMar>
            <w:vAlign w:val="center"/>
          </w:tcPr>
          <w:p>
            <w:pPr>
              <w:pStyle w:val="TableSmall"/>
              <w:jc w:val="left"/>
            </w:pPr>
            <w:r>
              <w:rPr>
                <w:b/>
                <w:color w:val="FFFFFF"/>
                <w:sz w:val="13"/>
              </w:rPr>
              <w:t>Caveat</w:t>
            </w:r>
          </w:p>
        </w:tc>
      </w:tr>
      <w:tr>
        <w:trPr>
          <w:cantSplit w:val="true"/>
        </w:trPr>
        <w:tc>
          <w:tcPr>
            <w:tcW w:type="dxa" w:w="2381"/>
            <w:tcMar>
              <w:top w:w="55" w:type="dxa"/>
              <w:start w:w="70" w:type="dxa"/>
              <w:bottom w:w="55" w:type="dxa"/>
              <w:end w:w="70" w:type="dxa"/>
            </w:tcMar>
            <w:vAlign w:val="top"/>
          </w:tcPr>
          <w:p>
            <w:pPr>
              <w:pStyle w:val="TableSmall"/>
            </w:pPr>
            <w:r>
              <w:rPr>
                <w:sz w:val="13"/>
              </w:rPr>
              <w:t>Food-first guest experience</w:t>
            </w:r>
          </w:p>
        </w:tc>
        <w:tc>
          <w:tcPr>
            <w:tcW w:type="dxa" w:w="2948"/>
            <w:tcMar>
              <w:top w:w="55" w:type="dxa"/>
              <w:start w:w="70" w:type="dxa"/>
              <w:bottom w:w="55" w:type="dxa"/>
              <w:end w:w="70" w:type="dxa"/>
            </w:tcMar>
            <w:vAlign w:val="top"/>
          </w:tcPr>
          <w:p>
            <w:pPr>
              <w:pStyle w:val="TableSmall"/>
            </w:pPr>
            <w:r>
              <w:rPr>
                <w:sz w:val="13"/>
              </w:rPr>
              <w:t>Clare, Pembroke, Caius</w:t>
            </w:r>
          </w:p>
        </w:tc>
        <w:tc>
          <w:tcPr>
            <w:tcW w:type="dxa" w:w="5103"/>
            <w:tcMar>
              <w:top w:w="55" w:type="dxa"/>
              <w:start w:w="70" w:type="dxa"/>
              <w:bottom w:w="55" w:type="dxa"/>
              <w:end w:w="70" w:type="dxa"/>
            </w:tcMar>
            <w:vAlign w:val="top"/>
          </w:tcPr>
          <w:p>
            <w:pPr>
              <w:pStyle w:val="TableSmall"/>
            </w:pPr>
            <w:r>
              <w:rPr>
                <w:sz w:val="13"/>
              </w:rPr>
              <w:t>Strong public/repeated dining reputation and frequent/traditional service.</w:t>
            </w:r>
          </w:p>
        </w:tc>
        <w:tc>
          <w:tcPr>
            <w:tcW w:type="dxa" w:w="4025"/>
            <w:tcMar>
              <w:top w:w="55" w:type="dxa"/>
              <w:start w:w="70" w:type="dxa"/>
              <w:bottom w:w="55" w:type="dxa"/>
              <w:end w:w="70" w:type="dxa"/>
            </w:tcMar>
            <w:vAlign w:val="top"/>
          </w:tcPr>
          <w:p>
            <w:pPr>
              <w:pStyle w:val="TableSmall"/>
            </w:pPr>
            <w:r>
              <w:rPr>
                <w:sz w:val="13"/>
              </w:rPr>
              <w:t>A single vegetarian, vegan or allergy menu can outperform or underperform the headline reputation.</w:t>
            </w:r>
          </w:p>
        </w:tc>
      </w:tr>
      <w:tr>
        <w:trPr>
          <w:cantSplit w:val="true"/>
        </w:trPr>
        <w:tc>
          <w:tcPr>
            <w:tcW w:type="dxa" w:w="2381"/>
            <w:shd w:fill="F5F7F8"/>
            <w:tcMar>
              <w:top w:w="55" w:type="dxa"/>
              <w:start w:w="70" w:type="dxa"/>
              <w:bottom w:w="55" w:type="dxa"/>
              <w:end w:w="70" w:type="dxa"/>
            </w:tcMar>
            <w:vAlign w:val="top"/>
          </w:tcPr>
          <w:p>
            <w:pPr>
              <w:pStyle w:val="TableSmall"/>
            </w:pPr>
            <w:r>
              <w:rPr>
                <w:sz w:val="13"/>
              </w:rPr>
              <w:t>Candlelit old-Cambridge atmosphere</w:t>
            </w:r>
          </w:p>
        </w:tc>
        <w:tc>
          <w:tcPr>
            <w:tcW w:type="dxa" w:w="2948"/>
            <w:shd w:fill="F5F7F8"/>
            <w:tcMar>
              <w:top w:w="55" w:type="dxa"/>
              <w:start w:w="70" w:type="dxa"/>
              <w:bottom w:w="55" w:type="dxa"/>
              <w:end w:w="70" w:type="dxa"/>
            </w:tcMar>
            <w:vAlign w:val="top"/>
          </w:tcPr>
          <w:p>
            <w:pPr>
              <w:pStyle w:val="TableSmall"/>
            </w:pPr>
            <w:r>
              <w:rPr>
                <w:sz w:val="13"/>
              </w:rPr>
              <w:t>Magdalene, Peterhouse, Downing</w:t>
            </w:r>
          </w:p>
        </w:tc>
        <w:tc>
          <w:tcPr>
            <w:tcW w:type="dxa" w:w="5103"/>
            <w:shd w:fill="F5F7F8"/>
            <w:tcMar>
              <w:top w:w="55" w:type="dxa"/>
              <w:start w:w="70" w:type="dxa"/>
              <w:bottom w:w="55" w:type="dxa"/>
              <w:end w:w="70" w:type="dxa"/>
            </w:tcMar>
            <w:vAlign w:val="top"/>
          </w:tcPr>
          <w:p>
            <w:pPr>
              <w:pStyle w:val="TableSmall"/>
            </w:pPr>
            <w:r>
              <w:rPr>
                <w:sz w:val="13"/>
              </w:rPr>
              <w:t>Architecture, scale and ceremonial style carry the evening.</w:t>
            </w:r>
          </w:p>
        </w:tc>
        <w:tc>
          <w:tcPr>
            <w:tcW w:type="dxa" w:w="4025"/>
            <w:shd w:fill="F5F7F8"/>
            <w:tcMar>
              <w:top w:w="55" w:type="dxa"/>
              <w:start w:w="70" w:type="dxa"/>
              <w:bottom w:w="55" w:type="dxa"/>
              <w:end w:w="70" w:type="dxa"/>
            </w:tcMar>
            <w:vAlign w:val="top"/>
          </w:tcPr>
          <w:p>
            <w:pPr>
              <w:pStyle w:val="TableSmall"/>
            </w:pPr>
            <w:r>
              <w:rPr>
                <w:sz w:val="13"/>
              </w:rPr>
              <w:t>Old buildings may create access, acoustics or seating issues.</w:t>
            </w:r>
          </w:p>
        </w:tc>
      </w:tr>
      <w:tr>
        <w:trPr>
          <w:cantSplit w:val="true"/>
        </w:trPr>
        <w:tc>
          <w:tcPr>
            <w:tcW w:type="dxa" w:w="2381"/>
            <w:tcMar>
              <w:top w:w="55" w:type="dxa"/>
              <w:start w:w="70" w:type="dxa"/>
              <w:bottom w:w="55" w:type="dxa"/>
              <w:end w:w="70" w:type="dxa"/>
            </w:tcMar>
            <w:vAlign w:val="top"/>
          </w:tcPr>
          <w:p>
            <w:pPr>
              <w:pStyle w:val="TableSmall"/>
            </w:pPr>
            <w:r>
              <w:rPr>
                <w:sz w:val="13"/>
              </w:rPr>
              <w:t>Grand setting</w:t>
            </w:r>
          </w:p>
        </w:tc>
        <w:tc>
          <w:tcPr>
            <w:tcW w:type="dxa" w:w="2948"/>
            <w:tcMar>
              <w:top w:w="55" w:type="dxa"/>
              <w:start w:w="70" w:type="dxa"/>
              <w:bottom w:w="55" w:type="dxa"/>
              <w:end w:w="70" w:type="dxa"/>
            </w:tcMar>
            <w:vAlign w:val="top"/>
          </w:tcPr>
          <w:p>
            <w:pPr>
              <w:pStyle w:val="TableSmall"/>
            </w:pPr>
            <w:r>
              <w:rPr>
                <w:sz w:val="13"/>
              </w:rPr>
              <w:t>St John’s, Trinity, King’s</w:t>
            </w:r>
          </w:p>
        </w:tc>
        <w:tc>
          <w:tcPr>
            <w:tcW w:type="dxa" w:w="5103"/>
            <w:tcMar>
              <w:top w:w="55" w:type="dxa"/>
              <w:start w:w="70" w:type="dxa"/>
              <w:bottom w:w="55" w:type="dxa"/>
              <w:end w:w="70" w:type="dxa"/>
            </w:tcMar>
            <w:vAlign w:val="top"/>
          </w:tcPr>
          <w:p>
            <w:pPr>
              <w:pStyle w:val="TableSmall"/>
            </w:pPr>
            <w:r>
              <w:rPr>
                <w:sz w:val="13"/>
              </w:rPr>
              <w:t>Large or iconic halls and a sense of occasion.</w:t>
            </w:r>
          </w:p>
        </w:tc>
        <w:tc>
          <w:tcPr>
            <w:tcW w:type="dxa" w:w="4025"/>
            <w:tcMar>
              <w:top w:w="55" w:type="dxa"/>
              <w:start w:w="70" w:type="dxa"/>
              <w:bottom w:w="55" w:type="dxa"/>
              <w:end w:w="70" w:type="dxa"/>
            </w:tcMar>
            <w:vAlign w:val="top"/>
          </w:tcPr>
          <w:p>
            <w:pPr>
              <w:pStyle w:val="TableSmall"/>
            </w:pPr>
            <w:r>
              <w:rPr>
                <w:sz w:val="13"/>
              </w:rPr>
              <w:t>Prestige can mean scarcity and more formal guest rules.</w:t>
            </w:r>
          </w:p>
        </w:tc>
      </w:tr>
      <w:tr>
        <w:trPr>
          <w:cantSplit w:val="true"/>
        </w:trPr>
        <w:tc>
          <w:tcPr>
            <w:tcW w:type="dxa" w:w="2381"/>
            <w:shd w:fill="F5F7F8"/>
            <w:tcMar>
              <w:top w:w="55" w:type="dxa"/>
              <w:start w:w="70" w:type="dxa"/>
              <w:bottom w:w="55" w:type="dxa"/>
              <w:end w:w="70" w:type="dxa"/>
            </w:tcMar>
            <w:vAlign w:val="top"/>
          </w:tcPr>
          <w:p>
            <w:pPr>
              <w:pStyle w:val="TableSmall"/>
            </w:pPr>
            <w:r>
              <w:rPr>
                <w:sz w:val="13"/>
              </w:rPr>
              <w:t>A relaxed first Formal</w:t>
            </w:r>
          </w:p>
        </w:tc>
        <w:tc>
          <w:tcPr>
            <w:tcW w:type="dxa" w:w="2948"/>
            <w:shd w:fill="F5F7F8"/>
            <w:tcMar>
              <w:top w:w="55" w:type="dxa"/>
              <w:start w:w="70" w:type="dxa"/>
              <w:bottom w:w="55" w:type="dxa"/>
              <w:end w:w="70" w:type="dxa"/>
            </w:tcMar>
            <w:vAlign w:val="top"/>
          </w:tcPr>
          <w:p>
            <w:pPr>
              <w:pStyle w:val="TableSmall"/>
            </w:pPr>
            <w:r>
              <w:rPr>
                <w:sz w:val="13"/>
              </w:rPr>
              <w:t>Christ’s, Fitzwilliam, Churchill, Hughes Hall</w:t>
            </w:r>
          </w:p>
        </w:tc>
        <w:tc>
          <w:tcPr>
            <w:tcW w:type="dxa" w:w="5103"/>
            <w:shd w:fill="F5F7F8"/>
            <w:tcMar>
              <w:top w:w="55" w:type="dxa"/>
              <w:start w:w="70" w:type="dxa"/>
              <w:bottom w:w="55" w:type="dxa"/>
              <w:end w:w="70" w:type="dxa"/>
            </w:tcMar>
            <w:vAlign w:val="top"/>
          </w:tcPr>
          <w:p>
            <w:pPr>
              <w:pStyle w:val="TableSmall"/>
            </w:pPr>
            <w:r>
              <w:rPr>
                <w:sz w:val="13"/>
              </w:rPr>
              <w:t>Clear social purpose or less intimidating culture.</w:t>
            </w:r>
          </w:p>
        </w:tc>
        <w:tc>
          <w:tcPr>
            <w:tcW w:type="dxa" w:w="4025"/>
            <w:shd w:fill="F5F7F8"/>
            <w:tcMar>
              <w:top w:w="55" w:type="dxa"/>
              <w:start w:w="70" w:type="dxa"/>
              <w:bottom w:w="55" w:type="dxa"/>
              <w:end w:w="70" w:type="dxa"/>
            </w:tcMar>
            <w:vAlign w:val="top"/>
          </w:tcPr>
          <w:p>
            <w:pPr>
              <w:pStyle w:val="TableSmall"/>
            </w:pPr>
            <w:r>
              <w:rPr>
                <w:sz w:val="13"/>
              </w:rPr>
              <w:t>Check whether the exact dinner requires a gown.</w:t>
            </w:r>
          </w:p>
        </w:tc>
      </w:tr>
      <w:tr>
        <w:trPr>
          <w:cantSplit w:val="true"/>
        </w:trPr>
        <w:tc>
          <w:tcPr>
            <w:tcW w:type="dxa" w:w="2381"/>
            <w:tcMar>
              <w:top w:w="55" w:type="dxa"/>
              <w:start w:w="70" w:type="dxa"/>
              <w:bottom w:w="55" w:type="dxa"/>
              <w:end w:w="70" w:type="dxa"/>
            </w:tcMar>
            <w:vAlign w:val="top"/>
          </w:tcPr>
          <w:p>
            <w:pPr>
              <w:pStyle w:val="TableSmall"/>
            </w:pPr>
            <w:r>
              <w:rPr>
                <w:sz w:val="13"/>
              </w:rPr>
              <w:t>Mature/mixed-age company</w:t>
            </w:r>
          </w:p>
        </w:tc>
        <w:tc>
          <w:tcPr>
            <w:tcW w:type="dxa" w:w="2948"/>
            <w:tcMar>
              <w:top w:w="55" w:type="dxa"/>
              <w:start w:w="70" w:type="dxa"/>
              <w:bottom w:w="55" w:type="dxa"/>
              <w:end w:w="70" w:type="dxa"/>
            </w:tcMar>
            <w:vAlign w:val="top"/>
          </w:tcPr>
          <w:p>
            <w:pPr>
              <w:pStyle w:val="TableSmall"/>
            </w:pPr>
            <w:r>
              <w:rPr>
                <w:sz w:val="13"/>
              </w:rPr>
              <w:t>Hughes Hall, St Edmund’s, Wolfson</w:t>
            </w:r>
          </w:p>
        </w:tc>
        <w:tc>
          <w:tcPr>
            <w:tcW w:type="dxa" w:w="5103"/>
            <w:tcMar>
              <w:top w:w="55" w:type="dxa"/>
              <w:start w:w="70" w:type="dxa"/>
              <w:bottom w:w="55" w:type="dxa"/>
              <w:end w:w="70" w:type="dxa"/>
            </w:tcMar>
            <w:vAlign w:val="top"/>
          </w:tcPr>
          <w:p>
            <w:pPr>
              <w:pStyle w:val="TableSmall"/>
            </w:pPr>
            <w:r>
              <w:rPr>
                <w:sz w:val="13"/>
              </w:rPr>
              <w:t>Mature-only undergraduate or graduate-heavy communities.</w:t>
            </w:r>
          </w:p>
        </w:tc>
        <w:tc>
          <w:tcPr>
            <w:tcW w:type="dxa" w:w="4025"/>
            <w:tcMar>
              <w:top w:w="55" w:type="dxa"/>
              <w:start w:w="70" w:type="dxa"/>
              <w:bottom w:w="55" w:type="dxa"/>
              <w:end w:w="70" w:type="dxa"/>
            </w:tcMar>
            <w:vAlign w:val="top"/>
          </w:tcPr>
          <w:p>
            <w:pPr>
              <w:pStyle w:val="TableSmall"/>
            </w:pPr>
            <w:r>
              <w:rPr>
                <w:sz w:val="13"/>
              </w:rPr>
              <w:t>A mature College is not automatically quiet or family-inclusive.</w:t>
            </w:r>
          </w:p>
        </w:tc>
      </w:tr>
      <w:tr>
        <w:trPr>
          <w:cantSplit w:val="true"/>
        </w:trPr>
        <w:tc>
          <w:tcPr>
            <w:tcW w:type="dxa" w:w="2381"/>
            <w:shd w:fill="F5F7F8"/>
            <w:tcMar>
              <w:top w:w="55" w:type="dxa"/>
              <w:start w:w="70" w:type="dxa"/>
              <w:bottom w:w="55" w:type="dxa"/>
              <w:end w:w="70" w:type="dxa"/>
            </w:tcMar>
            <w:vAlign w:val="top"/>
          </w:tcPr>
          <w:p>
            <w:pPr>
              <w:pStyle w:val="TableSmall"/>
            </w:pPr>
            <w:r>
              <w:rPr>
                <w:sz w:val="13"/>
              </w:rPr>
              <w:t>Frequent swaps</w:t>
            </w:r>
          </w:p>
        </w:tc>
        <w:tc>
          <w:tcPr>
            <w:tcW w:type="dxa" w:w="2948"/>
            <w:shd w:fill="F5F7F8"/>
            <w:tcMar>
              <w:top w:w="55" w:type="dxa"/>
              <w:start w:w="70" w:type="dxa"/>
              <w:bottom w:w="55" w:type="dxa"/>
              <w:end w:w="70" w:type="dxa"/>
            </w:tcMar>
            <w:vAlign w:val="top"/>
          </w:tcPr>
          <w:p>
            <w:pPr>
              <w:pStyle w:val="TableSmall"/>
            </w:pPr>
            <w:r>
              <w:rPr>
                <w:sz w:val="13"/>
              </w:rPr>
              <w:t>Caius, Jesus, St John’s, Clare</w:t>
            </w:r>
          </w:p>
        </w:tc>
        <w:tc>
          <w:tcPr>
            <w:tcW w:type="dxa" w:w="5103"/>
            <w:shd w:fill="F5F7F8"/>
            <w:tcMar>
              <w:top w:w="55" w:type="dxa"/>
              <w:start w:w="70" w:type="dxa"/>
              <w:bottom w:w="55" w:type="dxa"/>
              <w:end w:w="70" w:type="dxa"/>
            </w:tcMar>
            <w:vAlign w:val="top"/>
          </w:tcPr>
          <w:p>
            <w:pPr>
              <w:pStyle w:val="TableSmall"/>
            </w:pPr>
            <w:r>
              <w:rPr>
                <w:sz w:val="13"/>
              </w:rPr>
              <w:t>Higher-frequency programmes create more opportunities.</w:t>
            </w:r>
          </w:p>
        </w:tc>
        <w:tc>
          <w:tcPr>
            <w:tcW w:type="dxa" w:w="4025"/>
            <w:shd w:fill="F5F7F8"/>
            <w:tcMar>
              <w:top w:w="55" w:type="dxa"/>
              <w:start w:w="70" w:type="dxa"/>
              <w:bottom w:w="55" w:type="dxa"/>
              <w:end w:w="70" w:type="dxa"/>
            </w:tcMar>
            <w:vAlign w:val="top"/>
          </w:tcPr>
          <w:p>
            <w:pPr>
              <w:pStyle w:val="TableSmall"/>
            </w:pPr>
            <w:r>
              <w:rPr>
                <w:sz w:val="13"/>
              </w:rPr>
              <w:t>Swap access depends on member quotas, booking release and guest prices.</w:t>
            </w:r>
          </w:p>
        </w:tc>
      </w:tr>
      <w:tr>
        <w:trPr>
          <w:cantSplit w:val="true"/>
        </w:trPr>
        <w:tc>
          <w:tcPr>
            <w:tcW w:type="dxa" w:w="2381"/>
            <w:tcMar>
              <w:top w:w="55" w:type="dxa"/>
              <w:start w:w="70" w:type="dxa"/>
              <w:bottom w:w="55" w:type="dxa"/>
              <w:end w:w="70" w:type="dxa"/>
            </w:tcMar>
            <w:vAlign w:val="top"/>
          </w:tcPr>
          <w:p>
            <w:pPr>
              <w:pStyle w:val="TableSmall"/>
            </w:pPr>
            <w:r>
              <w:rPr>
                <w:sz w:val="13"/>
              </w:rPr>
              <w:t>Women’s-college setting</w:t>
            </w:r>
          </w:p>
        </w:tc>
        <w:tc>
          <w:tcPr>
            <w:tcW w:type="dxa" w:w="2948"/>
            <w:tcMar>
              <w:top w:w="55" w:type="dxa"/>
              <w:start w:w="70" w:type="dxa"/>
              <w:bottom w:w="55" w:type="dxa"/>
              <w:end w:w="70" w:type="dxa"/>
            </w:tcMar>
            <w:vAlign w:val="top"/>
          </w:tcPr>
          <w:p>
            <w:pPr>
              <w:pStyle w:val="TableSmall"/>
            </w:pPr>
            <w:r>
              <w:rPr>
                <w:sz w:val="13"/>
              </w:rPr>
              <w:t>Newnham, Murray Edwards</w:t>
            </w:r>
          </w:p>
        </w:tc>
        <w:tc>
          <w:tcPr>
            <w:tcW w:type="dxa" w:w="5103"/>
            <w:tcMar>
              <w:top w:w="55" w:type="dxa"/>
              <w:start w:w="70" w:type="dxa"/>
              <w:bottom w:w="55" w:type="dxa"/>
              <w:end w:w="70" w:type="dxa"/>
            </w:tcMar>
            <w:vAlign w:val="top"/>
          </w:tcPr>
          <w:p>
            <w:pPr>
              <w:pStyle w:val="TableSmall"/>
            </w:pPr>
            <w:r>
              <w:rPr>
                <w:sz w:val="13"/>
              </w:rPr>
              <w:t>Distinct histories, spaces and communities.</w:t>
            </w:r>
          </w:p>
        </w:tc>
        <w:tc>
          <w:tcPr>
            <w:tcW w:type="dxa" w:w="4025"/>
            <w:tcMar>
              <w:top w:w="55" w:type="dxa"/>
              <w:start w:w="70" w:type="dxa"/>
              <w:bottom w:w="55" w:type="dxa"/>
              <w:end w:w="70" w:type="dxa"/>
            </w:tcMar>
            <w:vAlign w:val="top"/>
          </w:tcPr>
          <w:p>
            <w:pPr>
              <w:pStyle w:val="TableSmall"/>
            </w:pPr>
            <w:r>
              <w:rPr>
                <w:sz w:val="13"/>
              </w:rPr>
              <w:t>Current admission/guest policies and dress codes must be checked.</w:t>
            </w:r>
          </w:p>
        </w:tc>
      </w:tr>
    </w:tbl>
    <w:p>
      <w:pPr>
        <w:spacing w:after="20"/>
      </w:pPr>
    </w:p>
    <w:p>
      <w:pPr>
        <w:pStyle w:val="Heading2"/>
        <w:keepNext/>
      </w:pPr>
      <w:r>
        <w:t>How to attend without pretending to be eighteen</w:t>
      </w:r>
    </w:p>
    <w:p>
      <w:pPr>
        <w:pStyle w:val="ListBullet"/>
        <w:spacing w:after="30" w:line="247" w:lineRule="auto"/>
        <w:ind w:left="312" w:hanging="142"/>
      </w:pPr>
      <w:r>
        <w:t>Book one ordinary Formal before an expensive feast. Ask a College friend to explain entry, seating, grace and payment.</w:t>
      </w:r>
    </w:p>
    <w:p>
      <w:pPr>
        <w:pStyle w:val="ListBullet"/>
        <w:spacing w:after="30" w:line="247" w:lineRule="auto"/>
        <w:ind w:left="312" w:hanging="142"/>
      </w:pPr>
      <w:r>
        <w:t>Eat something beforehand if dietary provision is uncertain; contact catering early rather than trying to negotiate at the table.</w:t>
      </w:r>
    </w:p>
    <w:p>
      <w:pPr>
        <w:pStyle w:val="ListBullet"/>
        <w:spacing w:after="30" w:line="247" w:lineRule="auto"/>
        <w:ind w:left="312" w:hanging="142"/>
      </w:pPr>
      <w:r>
        <w:t>Arrive ten minutes early, switch off your phone, stand when others stand and follow the room. You do not need Latin.</w:t>
      </w:r>
    </w:p>
    <w:p>
      <w:pPr>
        <w:pStyle w:val="ListBullet"/>
        <w:spacing w:after="30" w:line="247" w:lineRule="auto"/>
        <w:ind w:left="312" w:hanging="142"/>
      </w:pPr>
      <w:r>
        <w:t>Choose clothing you can sit in for two hours. Borrow or buy a second-hand gown only after confirming the right type.</w:t>
      </w:r>
    </w:p>
    <w:p>
      <w:pPr>
        <w:pStyle w:val="ListBullet"/>
        <w:spacing w:after="30" w:line="247" w:lineRule="auto"/>
        <w:ind w:left="312" w:hanging="142"/>
      </w:pPr>
      <w:r>
        <w:t>Bring a partner as a guest where permitted, but explain that High Table, grace and gowns are theatre plus community—not an assessment.</w:t>
      </w:r>
    </w:p>
    <w:p>
      <w:pPr>
        <w:pStyle w:val="ListBullet"/>
        <w:spacing w:after="30" w:line="247" w:lineRule="auto"/>
        <w:ind w:left="312" w:hanging="142"/>
      </w:pPr>
      <w:r>
        <w:t>Leave after dinner. Formal does not obligate you to attend the bar, bop or all-night social plan.</w:t>
      </w:r>
    </w:p>
    <w:tbl>
      <w:tblPr>
        <w:tblW w:type="dxa" w:w="15421"/>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40"/>
        <w:gridCol w:w="5140"/>
        <w:gridCol w:w="5140"/>
      </w:tblGrid>
      <w:tr>
        <w:trPr>
          <w:cantSplit w:val="true"/>
        </w:trPr>
        <w:tc>
          <w:tcPr>
            <w:tcW w:type="dxa" w:w="5140"/>
            <w:tcMar>
              <w:top w:w="100" w:type="dxa"/>
              <w:start w:w="110" w:type="dxa"/>
              <w:bottom w:w="100" w:type="dxa"/>
              <w:end w:w="110" w:type="dxa"/>
            </w:tcMar>
            <w:shd w:fill="EEF5F6"/>
            <w:vAlign w:val="top"/>
          </w:tcPr>
          <w:p>
            <w:pPr>
              <w:pStyle w:val="BoxHeading"/>
            </w:pPr>
            <w:r>
              <w:t>WHAT THIS MEANS FOR A MATURE STUDENT</w:t>
            </w:r>
          </w:p>
          <w:p>
            <w:pPr>
              <w:pStyle w:val="Small"/>
            </w:pPr>
            <w:r>
              <w:t>Formals are optional, useful social infrastructure. One dinner a term can create connection without becoming a budget habit.</w:t>
            </w:r>
          </w:p>
        </w:tc>
        <w:tc>
          <w:tcPr>
            <w:tcW w:type="dxa" w:w="5140"/>
            <w:tcMar>
              <w:top w:w="100" w:type="dxa"/>
              <w:start w:w="110" w:type="dxa"/>
              <w:bottom w:w="100" w:type="dxa"/>
              <w:end w:w="110" w:type="dxa"/>
            </w:tcMar>
            <w:shd w:fill="F7F3EA"/>
            <w:vAlign w:val="top"/>
          </w:tcPr>
          <w:p>
            <w:pPr>
              <w:pStyle w:val="BoxHeading"/>
            </w:pPr>
            <w:r>
              <w:t>QUESTIONS TO ASK YOUR COLLEGE</w:t>
            </w:r>
          </w:p>
          <w:p>
            <w:pPr>
              <w:pStyle w:val="Small"/>
            </w:pPr>
            <w:r>
              <w:t>Which nights, booking release, cancellation rule, price, guest quota, dietary deadline, gown and accessibility arrangement apply this term?</w:t>
            </w:r>
          </w:p>
        </w:tc>
        <w:tc>
          <w:tcPr>
            <w:tcW w:type="dxa" w:w="5140"/>
            <w:tcMar>
              <w:top w:w="100" w:type="dxa"/>
              <w:start w:w="110" w:type="dxa"/>
              <w:bottom w:w="100" w:type="dxa"/>
              <w:end w:w="110" w:type="dxa"/>
            </w:tcMar>
            <w:shd w:fill="F9EEEE"/>
            <w:vAlign w:val="top"/>
          </w:tcPr>
          <w:p>
            <w:pPr>
              <w:pStyle w:val="BoxHeading"/>
            </w:pPr>
            <w:r>
              <w:t>COMMON MISTAKE TO AVOID</w:t>
            </w:r>
          </w:p>
          <w:p>
            <w:pPr>
              <w:pStyle w:val="Small"/>
            </w:pPr>
            <w:r>
              <w:t>Turning a low-confidence food reputation into fact—or buying formalwear before reading your own College rule.</w:t>
            </w:r>
          </w:p>
        </w:tc>
      </w:tr>
    </w:tbl>
    <w:p>
      <w:pPr>
        <w:spacing w:after="40"/>
      </w:pPr>
    </w:p>
    <w:p>
      <w:pPr>
        <w:pStyle w:val="Heading1"/>
        <w:keepNext/>
      </w:pPr>
      <w:r>
        <w:t>13. May Balls, June Events and garden parties</w:t>
      </w:r>
    </w:p>
    <w:p>
      <w:pPr>
        <w:spacing w:after="160"/>
      </w:pPr>
      <w:r>
        <w:rPr>
          <w:i/>
          <w:color w:val="5F6B73"/>
          <w:sz w:val="20"/>
        </w:rPr>
        <w:t>A price-and-fit guide, not a hierarchy of human worth.</w:t>
      </w:r>
    </w:p>
    <w:p>
      <w:r>
        <w:t>“May Week” takes place mainly in June after examinations. Colleges and student committees run overnight May Balls, less formal June Events, garden parties and occasional winter or spring Balls. They are not University-wide compulsory events. Tickets can be balloted, restricted to members, sold as doubles, tied to named guests and difficult or expensive to transfer.</w:t>
      </w:r>
    </w:p>
    <w:tbl>
      <w:tblPr>
        <w:tblW w:type="dxa" w:w="15421"/>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15261"/>
      </w:tblGrid>
      <w:tr>
        <w:trPr>
          <w:cantSplit w:val="true"/>
        </w:trPr>
        <w:tc>
          <w:tcPr>
            <w:tcW w:type="dxa" w:w="158"/>
            <w:tcMar>
              <w:top w:w="80" w:type="dxa"/>
              <w:start w:w="100" w:type="dxa"/>
              <w:bottom w:w="80" w:type="dxa"/>
              <w:end w:w="100" w:type="dxa"/>
            </w:tcMar>
            <w:shd w:fill="D8A735"/>
          </w:tcPr>
          <w:p/>
        </w:tc>
        <w:tc>
          <w:tcPr>
            <w:tcW w:type="dxa" w:w="15263"/>
            <w:tcMar>
              <w:top w:w="80" w:type="dxa"/>
              <w:start w:w="100" w:type="dxa"/>
              <w:bottom w:w="80" w:type="dxa"/>
              <w:end w:w="100" w:type="dxa"/>
            </w:tcMar>
            <w:shd w:fill="F7F3EA"/>
            <w:vAlign w:val="center"/>
          </w:tcPr>
          <w:p>
            <w:pPr>
              <w:pStyle w:val="BoxHeading"/>
            </w:pPr>
            <w:r>
              <w:t>DATE STATUS</w:t>
            </w:r>
          </w:p>
          <w:p>
            <w:pPr>
              <w:spacing w:after="0"/>
            </w:pPr>
            <w:r>
              <w:t>The 2026 season had finished by the check date. Most 2027 committees had not published reliable dates or prices. The calendar below is therefore a verified retrospective planning guide: it shows what the most recent season actually cost, while the College-by-College pattern table tells you what may recur. Recheck from January 2027.</w:t>
            </w:r>
          </w:p>
        </w:tc>
      </w:tr>
    </w:tbl>
    <w:p>
      <w:pPr>
        <w:spacing w:after="20"/>
      </w:pPr>
    </w:p>
    <w:tbl>
      <w:tblPr>
        <w:tblW w:type="dxa" w:w="14288"/>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814"/>
        <w:gridCol w:w="2948"/>
        <w:gridCol w:w="2438"/>
        <w:gridCol w:w="3118"/>
        <w:gridCol w:w="3969"/>
      </w:tblGrid>
      <w:tr>
        <w:trPr>
          <w:tblHeader w:val="true"/>
          <w:cantSplit w:val="true"/>
        </w:trPr>
        <w:tc>
          <w:tcPr>
            <w:tcW w:type="dxa" w:w="1814"/>
            <w:shd w:fill="17324D"/>
            <w:tcMar>
              <w:top w:w="70" w:type="dxa"/>
              <w:start w:w="80" w:type="dxa"/>
              <w:bottom w:w="70" w:type="dxa"/>
              <w:end w:w="80" w:type="dxa"/>
            </w:tcMar>
            <w:vAlign w:val="center"/>
          </w:tcPr>
          <w:p>
            <w:pPr>
              <w:pStyle w:val="TableSmall"/>
              <w:jc w:val="left"/>
            </w:pPr>
            <w:r>
              <w:rPr>
                <w:b/>
                <w:color w:val="FFFFFF"/>
                <w:sz w:val="13"/>
              </w:rPr>
              <w:t>Date</w:t>
            </w:r>
          </w:p>
        </w:tc>
        <w:tc>
          <w:tcPr>
            <w:tcW w:type="dxa" w:w="2948"/>
            <w:shd w:fill="17324D"/>
            <w:tcMar>
              <w:top w:w="70" w:type="dxa"/>
              <w:start w:w="80" w:type="dxa"/>
              <w:bottom w:w="70" w:type="dxa"/>
              <w:end w:w="80" w:type="dxa"/>
            </w:tcMar>
            <w:vAlign w:val="center"/>
          </w:tcPr>
          <w:p>
            <w:pPr>
              <w:pStyle w:val="TableSmall"/>
              <w:jc w:val="left"/>
            </w:pPr>
            <w:r>
              <w:rPr>
                <w:b/>
                <w:color w:val="FFFFFF"/>
                <w:sz w:val="13"/>
              </w:rPr>
              <w:t>2026 event</w:t>
            </w:r>
          </w:p>
        </w:tc>
        <w:tc>
          <w:tcPr>
            <w:tcW w:type="dxa" w:w="2438"/>
            <w:shd w:fill="17324D"/>
            <w:tcMar>
              <w:top w:w="70" w:type="dxa"/>
              <w:start w:w="80" w:type="dxa"/>
              <w:bottom w:w="70" w:type="dxa"/>
              <w:end w:w="80" w:type="dxa"/>
            </w:tcMar>
            <w:vAlign w:val="center"/>
          </w:tcPr>
          <w:p>
            <w:pPr>
              <w:pStyle w:val="TableSmall"/>
              <w:jc w:val="left"/>
            </w:pPr>
            <w:r>
              <w:rPr>
                <w:b/>
                <w:color w:val="FFFFFF"/>
                <w:sz w:val="13"/>
              </w:rPr>
              <w:t>Where</w:t>
            </w:r>
          </w:p>
        </w:tc>
        <w:tc>
          <w:tcPr>
            <w:tcW w:type="dxa" w:w="3118"/>
            <w:shd w:fill="17324D"/>
            <w:tcMar>
              <w:top w:w="70" w:type="dxa"/>
              <w:start w:w="80" w:type="dxa"/>
              <w:bottom w:w="70" w:type="dxa"/>
              <w:end w:w="80" w:type="dxa"/>
            </w:tcMar>
            <w:vAlign w:val="center"/>
          </w:tcPr>
          <w:p>
            <w:pPr>
              <w:pStyle w:val="TableSmall"/>
              <w:jc w:val="left"/>
            </w:pPr>
            <w:r>
              <w:rPr>
                <w:b/>
                <w:color w:val="FFFFFF"/>
                <w:sz w:val="13"/>
              </w:rPr>
              <w:t>Published price</w:t>
            </w:r>
          </w:p>
        </w:tc>
        <w:tc>
          <w:tcPr>
            <w:tcW w:type="dxa" w:w="3969"/>
            <w:shd w:fill="17324D"/>
            <w:tcMar>
              <w:top w:w="70" w:type="dxa"/>
              <w:start w:w="80" w:type="dxa"/>
              <w:bottom w:w="70" w:type="dxa"/>
              <w:end w:w="80" w:type="dxa"/>
            </w:tcMar>
            <w:vAlign w:val="center"/>
          </w:tcPr>
          <w:p>
            <w:pPr>
              <w:pStyle w:val="TableSmall"/>
              <w:jc w:val="left"/>
            </w:pPr>
            <w:r>
              <w:rPr>
                <w:b/>
                <w:color w:val="FFFFFF"/>
                <w:sz w:val="13"/>
              </w:rPr>
              <w:t>Guide note</w:t>
            </w:r>
          </w:p>
        </w:tc>
      </w:tr>
      <w:tr>
        <w:trPr>
          <w:cantSplit w:val="true"/>
        </w:trPr>
        <w:tc>
          <w:tcPr>
            <w:tcW w:type="dxa" w:w="1814"/>
            <w:tcMar>
              <w:top w:w="55" w:type="dxa"/>
              <w:start w:w="70" w:type="dxa"/>
              <w:bottom w:w="55" w:type="dxa"/>
              <w:end w:w="70" w:type="dxa"/>
            </w:tcMar>
            <w:vAlign w:val="top"/>
          </w:tcPr>
          <w:p>
            <w:pPr>
              <w:pStyle w:val="TableSmall"/>
            </w:pPr>
            <w:r>
              <w:rPr>
                <w:sz w:val="13"/>
              </w:rPr>
              <w:t>Fri 19 Jun</w:t>
            </w:r>
          </w:p>
        </w:tc>
        <w:tc>
          <w:tcPr>
            <w:tcW w:type="dxa" w:w="2948"/>
            <w:tcMar>
              <w:top w:w="55" w:type="dxa"/>
              <w:start w:w="70" w:type="dxa"/>
              <w:bottom w:w="55" w:type="dxa"/>
              <w:end w:w="70" w:type="dxa"/>
            </w:tcMar>
            <w:vAlign w:val="top"/>
          </w:tcPr>
          <w:p>
            <w:pPr>
              <w:pStyle w:val="TableSmall"/>
            </w:pPr>
            <w:r>
              <w:rPr>
                <w:sz w:val="13"/>
              </w:rPr>
              <w:t>Lucy Cavendish Garden Party</w:t>
            </w:r>
          </w:p>
        </w:tc>
        <w:tc>
          <w:tcPr>
            <w:tcW w:type="dxa" w:w="2438"/>
            <w:tcMar>
              <w:top w:w="55" w:type="dxa"/>
              <w:start w:w="70" w:type="dxa"/>
              <w:bottom w:w="55" w:type="dxa"/>
              <w:end w:w="70" w:type="dxa"/>
            </w:tcMar>
            <w:vAlign w:val="top"/>
          </w:tcPr>
          <w:p>
            <w:pPr>
              <w:pStyle w:val="TableSmall"/>
            </w:pPr>
            <w:r>
              <w:rPr>
                <w:sz w:val="13"/>
              </w:rPr>
              <w:t>Lucy Cavendish grounds</w:t>
            </w:r>
          </w:p>
        </w:tc>
        <w:tc>
          <w:tcPr>
            <w:tcW w:type="dxa" w:w="3118"/>
            <w:tcMar>
              <w:top w:w="55" w:type="dxa"/>
              <w:start w:w="70" w:type="dxa"/>
              <w:bottom w:w="55" w:type="dxa"/>
              <w:end w:w="70" w:type="dxa"/>
            </w:tcMar>
            <w:vAlign w:val="top"/>
          </w:tcPr>
          <w:p>
            <w:pPr>
              <w:pStyle w:val="TableSmall"/>
            </w:pPr>
            <w:r>
              <w:rPr>
                <w:sz w:val="13"/>
              </w:rPr>
              <w:t>£26</w:t>
            </w:r>
          </w:p>
        </w:tc>
        <w:tc>
          <w:tcPr>
            <w:tcW w:type="dxa" w:w="3969"/>
            <w:tcMar>
              <w:top w:w="55" w:type="dxa"/>
              <w:start w:w="70" w:type="dxa"/>
              <w:bottom w:w="55" w:type="dxa"/>
              <w:end w:w="70" w:type="dxa"/>
            </w:tcMar>
            <w:vAlign w:val="top"/>
          </w:tcPr>
          <w:p>
            <w:pPr>
              <w:pStyle w:val="TableSmall"/>
            </w:pPr>
            <w:r>
              <w:rPr>
                <w:sz w:val="13"/>
              </w:rPr>
              <w:t>Low-cost daytime/community option</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Sat 20 Jun</w:t>
            </w:r>
          </w:p>
        </w:tc>
        <w:tc>
          <w:tcPr>
            <w:tcW w:type="dxa" w:w="2948"/>
            <w:shd w:fill="F5F7F8"/>
            <w:tcMar>
              <w:top w:w="55" w:type="dxa"/>
              <w:start w:w="70" w:type="dxa"/>
              <w:bottom w:w="55" w:type="dxa"/>
              <w:end w:w="70" w:type="dxa"/>
            </w:tcMar>
            <w:vAlign w:val="top"/>
          </w:tcPr>
          <w:p>
            <w:pPr>
              <w:pStyle w:val="TableSmall"/>
            </w:pPr>
            <w:r>
              <w:rPr>
                <w:sz w:val="13"/>
              </w:rPr>
              <w:t>Hughes Hall June Event</w:t>
            </w:r>
          </w:p>
        </w:tc>
        <w:tc>
          <w:tcPr>
            <w:tcW w:type="dxa" w:w="2438"/>
            <w:shd w:fill="F5F7F8"/>
            <w:tcMar>
              <w:top w:w="55" w:type="dxa"/>
              <w:start w:w="70" w:type="dxa"/>
              <w:bottom w:w="55" w:type="dxa"/>
              <w:end w:w="70" w:type="dxa"/>
            </w:tcMar>
            <w:vAlign w:val="top"/>
          </w:tcPr>
          <w:p>
            <w:pPr>
              <w:pStyle w:val="TableSmall"/>
            </w:pPr>
            <w:r>
              <w:rPr>
                <w:sz w:val="13"/>
              </w:rPr>
              <w:t>Hughes Hall</w:t>
            </w:r>
          </w:p>
        </w:tc>
        <w:tc>
          <w:tcPr>
            <w:tcW w:type="dxa" w:w="3118"/>
            <w:shd w:fill="F5F7F8"/>
            <w:tcMar>
              <w:top w:w="55" w:type="dxa"/>
              <w:start w:w="70" w:type="dxa"/>
              <w:bottom w:w="55" w:type="dxa"/>
              <w:end w:w="70" w:type="dxa"/>
            </w:tcMar>
            <w:vAlign w:val="top"/>
          </w:tcPr>
          <w:p>
            <w:pPr>
              <w:pStyle w:val="TableSmall"/>
            </w:pPr>
            <w:r>
              <w:rPr>
                <w:sz w:val="13"/>
              </w:rPr>
              <w:t>£85</w:t>
            </w:r>
          </w:p>
        </w:tc>
        <w:tc>
          <w:tcPr>
            <w:tcW w:type="dxa" w:w="3969"/>
            <w:shd w:fill="F5F7F8"/>
            <w:tcMar>
              <w:top w:w="55" w:type="dxa"/>
              <w:start w:w="70" w:type="dxa"/>
              <w:bottom w:w="55" w:type="dxa"/>
              <w:end w:w="70" w:type="dxa"/>
            </w:tcMar>
            <w:vAlign w:val="top"/>
          </w:tcPr>
          <w:p>
            <w:pPr>
              <w:pStyle w:val="TableSmall"/>
            </w:pPr>
            <w:r>
              <w:rPr>
                <w:sz w:val="13"/>
              </w:rPr>
              <w:t>Mixed-age, international, good value</w:t>
            </w:r>
          </w:p>
        </w:tc>
      </w:tr>
      <w:tr>
        <w:trPr>
          <w:cantSplit w:val="true"/>
        </w:trPr>
        <w:tc>
          <w:tcPr>
            <w:tcW w:type="dxa" w:w="1814"/>
            <w:tcMar>
              <w:top w:w="55" w:type="dxa"/>
              <w:start w:w="70" w:type="dxa"/>
              <w:bottom w:w="55" w:type="dxa"/>
              <w:end w:w="70" w:type="dxa"/>
            </w:tcMar>
            <w:vAlign w:val="top"/>
          </w:tcPr>
          <w:p>
            <w:pPr>
              <w:pStyle w:val="TableSmall"/>
            </w:pPr>
            <w:r>
              <w:rPr>
                <w:sz w:val="13"/>
              </w:rPr>
              <w:t>Sun 21 Jun</w:t>
            </w:r>
          </w:p>
        </w:tc>
        <w:tc>
          <w:tcPr>
            <w:tcW w:type="dxa" w:w="2948"/>
            <w:tcMar>
              <w:top w:w="55" w:type="dxa"/>
              <w:start w:w="70" w:type="dxa"/>
              <w:bottom w:w="55" w:type="dxa"/>
              <w:end w:w="70" w:type="dxa"/>
            </w:tcMar>
            <w:vAlign w:val="top"/>
          </w:tcPr>
          <w:p>
            <w:pPr>
              <w:pStyle w:val="TableSmall"/>
            </w:pPr>
            <w:r>
              <w:rPr>
                <w:sz w:val="13"/>
              </w:rPr>
              <w:t>Churchill June Event</w:t>
            </w:r>
          </w:p>
        </w:tc>
        <w:tc>
          <w:tcPr>
            <w:tcW w:type="dxa" w:w="2438"/>
            <w:tcMar>
              <w:top w:w="55" w:type="dxa"/>
              <w:start w:w="70" w:type="dxa"/>
              <w:bottom w:w="55" w:type="dxa"/>
              <w:end w:w="70" w:type="dxa"/>
            </w:tcMar>
            <w:vAlign w:val="top"/>
          </w:tcPr>
          <w:p>
            <w:pPr>
              <w:pStyle w:val="TableSmall"/>
            </w:pPr>
            <w:r>
              <w:rPr>
                <w:sz w:val="13"/>
              </w:rPr>
              <w:t>Churchill grounds</w:t>
            </w:r>
          </w:p>
        </w:tc>
        <w:tc>
          <w:tcPr>
            <w:tcW w:type="dxa" w:w="3118"/>
            <w:tcMar>
              <w:top w:w="55" w:type="dxa"/>
              <w:start w:w="70" w:type="dxa"/>
              <w:bottom w:w="55" w:type="dxa"/>
              <w:end w:w="70" w:type="dxa"/>
            </w:tcMar>
            <w:vAlign w:val="top"/>
          </w:tcPr>
          <w:p>
            <w:pPr>
              <w:pStyle w:val="TableSmall"/>
            </w:pPr>
            <w:r>
              <w:rPr>
                <w:sz w:val="13"/>
              </w:rPr>
              <w:t>£74</w:t>
            </w:r>
          </w:p>
        </w:tc>
        <w:tc>
          <w:tcPr>
            <w:tcW w:type="dxa" w:w="3969"/>
            <w:tcMar>
              <w:top w:w="55" w:type="dxa"/>
              <w:start w:w="70" w:type="dxa"/>
              <w:bottom w:w="55" w:type="dxa"/>
              <w:end w:w="70" w:type="dxa"/>
            </w:tcMar>
            <w:vAlign w:val="top"/>
          </w:tcPr>
          <w:p>
            <w:pPr>
              <w:pStyle w:val="TableSmall"/>
            </w:pPr>
            <w:r>
              <w:rPr>
                <w:sz w:val="13"/>
              </w:rPr>
              <w:t>Value and music-led event</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Sun 21 Jun</w:t>
            </w:r>
          </w:p>
        </w:tc>
        <w:tc>
          <w:tcPr>
            <w:tcW w:type="dxa" w:w="2948"/>
            <w:shd w:fill="F5F7F8"/>
            <w:tcMar>
              <w:top w:w="55" w:type="dxa"/>
              <w:start w:w="70" w:type="dxa"/>
              <w:bottom w:w="55" w:type="dxa"/>
              <w:end w:w="70" w:type="dxa"/>
            </w:tcMar>
            <w:vAlign w:val="top"/>
          </w:tcPr>
          <w:p>
            <w:pPr>
              <w:pStyle w:val="TableSmall"/>
            </w:pPr>
            <w:r>
              <w:rPr>
                <w:sz w:val="13"/>
              </w:rPr>
              <w:t>Emmanuel May Ball</w:t>
            </w:r>
          </w:p>
        </w:tc>
        <w:tc>
          <w:tcPr>
            <w:tcW w:type="dxa" w:w="2438"/>
            <w:shd w:fill="F5F7F8"/>
            <w:tcMar>
              <w:top w:w="55" w:type="dxa"/>
              <w:start w:w="70" w:type="dxa"/>
              <w:bottom w:w="55" w:type="dxa"/>
              <w:end w:w="70" w:type="dxa"/>
            </w:tcMar>
            <w:vAlign w:val="top"/>
          </w:tcPr>
          <w:p>
            <w:pPr>
              <w:pStyle w:val="TableSmall"/>
            </w:pPr>
            <w:r>
              <w:rPr>
                <w:sz w:val="13"/>
              </w:rPr>
              <w:t>Emmanuel College</w:t>
            </w:r>
          </w:p>
        </w:tc>
        <w:tc>
          <w:tcPr>
            <w:tcW w:type="dxa" w:w="3118"/>
            <w:shd w:fill="F5F7F8"/>
            <w:tcMar>
              <w:top w:w="55" w:type="dxa"/>
              <w:start w:w="70" w:type="dxa"/>
              <w:bottom w:w="55" w:type="dxa"/>
              <w:end w:w="70" w:type="dxa"/>
            </w:tcMar>
            <w:vAlign w:val="top"/>
          </w:tcPr>
          <w:p>
            <w:pPr>
              <w:pStyle w:val="TableSmall"/>
            </w:pPr>
            <w:r>
              <w:rPr>
                <w:sz w:val="13"/>
              </w:rPr>
              <w:t>£210</w:t>
            </w:r>
          </w:p>
        </w:tc>
        <w:tc>
          <w:tcPr>
            <w:tcW w:type="dxa" w:w="3969"/>
            <w:shd w:fill="F5F7F8"/>
            <w:tcMar>
              <w:top w:w="55" w:type="dxa"/>
              <w:start w:w="70" w:type="dxa"/>
              <w:bottom w:w="55" w:type="dxa"/>
              <w:end w:w="70" w:type="dxa"/>
            </w:tcMar>
            <w:vAlign w:val="top"/>
          </w:tcPr>
          <w:p>
            <w:pPr>
              <w:pStyle w:val="TableSmall"/>
            </w:pPr>
            <w:r>
              <w:rPr>
                <w:sz w:val="13"/>
              </w:rPr>
              <w:t>Traditional flagship tier</w:t>
            </w:r>
          </w:p>
        </w:tc>
      </w:tr>
      <w:tr>
        <w:trPr>
          <w:cantSplit w:val="true"/>
        </w:trPr>
        <w:tc>
          <w:tcPr>
            <w:tcW w:type="dxa" w:w="1814"/>
            <w:tcMar>
              <w:top w:w="55" w:type="dxa"/>
              <w:start w:w="70" w:type="dxa"/>
              <w:bottom w:w="55" w:type="dxa"/>
              <w:end w:w="70" w:type="dxa"/>
            </w:tcMar>
            <w:vAlign w:val="top"/>
          </w:tcPr>
          <w:p>
            <w:pPr>
              <w:pStyle w:val="TableSmall"/>
            </w:pPr>
            <w:r>
              <w:rPr>
                <w:sz w:val="13"/>
              </w:rPr>
              <w:t>Mon 22 Jun</w:t>
            </w:r>
          </w:p>
        </w:tc>
        <w:tc>
          <w:tcPr>
            <w:tcW w:type="dxa" w:w="2948"/>
            <w:tcMar>
              <w:top w:w="55" w:type="dxa"/>
              <w:start w:w="70" w:type="dxa"/>
              <w:bottom w:w="55" w:type="dxa"/>
              <w:end w:w="70" w:type="dxa"/>
            </w:tcMar>
            <w:vAlign w:val="top"/>
          </w:tcPr>
          <w:p>
            <w:pPr>
              <w:pStyle w:val="TableSmall"/>
            </w:pPr>
            <w:r>
              <w:rPr>
                <w:sz w:val="13"/>
              </w:rPr>
              <w:t>Jesus May Ball</w:t>
            </w:r>
          </w:p>
        </w:tc>
        <w:tc>
          <w:tcPr>
            <w:tcW w:type="dxa" w:w="2438"/>
            <w:tcMar>
              <w:top w:w="55" w:type="dxa"/>
              <w:start w:w="70" w:type="dxa"/>
              <w:bottom w:w="55" w:type="dxa"/>
              <w:end w:w="70" w:type="dxa"/>
            </w:tcMar>
            <w:vAlign w:val="top"/>
          </w:tcPr>
          <w:p>
            <w:pPr>
              <w:pStyle w:val="TableSmall"/>
            </w:pPr>
            <w:r>
              <w:rPr>
                <w:sz w:val="13"/>
              </w:rPr>
              <w:t>Jesus College</w:t>
            </w:r>
          </w:p>
        </w:tc>
        <w:tc>
          <w:tcPr>
            <w:tcW w:type="dxa" w:w="3118"/>
            <w:tcMar>
              <w:top w:w="55" w:type="dxa"/>
              <w:start w:w="70" w:type="dxa"/>
              <w:bottom w:w="55" w:type="dxa"/>
              <w:end w:w="70" w:type="dxa"/>
            </w:tcMar>
            <w:vAlign w:val="top"/>
          </w:tcPr>
          <w:p>
            <w:pPr>
              <w:pStyle w:val="TableSmall"/>
            </w:pPr>
            <w:r>
              <w:rPr>
                <w:sz w:val="13"/>
              </w:rPr>
              <w:t>£222</w:t>
            </w:r>
          </w:p>
        </w:tc>
        <w:tc>
          <w:tcPr>
            <w:tcW w:type="dxa" w:w="3969"/>
            <w:tcMar>
              <w:top w:w="55" w:type="dxa"/>
              <w:start w:w="70" w:type="dxa"/>
              <w:bottom w:w="55" w:type="dxa"/>
              <w:end w:w="70" w:type="dxa"/>
            </w:tcMar>
            <w:vAlign w:val="top"/>
          </w:tcPr>
          <w:p>
            <w:pPr>
              <w:pStyle w:val="TableSmall"/>
            </w:pPr>
            <w:r>
              <w:rPr>
                <w:sz w:val="13"/>
              </w:rPr>
              <w:t>Large, high-energy Ball</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Mon 22 Jun</w:t>
            </w:r>
          </w:p>
        </w:tc>
        <w:tc>
          <w:tcPr>
            <w:tcW w:type="dxa" w:w="2948"/>
            <w:shd w:fill="F5F7F8"/>
            <w:tcMar>
              <w:top w:w="55" w:type="dxa"/>
              <w:start w:w="70" w:type="dxa"/>
              <w:bottom w:w="55" w:type="dxa"/>
              <w:end w:w="70" w:type="dxa"/>
            </w:tcMar>
            <w:vAlign w:val="top"/>
          </w:tcPr>
          <w:p>
            <w:pPr>
              <w:pStyle w:val="TableSmall"/>
            </w:pPr>
            <w:r>
              <w:rPr>
                <w:sz w:val="13"/>
              </w:rPr>
              <w:t>Trinity May Ball</w:t>
            </w:r>
          </w:p>
        </w:tc>
        <w:tc>
          <w:tcPr>
            <w:tcW w:type="dxa" w:w="2438"/>
            <w:shd w:fill="F5F7F8"/>
            <w:tcMar>
              <w:top w:w="55" w:type="dxa"/>
              <w:start w:w="70" w:type="dxa"/>
              <w:bottom w:w="55" w:type="dxa"/>
              <w:end w:w="70" w:type="dxa"/>
            </w:tcMar>
            <w:vAlign w:val="top"/>
          </w:tcPr>
          <w:p>
            <w:pPr>
              <w:pStyle w:val="TableSmall"/>
            </w:pPr>
            <w:r>
              <w:rPr>
                <w:sz w:val="13"/>
              </w:rPr>
              <w:t>Trinity College</w:t>
            </w:r>
          </w:p>
        </w:tc>
        <w:tc>
          <w:tcPr>
            <w:tcW w:type="dxa" w:w="3118"/>
            <w:shd w:fill="F5F7F8"/>
            <w:tcMar>
              <w:top w:w="55" w:type="dxa"/>
              <w:start w:w="70" w:type="dxa"/>
              <w:bottom w:w="55" w:type="dxa"/>
              <w:end w:w="70" w:type="dxa"/>
            </w:tcMar>
            <w:vAlign w:val="top"/>
          </w:tcPr>
          <w:p>
            <w:pPr>
              <w:pStyle w:val="TableSmall"/>
            </w:pPr>
            <w:r>
              <w:rPr>
                <w:sz w:val="13"/>
              </w:rPr>
              <w:t>£190–£290 base by category; upgrades extra</w:t>
            </w:r>
          </w:p>
        </w:tc>
        <w:tc>
          <w:tcPr>
            <w:tcW w:type="dxa" w:w="3969"/>
            <w:shd w:fill="F5F7F8"/>
            <w:tcMar>
              <w:top w:w="55" w:type="dxa"/>
              <w:start w:w="70" w:type="dxa"/>
              <w:bottom w:w="55" w:type="dxa"/>
              <w:end w:w="70" w:type="dxa"/>
            </w:tcMar>
            <w:vAlign w:val="top"/>
          </w:tcPr>
          <w:p>
            <w:pPr>
              <w:pStyle w:val="TableSmall"/>
            </w:pPr>
            <w:r>
              <w:rPr>
                <w:sz w:val="13"/>
              </w:rPr>
              <w:t>Maximum spectacle; strict access/dress</w:t>
            </w:r>
          </w:p>
        </w:tc>
      </w:tr>
      <w:tr>
        <w:trPr>
          <w:cantSplit w:val="true"/>
        </w:trPr>
        <w:tc>
          <w:tcPr>
            <w:tcW w:type="dxa" w:w="1814"/>
            <w:tcMar>
              <w:top w:w="55" w:type="dxa"/>
              <w:start w:w="70" w:type="dxa"/>
              <w:bottom w:w="55" w:type="dxa"/>
              <w:end w:w="70" w:type="dxa"/>
            </w:tcMar>
            <w:vAlign w:val="top"/>
          </w:tcPr>
          <w:p>
            <w:pPr>
              <w:pStyle w:val="TableSmall"/>
            </w:pPr>
            <w:r>
              <w:rPr>
                <w:sz w:val="13"/>
              </w:rPr>
              <w:t>Tue 23 Jun</w:t>
            </w:r>
          </w:p>
        </w:tc>
        <w:tc>
          <w:tcPr>
            <w:tcW w:type="dxa" w:w="2948"/>
            <w:tcMar>
              <w:top w:w="55" w:type="dxa"/>
              <w:start w:w="70" w:type="dxa"/>
              <w:bottom w:w="55" w:type="dxa"/>
              <w:end w:w="70" w:type="dxa"/>
            </w:tcMar>
            <w:vAlign w:val="top"/>
          </w:tcPr>
          <w:p>
            <w:pPr>
              <w:pStyle w:val="TableSmall"/>
            </w:pPr>
            <w:r>
              <w:rPr>
                <w:sz w:val="13"/>
              </w:rPr>
              <w:t>Christ’s Soirée</w:t>
            </w:r>
          </w:p>
        </w:tc>
        <w:tc>
          <w:tcPr>
            <w:tcW w:type="dxa" w:w="2438"/>
            <w:tcMar>
              <w:top w:w="55" w:type="dxa"/>
              <w:start w:w="70" w:type="dxa"/>
              <w:bottom w:w="55" w:type="dxa"/>
              <w:end w:w="70" w:type="dxa"/>
            </w:tcMar>
            <w:vAlign w:val="top"/>
          </w:tcPr>
          <w:p>
            <w:pPr>
              <w:pStyle w:val="TableSmall"/>
            </w:pPr>
            <w:r>
              <w:rPr>
                <w:sz w:val="13"/>
              </w:rPr>
              <w:t>Christ’s College</w:t>
            </w:r>
          </w:p>
        </w:tc>
        <w:tc>
          <w:tcPr>
            <w:tcW w:type="dxa" w:w="3118"/>
            <w:tcMar>
              <w:top w:w="55" w:type="dxa"/>
              <w:start w:w="70" w:type="dxa"/>
              <w:bottom w:w="55" w:type="dxa"/>
              <w:end w:w="70" w:type="dxa"/>
            </w:tcMar>
            <w:vAlign w:val="top"/>
          </w:tcPr>
          <w:p>
            <w:pPr>
              <w:pStyle w:val="TableSmall"/>
            </w:pPr>
            <w:r>
              <w:rPr>
                <w:sz w:val="13"/>
              </w:rPr>
              <w:t>£115 University / £125 guest</w:t>
            </w:r>
          </w:p>
        </w:tc>
        <w:tc>
          <w:tcPr>
            <w:tcW w:type="dxa" w:w="3969"/>
            <w:tcMar>
              <w:top w:w="55" w:type="dxa"/>
              <w:start w:w="70" w:type="dxa"/>
              <w:bottom w:w="55" w:type="dxa"/>
              <w:end w:w="70" w:type="dxa"/>
            </w:tcMar>
            <w:vAlign w:val="top"/>
          </w:tcPr>
          <w:p>
            <w:pPr>
              <w:pStyle w:val="TableSmall"/>
            </w:pPr>
            <w:r>
              <w:rPr>
                <w:sz w:val="13"/>
              </w:rPr>
              <w:t>Mid-price all-evening event</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Tue 23 Jun</w:t>
            </w:r>
          </w:p>
        </w:tc>
        <w:tc>
          <w:tcPr>
            <w:tcW w:type="dxa" w:w="2948"/>
            <w:shd w:fill="F5F7F8"/>
            <w:tcMar>
              <w:top w:w="55" w:type="dxa"/>
              <w:start w:w="70" w:type="dxa"/>
              <w:bottom w:w="55" w:type="dxa"/>
              <w:end w:w="70" w:type="dxa"/>
            </w:tcMar>
            <w:vAlign w:val="top"/>
          </w:tcPr>
          <w:p>
            <w:pPr>
              <w:pStyle w:val="TableSmall"/>
            </w:pPr>
            <w:r>
              <w:rPr>
                <w:sz w:val="13"/>
              </w:rPr>
              <w:t>St John’s May Ball</w:t>
            </w:r>
          </w:p>
        </w:tc>
        <w:tc>
          <w:tcPr>
            <w:tcW w:type="dxa" w:w="2438"/>
            <w:shd w:fill="F5F7F8"/>
            <w:tcMar>
              <w:top w:w="55" w:type="dxa"/>
              <w:start w:w="70" w:type="dxa"/>
              <w:bottom w:w="55" w:type="dxa"/>
              <w:end w:w="70" w:type="dxa"/>
            </w:tcMar>
            <w:vAlign w:val="top"/>
          </w:tcPr>
          <w:p>
            <w:pPr>
              <w:pStyle w:val="TableSmall"/>
            </w:pPr>
            <w:r>
              <w:rPr>
                <w:sz w:val="13"/>
              </w:rPr>
              <w:t>St John’s College</w:t>
            </w:r>
          </w:p>
        </w:tc>
        <w:tc>
          <w:tcPr>
            <w:tcW w:type="dxa" w:w="3118"/>
            <w:shd w:fill="F5F7F8"/>
            <w:tcMar>
              <w:top w:w="55" w:type="dxa"/>
              <w:start w:w="70" w:type="dxa"/>
              <w:bottom w:w="55" w:type="dxa"/>
              <w:end w:w="70" w:type="dxa"/>
            </w:tcMar>
            <w:vAlign w:val="top"/>
          </w:tcPr>
          <w:p>
            <w:pPr>
              <w:pStyle w:val="TableSmall"/>
            </w:pPr>
            <w:r>
              <w:rPr>
                <w:sz w:val="13"/>
              </w:rPr>
              <w:t>£280+</w:t>
            </w:r>
          </w:p>
        </w:tc>
        <w:tc>
          <w:tcPr>
            <w:tcW w:type="dxa" w:w="3969"/>
            <w:shd w:fill="F5F7F8"/>
            <w:tcMar>
              <w:top w:w="55" w:type="dxa"/>
              <w:start w:w="70" w:type="dxa"/>
              <w:bottom w:w="55" w:type="dxa"/>
              <w:end w:w="70" w:type="dxa"/>
            </w:tcMar>
            <w:vAlign w:val="top"/>
          </w:tcPr>
          <w:p>
            <w:pPr>
              <w:pStyle w:val="TableSmall"/>
            </w:pPr>
            <w:r>
              <w:rPr>
                <w:sz w:val="13"/>
              </w:rPr>
              <w:t>Flagship, secret theme, premium price</w:t>
            </w:r>
          </w:p>
        </w:tc>
      </w:tr>
      <w:tr>
        <w:trPr>
          <w:cantSplit w:val="true"/>
        </w:trPr>
        <w:tc>
          <w:tcPr>
            <w:tcW w:type="dxa" w:w="1814"/>
            <w:tcMar>
              <w:top w:w="55" w:type="dxa"/>
              <w:start w:w="70" w:type="dxa"/>
              <w:bottom w:w="55" w:type="dxa"/>
              <w:end w:w="70" w:type="dxa"/>
            </w:tcMar>
            <w:vAlign w:val="top"/>
          </w:tcPr>
          <w:p>
            <w:pPr>
              <w:pStyle w:val="TableSmall"/>
            </w:pPr>
            <w:r>
              <w:rPr>
                <w:sz w:val="13"/>
              </w:rPr>
              <w:t>Tue 23 Jun</w:t>
            </w:r>
          </w:p>
        </w:tc>
        <w:tc>
          <w:tcPr>
            <w:tcW w:type="dxa" w:w="2948"/>
            <w:tcMar>
              <w:top w:w="55" w:type="dxa"/>
              <w:start w:w="70" w:type="dxa"/>
              <w:bottom w:w="55" w:type="dxa"/>
              <w:end w:w="70" w:type="dxa"/>
            </w:tcMar>
            <w:vAlign w:val="top"/>
          </w:tcPr>
          <w:p>
            <w:pPr>
              <w:pStyle w:val="TableSmall"/>
            </w:pPr>
            <w:r>
              <w:rPr>
                <w:sz w:val="13"/>
              </w:rPr>
              <w:t>Gonville &amp; Caius May Ball</w:t>
            </w:r>
          </w:p>
        </w:tc>
        <w:tc>
          <w:tcPr>
            <w:tcW w:type="dxa" w:w="2438"/>
            <w:tcMar>
              <w:top w:w="55" w:type="dxa"/>
              <w:start w:w="70" w:type="dxa"/>
              <w:bottom w:w="55" w:type="dxa"/>
              <w:end w:w="70" w:type="dxa"/>
            </w:tcMar>
            <w:vAlign w:val="top"/>
          </w:tcPr>
          <w:p>
            <w:pPr>
              <w:pStyle w:val="TableSmall"/>
            </w:pPr>
            <w:r>
              <w:rPr>
                <w:sz w:val="13"/>
              </w:rPr>
              <w:t>Caius</w:t>
            </w:r>
          </w:p>
        </w:tc>
        <w:tc>
          <w:tcPr>
            <w:tcW w:type="dxa" w:w="3118"/>
            <w:tcMar>
              <w:top w:w="55" w:type="dxa"/>
              <w:start w:w="70" w:type="dxa"/>
              <w:bottom w:w="55" w:type="dxa"/>
              <w:end w:w="70" w:type="dxa"/>
            </w:tcMar>
            <w:vAlign w:val="top"/>
          </w:tcPr>
          <w:p>
            <w:pPr>
              <w:pStyle w:val="TableSmall"/>
            </w:pPr>
            <w:r>
              <w:rPr>
                <w:sz w:val="13"/>
              </w:rPr>
              <w:t>Price not publicly shown in aggregator</w:t>
            </w:r>
          </w:p>
        </w:tc>
        <w:tc>
          <w:tcPr>
            <w:tcW w:type="dxa" w:w="3969"/>
            <w:tcMar>
              <w:top w:w="55" w:type="dxa"/>
              <w:start w:w="70" w:type="dxa"/>
              <w:bottom w:w="55" w:type="dxa"/>
              <w:end w:w="70" w:type="dxa"/>
            </w:tcMar>
            <w:vAlign w:val="top"/>
          </w:tcPr>
          <w:p>
            <w:pPr>
              <w:pStyle w:val="TableSmall"/>
            </w:pPr>
            <w:r>
              <w:rPr>
                <w:sz w:val="13"/>
              </w:rPr>
              <w:t>Traditional Ball; verify ticket release</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Tue 23 Jun</w:t>
            </w:r>
          </w:p>
        </w:tc>
        <w:tc>
          <w:tcPr>
            <w:tcW w:type="dxa" w:w="2948"/>
            <w:shd w:fill="F5F7F8"/>
            <w:tcMar>
              <w:top w:w="55" w:type="dxa"/>
              <w:start w:w="70" w:type="dxa"/>
              <w:bottom w:w="55" w:type="dxa"/>
              <w:end w:w="70" w:type="dxa"/>
            </w:tcMar>
            <w:vAlign w:val="top"/>
          </w:tcPr>
          <w:p>
            <w:pPr>
              <w:pStyle w:val="TableSmall"/>
            </w:pPr>
            <w:r>
              <w:rPr>
                <w:sz w:val="13"/>
              </w:rPr>
              <w:t>Newnham JCR Garden Party</w:t>
            </w:r>
          </w:p>
        </w:tc>
        <w:tc>
          <w:tcPr>
            <w:tcW w:type="dxa" w:w="2438"/>
            <w:shd w:fill="F5F7F8"/>
            <w:tcMar>
              <w:top w:w="55" w:type="dxa"/>
              <w:start w:w="70" w:type="dxa"/>
              <w:bottom w:w="55" w:type="dxa"/>
              <w:end w:w="70" w:type="dxa"/>
            </w:tcMar>
            <w:vAlign w:val="top"/>
          </w:tcPr>
          <w:p>
            <w:pPr>
              <w:pStyle w:val="TableSmall"/>
            </w:pPr>
            <w:r>
              <w:rPr>
                <w:sz w:val="13"/>
              </w:rPr>
              <w:t>Newnham gardens</w:t>
            </w:r>
          </w:p>
        </w:tc>
        <w:tc>
          <w:tcPr>
            <w:tcW w:type="dxa" w:w="3118"/>
            <w:shd w:fill="F5F7F8"/>
            <w:tcMar>
              <w:top w:w="55" w:type="dxa"/>
              <w:start w:w="70" w:type="dxa"/>
              <w:bottom w:w="55" w:type="dxa"/>
              <w:end w:w="70" w:type="dxa"/>
            </w:tcMar>
            <w:vAlign w:val="top"/>
          </w:tcPr>
          <w:p>
            <w:pPr>
              <w:pStyle w:val="TableSmall"/>
            </w:pPr>
            <w:r>
              <w:rPr>
                <w:sz w:val="13"/>
              </w:rPr>
              <w:t>£66</w:t>
            </w:r>
          </w:p>
        </w:tc>
        <w:tc>
          <w:tcPr>
            <w:tcW w:type="dxa" w:w="3969"/>
            <w:shd w:fill="F5F7F8"/>
            <w:tcMar>
              <w:top w:w="55" w:type="dxa"/>
              <w:start w:w="70" w:type="dxa"/>
              <w:bottom w:w="55" w:type="dxa"/>
              <w:end w:w="70" w:type="dxa"/>
            </w:tcMar>
            <w:vAlign w:val="top"/>
          </w:tcPr>
          <w:p>
            <w:pPr>
              <w:pStyle w:val="TableSmall"/>
            </w:pPr>
            <w:r>
              <w:rPr>
                <w:sz w:val="13"/>
              </w:rPr>
              <w:t>Garden-party value and daytime/evening mix</w:t>
            </w:r>
          </w:p>
        </w:tc>
      </w:tr>
      <w:tr>
        <w:trPr>
          <w:cantSplit w:val="true"/>
        </w:trPr>
        <w:tc>
          <w:tcPr>
            <w:tcW w:type="dxa" w:w="1814"/>
            <w:tcMar>
              <w:top w:w="55" w:type="dxa"/>
              <w:start w:w="70" w:type="dxa"/>
              <w:bottom w:w="55" w:type="dxa"/>
              <w:end w:w="70" w:type="dxa"/>
            </w:tcMar>
            <w:vAlign w:val="top"/>
          </w:tcPr>
          <w:p>
            <w:pPr>
              <w:pStyle w:val="TableSmall"/>
            </w:pPr>
            <w:r>
              <w:rPr>
                <w:sz w:val="13"/>
              </w:rPr>
              <w:t>Wed 24 Jun</w:t>
            </w:r>
          </w:p>
        </w:tc>
        <w:tc>
          <w:tcPr>
            <w:tcW w:type="dxa" w:w="2948"/>
            <w:tcMar>
              <w:top w:w="55" w:type="dxa"/>
              <w:start w:w="70" w:type="dxa"/>
              <w:bottom w:w="55" w:type="dxa"/>
              <w:end w:w="70" w:type="dxa"/>
            </w:tcMar>
            <w:vAlign w:val="top"/>
          </w:tcPr>
          <w:p>
            <w:pPr>
              <w:pStyle w:val="TableSmall"/>
            </w:pPr>
            <w:r>
              <w:rPr>
                <w:sz w:val="13"/>
              </w:rPr>
              <w:t>King’s Affair</w:t>
            </w:r>
          </w:p>
        </w:tc>
        <w:tc>
          <w:tcPr>
            <w:tcW w:type="dxa" w:w="2438"/>
            <w:tcMar>
              <w:top w:w="55" w:type="dxa"/>
              <w:start w:w="70" w:type="dxa"/>
              <w:bottom w:w="55" w:type="dxa"/>
              <w:end w:w="70" w:type="dxa"/>
            </w:tcMar>
            <w:vAlign w:val="top"/>
          </w:tcPr>
          <w:p>
            <w:pPr>
              <w:pStyle w:val="TableSmall"/>
            </w:pPr>
            <w:r>
              <w:rPr>
                <w:sz w:val="13"/>
              </w:rPr>
              <w:t>King’s College</w:t>
            </w:r>
          </w:p>
        </w:tc>
        <w:tc>
          <w:tcPr>
            <w:tcW w:type="dxa" w:w="3118"/>
            <w:tcMar>
              <w:top w:w="55" w:type="dxa"/>
              <w:start w:w="70" w:type="dxa"/>
              <w:bottom w:w="55" w:type="dxa"/>
              <w:end w:w="70" w:type="dxa"/>
            </w:tcMar>
            <w:vAlign w:val="top"/>
          </w:tcPr>
          <w:p>
            <w:pPr>
              <w:pStyle w:val="TableSmall"/>
            </w:pPr>
            <w:r>
              <w:rPr>
                <w:sz w:val="13"/>
              </w:rPr>
              <w:t>£189</w:t>
            </w:r>
          </w:p>
        </w:tc>
        <w:tc>
          <w:tcPr>
            <w:tcW w:type="dxa" w:w="3969"/>
            <w:tcMar>
              <w:top w:w="55" w:type="dxa"/>
              <w:start w:w="70" w:type="dxa"/>
              <w:bottom w:w="55" w:type="dxa"/>
              <w:end w:w="70" w:type="dxa"/>
            </w:tcMar>
            <w:vAlign w:val="top"/>
          </w:tcPr>
          <w:p>
            <w:pPr>
              <w:pStyle w:val="TableSmall"/>
            </w:pPr>
            <w:r>
              <w:rPr>
                <w:sz w:val="13"/>
              </w:rPr>
              <w:t>Music/festival identity rather than black-tie Ball</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Thu 25 Jun</w:t>
            </w:r>
          </w:p>
        </w:tc>
        <w:tc>
          <w:tcPr>
            <w:tcW w:type="dxa" w:w="2948"/>
            <w:shd w:fill="F5F7F8"/>
            <w:tcMar>
              <w:top w:w="55" w:type="dxa"/>
              <w:start w:w="70" w:type="dxa"/>
              <w:bottom w:w="55" w:type="dxa"/>
              <w:end w:w="70" w:type="dxa"/>
            </w:tcMar>
            <w:vAlign w:val="top"/>
          </w:tcPr>
          <w:p>
            <w:pPr>
              <w:pStyle w:val="TableSmall"/>
            </w:pPr>
            <w:r>
              <w:rPr>
                <w:sz w:val="13"/>
              </w:rPr>
              <w:t>Trinity Hall June Event</w:t>
            </w:r>
          </w:p>
        </w:tc>
        <w:tc>
          <w:tcPr>
            <w:tcW w:type="dxa" w:w="2438"/>
            <w:shd w:fill="F5F7F8"/>
            <w:tcMar>
              <w:top w:w="55" w:type="dxa"/>
              <w:start w:w="70" w:type="dxa"/>
              <w:bottom w:w="55" w:type="dxa"/>
              <w:end w:w="70" w:type="dxa"/>
            </w:tcMar>
            <w:vAlign w:val="top"/>
          </w:tcPr>
          <w:p>
            <w:pPr>
              <w:pStyle w:val="TableSmall"/>
            </w:pPr>
            <w:r>
              <w:rPr>
                <w:sz w:val="13"/>
              </w:rPr>
              <w:t>Trinity Hall</w:t>
            </w:r>
          </w:p>
        </w:tc>
        <w:tc>
          <w:tcPr>
            <w:tcW w:type="dxa" w:w="3118"/>
            <w:shd w:fill="F5F7F8"/>
            <w:tcMar>
              <w:top w:w="55" w:type="dxa"/>
              <w:start w:w="70" w:type="dxa"/>
              <w:bottom w:w="55" w:type="dxa"/>
              <w:end w:w="70" w:type="dxa"/>
            </w:tcMar>
            <w:vAlign w:val="top"/>
          </w:tcPr>
          <w:p>
            <w:pPr>
              <w:pStyle w:val="TableSmall"/>
            </w:pPr>
            <w:r>
              <w:rPr>
                <w:sz w:val="13"/>
              </w:rPr>
              <w:t>£139</w:t>
            </w:r>
          </w:p>
        </w:tc>
        <w:tc>
          <w:tcPr>
            <w:tcW w:type="dxa" w:w="3969"/>
            <w:shd w:fill="F5F7F8"/>
            <w:tcMar>
              <w:top w:w="55" w:type="dxa"/>
              <w:start w:w="70" w:type="dxa"/>
              <w:bottom w:w="55" w:type="dxa"/>
              <w:end w:w="70" w:type="dxa"/>
            </w:tcMar>
            <w:vAlign w:val="top"/>
          </w:tcPr>
          <w:p>
            <w:pPr>
              <w:pStyle w:val="TableSmall"/>
            </w:pPr>
            <w:r>
              <w:rPr>
                <w:sz w:val="13"/>
              </w:rPr>
              <w:t>River College, mid-price June Event</w:t>
            </w:r>
          </w:p>
        </w:tc>
      </w:tr>
      <w:tr>
        <w:trPr>
          <w:cantSplit w:val="true"/>
        </w:trPr>
        <w:tc>
          <w:tcPr>
            <w:tcW w:type="dxa" w:w="1814"/>
            <w:tcMar>
              <w:top w:w="55" w:type="dxa"/>
              <w:start w:w="70" w:type="dxa"/>
              <w:bottom w:w="55" w:type="dxa"/>
              <w:end w:w="70" w:type="dxa"/>
            </w:tcMar>
            <w:vAlign w:val="top"/>
          </w:tcPr>
          <w:p>
            <w:pPr>
              <w:pStyle w:val="TableSmall"/>
            </w:pPr>
            <w:r>
              <w:rPr>
                <w:sz w:val="13"/>
              </w:rPr>
              <w:t>Thu 25 Jun</w:t>
            </w:r>
          </w:p>
        </w:tc>
        <w:tc>
          <w:tcPr>
            <w:tcW w:type="dxa" w:w="2948"/>
            <w:tcMar>
              <w:top w:w="55" w:type="dxa"/>
              <w:start w:w="70" w:type="dxa"/>
              <w:bottom w:w="55" w:type="dxa"/>
              <w:end w:w="70" w:type="dxa"/>
            </w:tcMar>
            <w:vAlign w:val="top"/>
          </w:tcPr>
          <w:p>
            <w:pPr>
              <w:pStyle w:val="TableSmall"/>
            </w:pPr>
            <w:r>
              <w:rPr>
                <w:sz w:val="13"/>
              </w:rPr>
              <w:t>St Catharine’s May Ball</w:t>
            </w:r>
          </w:p>
        </w:tc>
        <w:tc>
          <w:tcPr>
            <w:tcW w:type="dxa" w:w="2438"/>
            <w:tcMar>
              <w:top w:w="55" w:type="dxa"/>
              <w:start w:w="70" w:type="dxa"/>
              <w:bottom w:w="55" w:type="dxa"/>
              <w:end w:w="70" w:type="dxa"/>
            </w:tcMar>
            <w:vAlign w:val="top"/>
          </w:tcPr>
          <w:p>
            <w:pPr>
              <w:pStyle w:val="TableSmall"/>
            </w:pPr>
            <w:r>
              <w:rPr>
                <w:sz w:val="13"/>
              </w:rPr>
              <w:t>St Catharine’s</w:t>
            </w:r>
          </w:p>
        </w:tc>
        <w:tc>
          <w:tcPr>
            <w:tcW w:type="dxa" w:w="3118"/>
            <w:tcMar>
              <w:top w:w="55" w:type="dxa"/>
              <w:start w:w="70" w:type="dxa"/>
              <w:bottom w:w="55" w:type="dxa"/>
              <w:end w:w="70" w:type="dxa"/>
            </w:tcMar>
            <w:vAlign w:val="top"/>
          </w:tcPr>
          <w:p>
            <w:pPr>
              <w:pStyle w:val="TableSmall"/>
            </w:pPr>
            <w:r>
              <w:rPr>
                <w:sz w:val="13"/>
              </w:rPr>
              <w:t>£177</w:t>
            </w:r>
          </w:p>
        </w:tc>
        <w:tc>
          <w:tcPr>
            <w:tcW w:type="dxa" w:w="3969"/>
            <w:tcMar>
              <w:top w:w="55" w:type="dxa"/>
              <w:start w:w="70" w:type="dxa"/>
              <w:bottom w:w="55" w:type="dxa"/>
              <w:end w:w="70" w:type="dxa"/>
            </w:tcMar>
            <w:vAlign w:val="top"/>
          </w:tcPr>
          <w:p>
            <w:pPr>
              <w:pStyle w:val="TableSmall"/>
            </w:pPr>
            <w:r>
              <w:rPr>
                <w:sz w:val="13"/>
              </w:rPr>
              <w:t>Full Ball below highest price tier</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Thu 25 Jun</w:t>
            </w:r>
          </w:p>
        </w:tc>
        <w:tc>
          <w:tcPr>
            <w:tcW w:type="dxa" w:w="2948"/>
            <w:shd w:fill="F5F7F8"/>
            <w:tcMar>
              <w:top w:w="55" w:type="dxa"/>
              <w:start w:w="70" w:type="dxa"/>
              <w:bottom w:w="55" w:type="dxa"/>
              <w:end w:w="70" w:type="dxa"/>
            </w:tcMar>
            <w:vAlign w:val="top"/>
          </w:tcPr>
          <w:p>
            <w:pPr>
              <w:pStyle w:val="TableSmall"/>
            </w:pPr>
            <w:r>
              <w:rPr>
                <w:sz w:val="13"/>
              </w:rPr>
              <w:t>Newnham MCR Garden Party</w:t>
            </w:r>
          </w:p>
        </w:tc>
        <w:tc>
          <w:tcPr>
            <w:tcW w:type="dxa" w:w="2438"/>
            <w:shd w:fill="F5F7F8"/>
            <w:tcMar>
              <w:top w:w="55" w:type="dxa"/>
              <w:start w:w="70" w:type="dxa"/>
              <w:bottom w:w="55" w:type="dxa"/>
              <w:end w:w="70" w:type="dxa"/>
            </w:tcMar>
            <w:vAlign w:val="top"/>
          </w:tcPr>
          <w:p>
            <w:pPr>
              <w:pStyle w:val="TableSmall"/>
            </w:pPr>
            <w:r>
              <w:rPr>
                <w:sz w:val="13"/>
              </w:rPr>
              <w:t>Newnham</w:t>
            </w:r>
          </w:p>
        </w:tc>
        <w:tc>
          <w:tcPr>
            <w:tcW w:type="dxa" w:w="3118"/>
            <w:shd w:fill="F5F7F8"/>
            <w:tcMar>
              <w:top w:w="55" w:type="dxa"/>
              <w:start w:w="70" w:type="dxa"/>
              <w:bottom w:w="55" w:type="dxa"/>
              <w:end w:w="70" w:type="dxa"/>
            </w:tcMar>
            <w:vAlign w:val="top"/>
          </w:tcPr>
          <w:p>
            <w:pPr>
              <w:pStyle w:val="TableSmall"/>
            </w:pPr>
            <w:r>
              <w:rPr>
                <w:sz w:val="13"/>
              </w:rPr>
              <w:t>£75</w:t>
            </w:r>
          </w:p>
        </w:tc>
        <w:tc>
          <w:tcPr>
            <w:tcW w:type="dxa" w:w="3969"/>
            <w:shd w:fill="F5F7F8"/>
            <w:tcMar>
              <w:top w:w="55" w:type="dxa"/>
              <w:start w:w="70" w:type="dxa"/>
              <w:bottom w:w="55" w:type="dxa"/>
              <w:end w:w="70" w:type="dxa"/>
            </w:tcMar>
            <w:vAlign w:val="top"/>
          </w:tcPr>
          <w:p>
            <w:pPr>
              <w:pStyle w:val="TableSmall"/>
            </w:pPr>
            <w:r>
              <w:rPr>
                <w:sz w:val="13"/>
              </w:rPr>
              <w:t>Postgraduate-oriented; check undergraduate access</w:t>
            </w:r>
          </w:p>
        </w:tc>
      </w:tr>
      <w:tr>
        <w:trPr>
          <w:cantSplit w:val="true"/>
        </w:trPr>
        <w:tc>
          <w:tcPr>
            <w:tcW w:type="dxa" w:w="1814"/>
            <w:tcMar>
              <w:top w:w="55" w:type="dxa"/>
              <w:start w:w="70" w:type="dxa"/>
              <w:bottom w:w="55" w:type="dxa"/>
              <w:end w:w="70" w:type="dxa"/>
            </w:tcMar>
            <w:vAlign w:val="top"/>
          </w:tcPr>
          <w:p>
            <w:pPr>
              <w:pStyle w:val="TableSmall"/>
            </w:pPr>
            <w:r>
              <w:rPr>
                <w:sz w:val="13"/>
              </w:rPr>
              <w:t>Fri 26 Jun</w:t>
            </w:r>
          </w:p>
        </w:tc>
        <w:tc>
          <w:tcPr>
            <w:tcW w:type="dxa" w:w="2948"/>
            <w:tcMar>
              <w:top w:w="55" w:type="dxa"/>
              <w:start w:w="70" w:type="dxa"/>
              <w:bottom w:w="55" w:type="dxa"/>
              <w:end w:w="70" w:type="dxa"/>
            </w:tcMar>
            <w:vAlign w:val="top"/>
          </w:tcPr>
          <w:p>
            <w:pPr>
              <w:pStyle w:val="TableSmall"/>
            </w:pPr>
            <w:r>
              <w:rPr>
                <w:sz w:val="13"/>
              </w:rPr>
              <w:t>Peterhouse May Ball</w:t>
            </w:r>
          </w:p>
        </w:tc>
        <w:tc>
          <w:tcPr>
            <w:tcW w:type="dxa" w:w="2438"/>
            <w:tcMar>
              <w:top w:w="55" w:type="dxa"/>
              <w:start w:w="70" w:type="dxa"/>
              <w:bottom w:w="55" w:type="dxa"/>
              <w:end w:w="70" w:type="dxa"/>
            </w:tcMar>
            <w:vAlign w:val="top"/>
          </w:tcPr>
          <w:p>
            <w:pPr>
              <w:pStyle w:val="TableSmall"/>
            </w:pPr>
            <w:r>
              <w:rPr>
                <w:sz w:val="13"/>
              </w:rPr>
              <w:t>Peterhouse</w:t>
            </w:r>
          </w:p>
        </w:tc>
        <w:tc>
          <w:tcPr>
            <w:tcW w:type="dxa" w:w="3118"/>
            <w:tcMar>
              <w:top w:w="55" w:type="dxa"/>
              <w:start w:w="70" w:type="dxa"/>
              <w:bottom w:w="55" w:type="dxa"/>
              <w:end w:w="70" w:type="dxa"/>
            </w:tcMar>
            <w:vAlign w:val="top"/>
          </w:tcPr>
          <w:p>
            <w:pPr>
              <w:pStyle w:val="TableSmall"/>
            </w:pPr>
            <w:r>
              <w:rPr>
                <w:sz w:val="13"/>
              </w:rPr>
              <w:t>Price not publicly shown</w:t>
            </w:r>
          </w:p>
        </w:tc>
        <w:tc>
          <w:tcPr>
            <w:tcW w:type="dxa" w:w="3969"/>
            <w:tcMar>
              <w:top w:w="55" w:type="dxa"/>
              <w:start w:w="70" w:type="dxa"/>
              <w:bottom w:w="55" w:type="dxa"/>
              <w:end w:w="70" w:type="dxa"/>
            </w:tcMar>
            <w:vAlign w:val="top"/>
          </w:tcPr>
          <w:p>
            <w:pPr>
              <w:pStyle w:val="TableSmall"/>
            </w:pPr>
            <w:r>
              <w:rPr>
                <w:sz w:val="13"/>
              </w:rPr>
              <w:t>Small traditional Ball</w:t>
            </w:r>
          </w:p>
        </w:tc>
      </w:tr>
      <w:tr>
        <w:trPr>
          <w:cantSplit w:val="true"/>
        </w:trPr>
        <w:tc>
          <w:tcPr>
            <w:tcW w:type="dxa" w:w="1814"/>
            <w:shd w:fill="F5F7F8"/>
            <w:tcMar>
              <w:top w:w="55" w:type="dxa"/>
              <w:start w:w="70" w:type="dxa"/>
              <w:bottom w:w="55" w:type="dxa"/>
              <w:end w:w="70" w:type="dxa"/>
            </w:tcMar>
            <w:vAlign w:val="top"/>
          </w:tcPr>
          <w:p>
            <w:pPr>
              <w:pStyle w:val="TableSmall"/>
            </w:pPr>
            <w:r>
              <w:rPr>
                <w:sz w:val="13"/>
              </w:rPr>
              <w:t>Sun 28 Jun</w:t>
            </w:r>
          </w:p>
        </w:tc>
        <w:tc>
          <w:tcPr>
            <w:tcW w:type="dxa" w:w="2948"/>
            <w:shd w:fill="F5F7F8"/>
            <w:tcMar>
              <w:top w:w="55" w:type="dxa"/>
              <w:start w:w="70" w:type="dxa"/>
              <w:bottom w:w="55" w:type="dxa"/>
              <w:end w:w="70" w:type="dxa"/>
            </w:tcMar>
            <w:vAlign w:val="top"/>
          </w:tcPr>
          <w:p>
            <w:pPr>
              <w:pStyle w:val="TableSmall"/>
            </w:pPr>
            <w:r>
              <w:rPr>
                <w:sz w:val="13"/>
              </w:rPr>
              <w:t>EdFest</w:t>
            </w:r>
          </w:p>
        </w:tc>
        <w:tc>
          <w:tcPr>
            <w:tcW w:type="dxa" w:w="2438"/>
            <w:shd w:fill="F5F7F8"/>
            <w:tcMar>
              <w:top w:w="55" w:type="dxa"/>
              <w:start w:w="70" w:type="dxa"/>
              <w:bottom w:w="55" w:type="dxa"/>
              <w:end w:w="70" w:type="dxa"/>
            </w:tcMar>
            <w:vAlign w:val="top"/>
          </w:tcPr>
          <w:p>
            <w:pPr>
              <w:pStyle w:val="TableSmall"/>
            </w:pPr>
            <w:r>
              <w:rPr>
                <w:sz w:val="13"/>
              </w:rPr>
              <w:t>St Edmund’s</w:t>
            </w:r>
          </w:p>
        </w:tc>
        <w:tc>
          <w:tcPr>
            <w:tcW w:type="dxa" w:w="3118"/>
            <w:shd w:fill="F5F7F8"/>
            <w:tcMar>
              <w:top w:w="55" w:type="dxa"/>
              <w:start w:w="70" w:type="dxa"/>
              <w:bottom w:w="55" w:type="dxa"/>
              <w:end w:w="70" w:type="dxa"/>
            </w:tcMar>
            <w:vAlign w:val="top"/>
          </w:tcPr>
          <w:p>
            <w:pPr>
              <w:pStyle w:val="TableSmall"/>
            </w:pPr>
            <w:r>
              <w:rPr>
                <w:sz w:val="13"/>
              </w:rPr>
              <w:t>£13.50</w:t>
            </w:r>
          </w:p>
        </w:tc>
        <w:tc>
          <w:tcPr>
            <w:tcW w:type="dxa" w:w="3969"/>
            <w:shd w:fill="F5F7F8"/>
            <w:tcMar>
              <w:top w:w="55" w:type="dxa"/>
              <w:start w:w="70" w:type="dxa"/>
              <w:bottom w:w="55" w:type="dxa"/>
              <w:end w:w="70" w:type="dxa"/>
            </w:tcMar>
            <w:vAlign w:val="top"/>
          </w:tcPr>
          <w:p>
            <w:pPr>
              <w:pStyle w:val="TableSmall"/>
            </w:pPr>
            <w:r>
              <w:rPr>
                <w:sz w:val="13"/>
              </w:rPr>
              <w:t>Community/festival value; not a conventional May Ball</w:t>
            </w:r>
          </w:p>
        </w:tc>
      </w:tr>
      <w:tr>
        <w:trPr>
          <w:cantSplit w:val="true"/>
        </w:trPr>
        <w:tc>
          <w:tcPr>
            <w:tcW w:type="dxa" w:w="1814"/>
            <w:tcMar>
              <w:top w:w="55" w:type="dxa"/>
              <w:start w:w="70" w:type="dxa"/>
              <w:bottom w:w="55" w:type="dxa"/>
              <w:end w:w="70" w:type="dxa"/>
            </w:tcMar>
            <w:vAlign w:val="top"/>
          </w:tcPr>
          <w:p>
            <w:pPr>
              <w:pStyle w:val="TableSmall"/>
            </w:pPr>
            <w:r>
              <w:rPr>
                <w:sz w:val="13"/>
              </w:rPr>
              <w:t>Fri 5 Dec 2025</w:t>
            </w:r>
          </w:p>
        </w:tc>
        <w:tc>
          <w:tcPr>
            <w:tcW w:type="dxa" w:w="2948"/>
            <w:tcMar>
              <w:top w:w="55" w:type="dxa"/>
              <w:start w:w="70" w:type="dxa"/>
              <w:bottom w:w="55" w:type="dxa"/>
              <w:end w:w="70" w:type="dxa"/>
            </w:tcMar>
            <w:vAlign w:val="top"/>
          </w:tcPr>
          <w:p>
            <w:pPr>
              <w:pStyle w:val="TableSmall"/>
            </w:pPr>
            <w:r>
              <w:rPr>
                <w:sz w:val="13"/>
              </w:rPr>
              <w:t>Selwyn Snowball</w:t>
            </w:r>
          </w:p>
        </w:tc>
        <w:tc>
          <w:tcPr>
            <w:tcW w:type="dxa" w:w="2438"/>
            <w:tcMar>
              <w:top w:w="55" w:type="dxa"/>
              <w:start w:w="70" w:type="dxa"/>
              <w:bottom w:w="55" w:type="dxa"/>
              <w:end w:w="70" w:type="dxa"/>
            </w:tcMar>
            <w:vAlign w:val="top"/>
          </w:tcPr>
          <w:p>
            <w:pPr>
              <w:pStyle w:val="TableSmall"/>
            </w:pPr>
            <w:r>
              <w:rPr>
                <w:sz w:val="13"/>
              </w:rPr>
              <w:t>Selwyn</w:t>
            </w:r>
          </w:p>
        </w:tc>
        <w:tc>
          <w:tcPr>
            <w:tcW w:type="dxa" w:w="3118"/>
            <w:tcMar>
              <w:top w:w="55" w:type="dxa"/>
              <w:start w:w="70" w:type="dxa"/>
              <w:bottom w:w="55" w:type="dxa"/>
              <w:end w:w="70" w:type="dxa"/>
            </w:tcMar>
            <w:vAlign w:val="top"/>
          </w:tcPr>
          <w:p>
            <w:pPr>
              <w:pStyle w:val="TableSmall"/>
            </w:pPr>
            <w:r>
              <w:rPr>
                <w:sz w:val="13"/>
              </w:rPr>
              <w:t>£119 standard / £139 VIP</w:t>
            </w:r>
          </w:p>
        </w:tc>
        <w:tc>
          <w:tcPr>
            <w:tcW w:type="dxa" w:w="3969"/>
            <w:tcMar>
              <w:top w:w="55" w:type="dxa"/>
              <w:start w:w="70" w:type="dxa"/>
              <w:bottom w:w="55" w:type="dxa"/>
              <w:end w:w="70" w:type="dxa"/>
            </w:tcMar>
            <w:vAlign w:val="top"/>
          </w:tcPr>
          <w:p>
            <w:pPr>
              <w:pStyle w:val="TableSmall"/>
            </w:pPr>
            <w:r>
              <w:rPr>
                <w:sz w:val="13"/>
              </w:rPr>
              <w:t>Winter Ball; useful alternative to May Week</w:t>
            </w:r>
          </w:p>
        </w:tc>
      </w:tr>
    </w:tbl>
    <w:p>
      <w:pPr>
        <w:spacing w:after="20"/>
      </w:pPr>
    </w:p>
    <w:p>
      <w:pPr>
        <w:pStyle w:val="Source"/>
      </w:pPr>
      <w:r>
        <w:rPr>
          <w:b/>
        </w:rPr>
        <w:t xml:space="preserve">Sources and status: </w:t>
      </w:r>
      <w:r>
        <w:t>2026 dates/prices: community-maintained MayBall.info, checked against live event links where available. [E01] Trinity’s official terms give category prices and rules. [E03] Community listings are not policy; ticket terms control.</w:t>
      </w:r>
    </w:p>
    <w:p>
      <w:pPr>
        <w:pStyle w:val="Heading2"/>
        <w:keepNext/>
      </w:pPr>
      <w:r>
        <w:t>Trinity as a worked example of the real cost</w:t>
      </w:r>
    </w:p>
    <w:p>
      <w:r>
        <w:t>For 2026 Trinity’s official terms listed: internal single £225; internal double £515; discounted full-Cambridge-bursary internal single £190 or double £480; additional external double £580; alumni double £590; and external Cambridge-student single £290. A five-course dining upgrade cost £135 per person and VIP reception £85 per person. Black tie was the minimum; lounge suits and sports blazers were not accepted, floor-length evening dress was typical, and photographic ID was required. Transfer fees rose sharply as the event approached. [E03]</w:t>
      </w:r>
    </w:p>
    <w:p>
      <w:r>
        <w:t>A £225 ticket can therefore become £350–£500 after clothing, shoes, childcare, transport, dining upgrade and pre-event food. Decide a total ceiling before the ballot. “I already won the ticket” is not a reason to breach that ceiling.</w:t>
      </w:r>
    </w:p>
    <w:p>
      <w:pPr>
        <w:pStyle w:val="Heading2"/>
        <w:keepNext/>
      </w:pPr>
      <w:r>
        <w:t>College-by-college event pattern and editorial fit</w:t>
      </w:r>
    </w:p>
    <w:tbl>
      <w:tblPr>
        <w:tblW w:type="dxa" w:w="14855"/>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701"/>
        <w:gridCol w:w="3628"/>
        <w:gridCol w:w="3515"/>
        <w:gridCol w:w="1361"/>
        <w:gridCol w:w="4649"/>
      </w:tblGrid>
      <w:tr>
        <w:trPr>
          <w:tblHeader w:val="true"/>
          <w:cantSplit w:val="true"/>
        </w:trPr>
        <w:tc>
          <w:tcPr>
            <w:tcW w:type="dxa" w:w="1701"/>
            <w:shd w:fill="17324D"/>
            <w:tcMar>
              <w:top w:w="70" w:type="dxa"/>
              <w:start w:w="80" w:type="dxa"/>
              <w:bottom w:w="70" w:type="dxa"/>
              <w:end w:w="80" w:type="dxa"/>
            </w:tcMar>
            <w:vAlign w:val="center"/>
          </w:tcPr>
          <w:p>
            <w:pPr>
              <w:pStyle w:val="TableSmall"/>
              <w:jc w:val="left"/>
            </w:pPr>
            <w:r>
              <w:rPr>
                <w:b/>
                <w:color w:val="FFFFFF"/>
                <w:sz w:val="12"/>
              </w:rPr>
              <w:t>College</w:t>
            </w:r>
          </w:p>
        </w:tc>
        <w:tc>
          <w:tcPr>
            <w:tcW w:type="dxa" w:w="3628"/>
            <w:shd w:fill="17324D"/>
            <w:tcMar>
              <w:top w:w="70" w:type="dxa"/>
              <w:start w:w="80" w:type="dxa"/>
              <w:bottom w:w="70" w:type="dxa"/>
              <w:end w:w="80" w:type="dxa"/>
            </w:tcMar>
            <w:vAlign w:val="center"/>
          </w:tcPr>
          <w:p>
            <w:pPr>
              <w:pStyle w:val="TableSmall"/>
              <w:jc w:val="left"/>
            </w:pPr>
            <w:r>
              <w:rPr>
                <w:b/>
                <w:color w:val="FFFFFF"/>
                <w:sz w:val="12"/>
              </w:rPr>
              <w:t>Usual/recent event pattern</w:t>
            </w:r>
          </w:p>
        </w:tc>
        <w:tc>
          <w:tcPr>
            <w:tcW w:type="dxa" w:w="3515"/>
            <w:shd w:fill="17324D"/>
            <w:tcMar>
              <w:top w:w="70" w:type="dxa"/>
              <w:start w:w="80" w:type="dxa"/>
              <w:bottom w:w="70" w:type="dxa"/>
              <w:end w:w="80" w:type="dxa"/>
            </w:tcMar>
            <w:vAlign w:val="center"/>
          </w:tcPr>
          <w:p>
            <w:pPr>
              <w:pStyle w:val="TableSmall"/>
              <w:jc w:val="left"/>
            </w:pPr>
            <w:r>
              <w:rPr>
                <w:b/>
                <w:color w:val="FFFFFF"/>
                <w:sz w:val="12"/>
              </w:rPr>
              <w:t>Where / when</w:t>
            </w:r>
          </w:p>
        </w:tc>
        <w:tc>
          <w:tcPr>
            <w:tcW w:type="dxa" w:w="1360"/>
            <w:shd w:fill="17324D"/>
            <w:tcMar>
              <w:top w:w="70" w:type="dxa"/>
              <w:start w:w="80" w:type="dxa"/>
              <w:bottom w:w="70" w:type="dxa"/>
              <w:end w:w="80" w:type="dxa"/>
            </w:tcMar>
            <w:vAlign w:val="center"/>
          </w:tcPr>
          <w:p>
            <w:pPr>
              <w:pStyle w:val="TableSmall"/>
              <w:jc w:val="left"/>
            </w:pPr>
            <w:r>
              <w:rPr>
                <w:b/>
                <w:color w:val="FFFFFF"/>
                <w:sz w:val="12"/>
              </w:rPr>
              <w:t>Price band</w:t>
            </w:r>
          </w:p>
        </w:tc>
        <w:tc>
          <w:tcPr>
            <w:tcW w:type="dxa" w:w="4649"/>
            <w:shd w:fill="17324D"/>
            <w:tcMar>
              <w:top w:w="70" w:type="dxa"/>
              <w:start w:w="80" w:type="dxa"/>
              <w:bottom w:w="70" w:type="dxa"/>
              <w:end w:w="80" w:type="dxa"/>
            </w:tcMar>
            <w:vAlign w:val="center"/>
          </w:tcPr>
          <w:p>
            <w:pPr>
              <w:pStyle w:val="TableSmall"/>
              <w:jc w:val="left"/>
            </w:pPr>
            <w:r>
              <w:rPr>
                <w:b/>
                <w:color w:val="FFFFFF"/>
                <w:sz w:val="12"/>
              </w:rPr>
              <w:t>Editorial “best for”</w:t>
            </w:r>
          </w:p>
        </w:tc>
      </w:tr>
      <w:tr>
        <w:trPr>
          <w:cantSplit w:val="true"/>
        </w:trPr>
        <w:tc>
          <w:tcPr>
            <w:tcW w:type="dxa" w:w="1701"/>
            <w:tcMar>
              <w:top w:w="55" w:type="dxa"/>
              <w:start w:w="70" w:type="dxa"/>
              <w:bottom w:w="55" w:type="dxa"/>
              <w:end w:w="70" w:type="dxa"/>
            </w:tcMar>
            <w:vAlign w:val="top"/>
          </w:tcPr>
          <w:p>
            <w:pPr>
              <w:pStyle w:val="TableSmall"/>
            </w:pPr>
            <w:r>
              <w:rPr>
                <w:sz w:val="12"/>
              </w:rPr>
              <w:t>Christ's</w:t>
            </w:r>
          </w:p>
        </w:tc>
        <w:tc>
          <w:tcPr>
            <w:tcW w:type="dxa" w:w="3628"/>
            <w:tcMar>
              <w:top w:w="55" w:type="dxa"/>
              <w:start w:w="70" w:type="dxa"/>
              <w:bottom w:w="55" w:type="dxa"/>
              <w:end w:w="70" w:type="dxa"/>
            </w:tcMar>
            <w:vAlign w:val="top"/>
          </w:tcPr>
          <w:p>
            <w:pPr>
              <w:pStyle w:val="TableSmall"/>
            </w:pPr>
            <w:r>
              <w:rPr>
                <w:sz w:val="12"/>
              </w:rPr>
              <w:t>Soirée or garden-party model in recent years</w:t>
            </w:r>
          </w:p>
        </w:tc>
        <w:tc>
          <w:tcPr>
            <w:tcW w:type="dxa" w:w="3515"/>
            <w:tcMar>
              <w:top w:w="55" w:type="dxa"/>
              <w:start w:w="70" w:type="dxa"/>
              <w:bottom w:w="55" w:type="dxa"/>
              <w:end w:w="70" w:type="dxa"/>
            </w:tcMar>
            <w:vAlign w:val="top"/>
          </w:tcPr>
          <w:p>
            <w:pPr>
              <w:pStyle w:val="TableSmall"/>
            </w:pPr>
            <w:r>
              <w:rPr>
                <w:sz w:val="12"/>
              </w:rPr>
              <w:t>College courts/gardens;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value: sociable occasion without flagship price</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Churchill</w:t>
            </w:r>
          </w:p>
        </w:tc>
        <w:tc>
          <w:tcPr>
            <w:tcW w:type="dxa" w:w="3628"/>
            <w:shd w:fill="F5F7F8"/>
            <w:tcMar>
              <w:top w:w="55" w:type="dxa"/>
              <w:start w:w="70" w:type="dxa"/>
              <w:bottom w:w="55" w:type="dxa"/>
              <w:end w:w="70" w:type="dxa"/>
            </w:tcMar>
            <w:vAlign w:val="top"/>
          </w:tcPr>
          <w:p>
            <w:pPr>
              <w:pStyle w:val="TableSmall"/>
            </w:pPr>
            <w:r>
              <w:rPr>
                <w:sz w:val="12"/>
              </w:rPr>
              <w:t>June Event / occasional Ball</w:t>
            </w:r>
          </w:p>
        </w:tc>
        <w:tc>
          <w:tcPr>
            <w:tcW w:type="dxa" w:w="3515"/>
            <w:shd w:fill="F5F7F8"/>
            <w:tcMar>
              <w:top w:w="55" w:type="dxa"/>
              <w:start w:w="70" w:type="dxa"/>
              <w:bottom w:w="55" w:type="dxa"/>
              <w:end w:w="70" w:type="dxa"/>
            </w:tcMar>
            <w:vAlign w:val="top"/>
          </w:tcPr>
          <w:p>
            <w:pPr>
              <w:pStyle w:val="TableSmall"/>
            </w:pPr>
            <w:r>
              <w:rPr>
                <w:sz w:val="12"/>
              </w:rPr>
              <w:t>Large modern grounds; June or occasional spring</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value/music; easier on formalwear</w:t>
            </w:r>
          </w:p>
        </w:tc>
      </w:tr>
      <w:tr>
        <w:trPr>
          <w:cantSplit w:val="true"/>
        </w:trPr>
        <w:tc>
          <w:tcPr>
            <w:tcW w:type="dxa" w:w="1701"/>
            <w:tcMar>
              <w:top w:w="55" w:type="dxa"/>
              <w:start w:w="70" w:type="dxa"/>
              <w:bottom w:w="55" w:type="dxa"/>
              <w:end w:w="70" w:type="dxa"/>
            </w:tcMar>
            <w:vAlign w:val="top"/>
          </w:tcPr>
          <w:p>
            <w:pPr>
              <w:pStyle w:val="TableSmall"/>
            </w:pPr>
            <w:r>
              <w:rPr>
                <w:sz w:val="12"/>
              </w:rPr>
              <w:t>Clare</w:t>
            </w:r>
          </w:p>
        </w:tc>
        <w:tc>
          <w:tcPr>
            <w:tcW w:type="dxa" w:w="3628"/>
            <w:tcMar>
              <w:top w:w="55" w:type="dxa"/>
              <w:start w:w="70" w:type="dxa"/>
              <w:bottom w:w="55" w:type="dxa"/>
              <w:end w:w="70" w:type="dxa"/>
            </w:tcMar>
            <w:vAlign w:val="top"/>
          </w:tcPr>
          <w:p>
            <w:pPr>
              <w:pStyle w:val="TableSmall"/>
            </w:pPr>
            <w:r>
              <w:rPr>
                <w:sz w:val="12"/>
              </w:rPr>
              <w:t>Historically major Ball, but not every planned edition proceeds</w:t>
            </w:r>
          </w:p>
        </w:tc>
        <w:tc>
          <w:tcPr>
            <w:tcW w:type="dxa" w:w="3515"/>
            <w:tcMar>
              <w:top w:w="55" w:type="dxa"/>
              <w:start w:w="70" w:type="dxa"/>
              <w:bottom w:w="55" w:type="dxa"/>
              <w:end w:w="70" w:type="dxa"/>
            </w:tcMar>
            <w:vAlign w:val="top"/>
          </w:tcPr>
          <w:p>
            <w:pPr>
              <w:pStyle w:val="TableSmall"/>
            </w:pPr>
            <w:r>
              <w:rPr>
                <w:sz w:val="12"/>
              </w:rPr>
              <w:t>Old Court and gardens by river;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scenery when running; cancellation/river logistics matter</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Corpus Christi</w:t>
            </w:r>
          </w:p>
        </w:tc>
        <w:tc>
          <w:tcPr>
            <w:tcW w:type="dxa" w:w="3628"/>
            <w:shd w:fill="F5F7F8"/>
            <w:tcMar>
              <w:top w:w="55" w:type="dxa"/>
              <w:start w:w="70" w:type="dxa"/>
              <w:bottom w:w="55" w:type="dxa"/>
              <w:end w:w="70" w:type="dxa"/>
            </w:tcMar>
            <w:vAlign w:val="top"/>
          </w:tcPr>
          <w:p>
            <w:pPr>
              <w:pStyle w:val="TableSmall"/>
            </w:pPr>
            <w:r>
              <w:rPr>
                <w:sz w:val="12"/>
              </w:rPr>
              <w:t>May Ball in recent cycle</w:t>
            </w:r>
          </w:p>
        </w:tc>
        <w:tc>
          <w:tcPr>
            <w:tcW w:type="dxa" w:w="3515"/>
            <w:shd w:fill="F5F7F8"/>
            <w:tcMar>
              <w:top w:w="55" w:type="dxa"/>
              <w:start w:w="70" w:type="dxa"/>
              <w:bottom w:w="55" w:type="dxa"/>
              <w:end w:w="70" w:type="dxa"/>
            </w:tcMar>
            <w:vAlign w:val="top"/>
          </w:tcPr>
          <w:p>
            <w:pPr>
              <w:pStyle w:val="TableSmall"/>
            </w:pPr>
            <w:r>
              <w:rPr>
                <w:sz w:val="12"/>
              </w:rPr>
              <w:t>Compact central College;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Intimate traditional Ball</w:t>
            </w:r>
          </w:p>
        </w:tc>
      </w:tr>
      <w:tr>
        <w:trPr>
          <w:cantSplit w:val="true"/>
        </w:trPr>
        <w:tc>
          <w:tcPr>
            <w:tcW w:type="dxa" w:w="1701"/>
            <w:tcMar>
              <w:top w:w="55" w:type="dxa"/>
              <w:start w:w="70" w:type="dxa"/>
              <w:bottom w:w="55" w:type="dxa"/>
              <w:end w:w="70" w:type="dxa"/>
            </w:tcMar>
            <w:vAlign w:val="top"/>
          </w:tcPr>
          <w:p>
            <w:pPr>
              <w:pStyle w:val="TableSmall"/>
            </w:pPr>
            <w:r>
              <w:rPr>
                <w:sz w:val="12"/>
              </w:rPr>
              <w:t>Downing</w:t>
            </w:r>
          </w:p>
        </w:tc>
        <w:tc>
          <w:tcPr>
            <w:tcW w:type="dxa" w:w="3628"/>
            <w:tcMar>
              <w:top w:w="55" w:type="dxa"/>
              <w:start w:w="70" w:type="dxa"/>
              <w:bottom w:w="55" w:type="dxa"/>
              <w:end w:w="70" w:type="dxa"/>
            </w:tcMar>
            <w:vAlign w:val="top"/>
          </w:tcPr>
          <w:p>
            <w:pPr>
              <w:pStyle w:val="TableSmall"/>
            </w:pPr>
            <w:r>
              <w:rPr>
                <w:sz w:val="12"/>
              </w:rPr>
              <w:t>Major May Ball, commonly alternating/periodic</w:t>
            </w:r>
          </w:p>
        </w:tc>
        <w:tc>
          <w:tcPr>
            <w:tcW w:type="dxa" w:w="3515"/>
            <w:tcMar>
              <w:top w:w="55" w:type="dxa"/>
              <w:start w:w="70" w:type="dxa"/>
              <w:bottom w:w="55" w:type="dxa"/>
              <w:end w:w="70" w:type="dxa"/>
            </w:tcMar>
            <w:vAlign w:val="top"/>
          </w:tcPr>
          <w:p>
            <w:pPr>
              <w:pStyle w:val="TableSmall"/>
            </w:pPr>
            <w:r>
              <w:rPr>
                <w:sz w:val="12"/>
              </w:rPr>
              <w:t>Large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Space, spectacle and black-tie feel</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Emmanuel</w:t>
            </w:r>
          </w:p>
        </w:tc>
        <w:tc>
          <w:tcPr>
            <w:tcW w:type="dxa" w:w="3628"/>
            <w:shd w:fill="F5F7F8"/>
            <w:tcMar>
              <w:top w:w="55" w:type="dxa"/>
              <w:start w:w="70" w:type="dxa"/>
              <w:bottom w:w="55" w:type="dxa"/>
              <w:end w:w="70" w:type="dxa"/>
            </w:tcMar>
            <w:vAlign w:val="top"/>
          </w:tcPr>
          <w:p>
            <w:pPr>
              <w:pStyle w:val="TableSmall"/>
            </w:pPr>
            <w:r>
              <w:rPr>
                <w:sz w:val="12"/>
              </w:rPr>
              <w:t>May Ball / June Event depending cycle</w:t>
            </w:r>
          </w:p>
        </w:tc>
        <w:tc>
          <w:tcPr>
            <w:tcW w:type="dxa" w:w="3515"/>
            <w:shd w:fill="F5F7F8"/>
            <w:tcMar>
              <w:top w:w="55" w:type="dxa"/>
              <w:start w:w="70" w:type="dxa"/>
              <w:bottom w:w="55" w:type="dxa"/>
              <w:end w:w="70" w:type="dxa"/>
            </w:tcMar>
            <w:vAlign w:val="top"/>
          </w:tcPr>
          <w:p>
            <w:pPr>
              <w:pStyle w:val="TableSmall"/>
            </w:pPr>
            <w:r>
              <w:rPr>
                <w:sz w:val="12"/>
              </w:rPr>
              <w:t>Central grounds;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Classic all-round Ball</w:t>
            </w:r>
          </w:p>
        </w:tc>
      </w:tr>
      <w:tr>
        <w:trPr>
          <w:cantSplit w:val="true"/>
        </w:trPr>
        <w:tc>
          <w:tcPr>
            <w:tcW w:type="dxa" w:w="1701"/>
            <w:tcMar>
              <w:top w:w="55" w:type="dxa"/>
              <w:start w:w="70" w:type="dxa"/>
              <w:bottom w:w="55" w:type="dxa"/>
              <w:end w:w="70" w:type="dxa"/>
            </w:tcMar>
            <w:vAlign w:val="top"/>
          </w:tcPr>
          <w:p>
            <w:pPr>
              <w:pStyle w:val="TableSmall"/>
            </w:pPr>
            <w:r>
              <w:rPr>
                <w:sz w:val="12"/>
              </w:rPr>
              <w:t>Fitzwilliam</w:t>
            </w:r>
          </w:p>
        </w:tc>
        <w:tc>
          <w:tcPr>
            <w:tcW w:type="dxa" w:w="3628"/>
            <w:tcMar>
              <w:top w:w="55" w:type="dxa"/>
              <w:start w:w="70" w:type="dxa"/>
              <w:bottom w:w="55" w:type="dxa"/>
              <w:end w:w="70" w:type="dxa"/>
            </w:tcMar>
            <w:vAlign w:val="top"/>
          </w:tcPr>
          <w:p>
            <w:pPr>
              <w:pStyle w:val="TableSmall"/>
            </w:pPr>
            <w:r>
              <w:rPr>
                <w:sz w:val="12"/>
              </w:rPr>
              <w:t>Winter Ball in some cycles</w:t>
            </w:r>
          </w:p>
        </w:tc>
        <w:tc>
          <w:tcPr>
            <w:tcW w:type="dxa" w:w="3515"/>
            <w:tcMar>
              <w:top w:w="55" w:type="dxa"/>
              <w:start w:w="70" w:type="dxa"/>
              <w:bottom w:w="55" w:type="dxa"/>
              <w:end w:w="70" w:type="dxa"/>
            </w:tcMar>
            <w:vAlign w:val="top"/>
          </w:tcPr>
          <w:p>
            <w:pPr>
              <w:pStyle w:val="TableSmall"/>
            </w:pPr>
            <w:r>
              <w:rPr>
                <w:sz w:val="12"/>
              </w:rPr>
              <w:t>College site; Michaelmas</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Alternative season; modern campus feel</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Girton</w:t>
            </w:r>
          </w:p>
        </w:tc>
        <w:tc>
          <w:tcPr>
            <w:tcW w:type="dxa" w:w="3628"/>
            <w:shd w:fill="F5F7F8"/>
            <w:tcMar>
              <w:top w:w="55" w:type="dxa"/>
              <w:start w:w="70" w:type="dxa"/>
              <w:bottom w:w="55" w:type="dxa"/>
              <w:end w:w="70" w:type="dxa"/>
            </w:tcMar>
            <w:vAlign w:val="top"/>
          </w:tcPr>
          <w:p>
            <w:pPr>
              <w:pStyle w:val="TableSmall"/>
            </w:pPr>
            <w:r>
              <w:rPr>
                <w:sz w:val="12"/>
              </w:rPr>
              <w:t>Spring Ball, often periodic</w:t>
            </w:r>
          </w:p>
        </w:tc>
        <w:tc>
          <w:tcPr>
            <w:tcW w:type="dxa" w:w="3515"/>
            <w:shd w:fill="F5F7F8"/>
            <w:tcMar>
              <w:top w:w="55" w:type="dxa"/>
              <w:start w:w="70" w:type="dxa"/>
              <w:bottom w:w="55" w:type="dxa"/>
              <w:end w:w="70" w:type="dxa"/>
            </w:tcMar>
            <w:vAlign w:val="top"/>
          </w:tcPr>
          <w:p>
            <w:pPr>
              <w:pStyle w:val="TableSmall"/>
            </w:pPr>
            <w:r>
              <w:rPr>
                <w:sz w:val="12"/>
              </w:rPr>
              <w:t>Girton grounds; Lent end</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Distinct setting; plan travel</w:t>
            </w:r>
          </w:p>
        </w:tc>
      </w:tr>
      <w:tr>
        <w:trPr>
          <w:cantSplit w:val="true"/>
        </w:trPr>
        <w:tc>
          <w:tcPr>
            <w:tcW w:type="dxa" w:w="1701"/>
            <w:tcMar>
              <w:top w:w="55" w:type="dxa"/>
              <w:start w:w="70" w:type="dxa"/>
              <w:bottom w:w="55" w:type="dxa"/>
              <w:end w:w="70" w:type="dxa"/>
            </w:tcMar>
            <w:vAlign w:val="top"/>
          </w:tcPr>
          <w:p>
            <w:pPr>
              <w:pStyle w:val="TableSmall"/>
            </w:pPr>
            <w:r>
              <w:rPr>
                <w:sz w:val="12"/>
              </w:rPr>
              <w:t>Gonville &amp; Caius</w:t>
            </w:r>
          </w:p>
        </w:tc>
        <w:tc>
          <w:tcPr>
            <w:tcW w:type="dxa" w:w="3628"/>
            <w:tcMar>
              <w:top w:w="55" w:type="dxa"/>
              <w:start w:w="70" w:type="dxa"/>
              <w:bottom w:w="55" w:type="dxa"/>
              <w:end w:w="70" w:type="dxa"/>
            </w:tcMar>
            <w:vAlign w:val="top"/>
          </w:tcPr>
          <w:p>
            <w:pPr>
              <w:pStyle w:val="TableSmall"/>
            </w:pPr>
            <w:r>
              <w:rPr>
                <w:sz w:val="12"/>
              </w:rPr>
              <w:t>Major May Ball</w:t>
            </w:r>
          </w:p>
        </w:tc>
        <w:tc>
          <w:tcPr>
            <w:tcW w:type="dxa" w:w="3515"/>
            <w:tcMar>
              <w:top w:w="55" w:type="dxa"/>
              <w:start w:w="70" w:type="dxa"/>
              <w:bottom w:w="55" w:type="dxa"/>
              <w:end w:w="70" w:type="dxa"/>
            </w:tcMar>
            <w:vAlign w:val="top"/>
          </w:tcPr>
          <w:p>
            <w:pPr>
              <w:pStyle w:val="TableSmall"/>
            </w:pPr>
            <w:r>
              <w:rPr>
                <w:sz w:val="12"/>
              </w:rPr>
              <w:t>Central courts;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Traditional flagship</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Homerton</w:t>
            </w:r>
          </w:p>
        </w:tc>
        <w:tc>
          <w:tcPr>
            <w:tcW w:type="dxa" w:w="3628"/>
            <w:shd w:fill="F5F7F8"/>
            <w:tcMar>
              <w:top w:w="55" w:type="dxa"/>
              <w:start w:w="70" w:type="dxa"/>
              <w:bottom w:w="55" w:type="dxa"/>
              <w:end w:w="70" w:type="dxa"/>
            </w:tcMar>
            <w:vAlign w:val="top"/>
          </w:tcPr>
          <w:p>
            <w:pPr>
              <w:pStyle w:val="TableSmall"/>
            </w:pPr>
            <w:r>
              <w:rPr>
                <w:sz w:val="12"/>
              </w:rPr>
              <w:t>May Ball in some cycles</w:t>
            </w:r>
          </w:p>
        </w:tc>
        <w:tc>
          <w:tcPr>
            <w:tcW w:type="dxa" w:w="3515"/>
            <w:shd w:fill="F5F7F8"/>
            <w:tcMar>
              <w:top w:w="55" w:type="dxa"/>
              <w:start w:w="70" w:type="dxa"/>
              <w:bottom w:w="55" w:type="dxa"/>
              <w:end w:w="70" w:type="dxa"/>
            </w:tcMar>
            <w:vAlign w:val="top"/>
          </w:tcPr>
          <w:p>
            <w:pPr>
              <w:pStyle w:val="TableSmall"/>
            </w:pPr>
            <w:r>
              <w:rPr>
                <w:sz w:val="12"/>
              </w:rPr>
              <w:t>Large south-east grounds;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Space and community; transport home</w:t>
            </w:r>
          </w:p>
        </w:tc>
      </w:tr>
      <w:tr>
        <w:trPr>
          <w:cantSplit w:val="true"/>
        </w:trPr>
        <w:tc>
          <w:tcPr>
            <w:tcW w:type="dxa" w:w="1701"/>
            <w:tcMar>
              <w:top w:w="55" w:type="dxa"/>
              <w:start w:w="70" w:type="dxa"/>
              <w:bottom w:w="55" w:type="dxa"/>
              <w:end w:w="70" w:type="dxa"/>
            </w:tcMar>
            <w:vAlign w:val="top"/>
          </w:tcPr>
          <w:p>
            <w:pPr>
              <w:pStyle w:val="TableSmall"/>
            </w:pPr>
            <w:r>
              <w:rPr>
                <w:sz w:val="12"/>
              </w:rPr>
              <w:t>Hughes Hall</w:t>
            </w:r>
          </w:p>
        </w:tc>
        <w:tc>
          <w:tcPr>
            <w:tcW w:type="dxa" w:w="3628"/>
            <w:tcMar>
              <w:top w:w="55" w:type="dxa"/>
              <w:start w:w="70" w:type="dxa"/>
              <w:bottom w:w="55" w:type="dxa"/>
              <w:end w:w="70" w:type="dxa"/>
            </w:tcMar>
            <w:vAlign w:val="top"/>
          </w:tcPr>
          <w:p>
            <w:pPr>
              <w:pStyle w:val="TableSmall"/>
            </w:pPr>
            <w:r>
              <w:rPr>
                <w:sz w:val="12"/>
              </w:rPr>
              <w:t>Annual-style June Event</w:t>
            </w:r>
          </w:p>
        </w:tc>
        <w:tc>
          <w:tcPr>
            <w:tcW w:type="dxa" w:w="3515"/>
            <w:tcMar>
              <w:top w:w="55" w:type="dxa"/>
              <w:start w:w="70" w:type="dxa"/>
              <w:bottom w:w="55" w:type="dxa"/>
              <w:end w:w="70" w:type="dxa"/>
            </w:tcMar>
            <w:vAlign w:val="top"/>
          </w:tcPr>
          <w:p>
            <w:pPr>
              <w:pStyle w:val="TableSmall"/>
            </w:pPr>
            <w:r>
              <w:rPr>
                <w:sz w:val="12"/>
              </w:rPr>
              <w:t>Cricket ground/College setting;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for mature/mixed-age crowd</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Jesus</w:t>
            </w:r>
          </w:p>
        </w:tc>
        <w:tc>
          <w:tcPr>
            <w:tcW w:type="dxa" w:w="3628"/>
            <w:shd w:fill="F5F7F8"/>
            <w:tcMar>
              <w:top w:w="55" w:type="dxa"/>
              <w:start w:w="70" w:type="dxa"/>
              <w:bottom w:w="55" w:type="dxa"/>
              <w:end w:w="70" w:type="dxa"/>
            </w:tcMar>
            <w:vAlign w:val="top"/>
          </w:tcPr>
          <w:p>
            <w:pPr>
              <w:pStyle w:val="TableSmall"/>
            </w:pPr>
            <w:r>
              <w:rPr>
                <w:sz w:val="12"/>
              </w:rPr>
              <w:t>Annual major May Ball</w:t>
            </w:r>
          </w:p>
        </w:tc>
        <w:tc>
          <w:tcPr>
            <w:tcW w:type="dxa" w:w="3515"/>
            <w:shd w:fill="F5F7F8"/>
            <w:tcMar>
              <w:top w:w="55" w:type="dxa"/>
              <w:start w:w="70" w:type="dxa"/>
              <w:bottom w:w="55" w:type="dxa"/>
              <w:end w:w="70" w:type="dxa"/>
            </w:tcMar>
            <w:vAlign w:val="top"/>
          </w:tcPr>
          <w:p>
            <w:pPr>
              <w:pStyle w:val="TableSmall"/>
            </w:pPr>
            <w:r>
              <w:rPr>
                <w:sz w:val="12"/>
              </w:rPr>
              <w:t>Large grounds;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party/music scale</w:t>
            </w:r>
          </w:p>
        </w:tc>
      </w:tr>
      <w:tr>
        <w:trPr>
          <w:cantSplit w:val="true"/>
        </w:trPr>
        <w:tc>
          <w:tcPr>
            <w:tcW w:type="dxa" w:w="1701"/>
            <w:tcMar>
              <w:top w:w="55" w:type="dxa"/>
              <w:start w:w="70" w:type="dxa"/>
              <w:bottom w:w="55" w:type="dxa"/>
              <w:end w:w="70" w:type="dxa"/>
            </w:tcMar>
            <w:vAlign w:val="top"/>
          </w:tcPr>
          <w:p>
            <w:pPr>
              <w:pStyle w:val="TableSmall"/>
            </w:pPr>
            <w:r>
              <w:rPr>
                <w:sz w:val="12"/>
              </w:rPr>
              <w:t>King's</w:t>
            </w:r>
          </w:p>
        </w:tc>
        <w:tc>
          <w:tcPr>
            <w:tcW w:type="dxa" w:w="3628"/>
            <w:tcMar>
              <w:top w:w="55" w:type="dxa"/>
              <w:start w:w="70" w:type="dxa"/>
              <w:bottom w:w="55" w:type="dxa"/>
              <w:end w:w="70" w:type="dxa"/>
            </w:tcMar>
            <w:vAlign w:val="top"/>
          </w:tcPr>
          <w:p>
            <w:pPr>
              <w:pStyle w:val="TableSmall"/>
            </w:pPr>
            <w:r>
              <w:rPr>
                <w:sz w:val="12"/>
              </w:rPr>
              <w:t>King’s Affair annually rather than traditional Ball</w:t>
            </w:r>
          </w:p>
        </w:tc>
        <w:tc>
          <w:tcPr>
            <w:tcW w:type="dxa" w:w="3515"/>
            <w:tcMar>
              <w:top w:w="55" w:type="dxa"/>
              <w:start w:w="70" w:type="dxa"/>
              <w:bottom w:w="55" w:type="dxa"/>
              <w:end w:w="70" w:type="dxa"/>
            </w:tcMar>
            <w:vAlign w:val="top"/>
          </w:tcPr>
          <w:p>
            <w:pPr>
              <w:pStyle w:val="TableSmall"/>
            </w:pPr>
            <w:r>
              <w:rPr>
                <w:sz w:val="12"/>
              </w:rPr>
              <w:t>King’s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alternative/festival identity</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Lucy Cavendish</w:t>
            </w:r>
          </w:p>
        </w:tc>
        <w:tc>
          <w:tcPr>
            <w:tcW w:type="dxa" w:w="3628"/>
            <w:shd w:fill="F5F7F8"/>
            <w:tcMar>
              <w:top w:w="55" w:type="dxa"/>
              <w:start w:w="70" w:type="dxa"/>
              <w:bottom w:w="55" w:type="dxa"/>
              <w:end w:w="70" w:type="dxa"/>
            </w:tcMar>
            <w:vAlign w:val="top"/>
          </w:tcPr>
          <w:p>
            <w:pPr>
              <w:pStyle w:val="TableSmall"/>
            </w:pPr>
            <w:r>
              <w:rPr>
                <w:sz w:val="12"/>
              </w:rPr>
              <w:t>Garden party/community event</w:t>
            </w:r>
          </w:p>
        </w:tc>
        <w:tc>
          <w:tcPr>
            <w:tcW w:type="dxa" w:w="3515"/>
            <w:shd w:fill="F5F7F8"/>
            <w:tcMar>
              <w:top w:w="55" w:type="dxa"/>
              <w:start w:w="70" w:type="dxa"/>
              <w:bottom w:w="55" w:type="dxa"/>
              <w:end w:w="70" w:type="dxa"/>
            </w:tcMar>
            <w:vAlign w:val="top"/>
          </w:tcPr>
          <w:p>
            <w:pPr>
              <w:pStyle w:val="TableSmall"/>
            </w:pPr>
            <w:r>
              <w:rPr>
                <w:sz w:val="12"/>
              </w:rPr>
              <w:t>College gardens;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low-cost daytime option</w:t>
            </w:r>
          </w:p>
        </w:tc>
      </w:tr>
      <w:tr>
        <w:trPr>
          <w:cantSplit w:val="true"/>
        </w:trPr>
        <w:tc>
          <w:tcPr>
            <w:tcW w:type="dxa" w:w="1701"/>
            <w:tcMar>
              <w:top w:w="55" w:type="dxa"/>
              <w:start w:w="70" w:type="dxa"/>
              <w:bottom w:w="55" w:type="dxa"/>
              <w:end w:w="70" w:type="dxa"/>
            </w:tcMar>
            <w:vAlign w:val="top"/>
          </w:tcPr>
          <w:p>
            <w:pPr>
              <w:pStyle w:val="TableSmall"/>
            </w:pPr>
            <w:r>
              <w:rPr>
                <w:sz w:val="12"/>
              </w:rPr>
              <w:t>Magdalene</w:t>
            </w:r>
          </w:p>
        </w:tc>
        <w:tc>
          <w:tcPr>
            <w:tcW w:type="dxa" w:w="3628"/>
            <w:tcMar>
              <w:top w:w="55" w:type="dxa"/>
              <w:start w:w="70" w:type="dxa"/>
              <w:bottom w:w="55" w:type="dxa"/>
              <w:end w:w="70" w:type="dxa"/>
            </w:tcMar>
            <w:vAlign w:val="top"/>
          </w:tcPr>
          <w:p>
            <w:pPr>
              <w:pStyle w:val="TableSmall"/>
            </w:pPr>
            <w:r>
              <w:rPr>
                <w:sz w:val="12"/>
              </w:rPr>
              <w:t>Traditional May Ball in cycle</w:t>
            </w:r>
          </w:p>
        </w:tc>
        <w:tc>
          <w:tcPr>
            <w:tcW w:type="dxa" w:w="3515"/>
            <w:tcMar>
              <w:top w:w="55" w:type="dxa"/>
              <w:start w:w="70" w:type="dxa"/>
              <w:bottom w:w="55" w:type="dxa"/>
              <w:end w:w="70" w:type="dxa"/>
            </w:tcMar>
            <w:vAlign w:val="top"/>
          </w:tcPr>
          <w:p>
            <w:pPr>
              <w:pStyle w:val="TableSmall"/>
            </w:pPr>
            <w:r>
              <w:rPr>
                <w:sz w:val="12"/>
              </w:rPr>
              <w:t>River College;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old-school intimacy; strict dress possible</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Murray Edwards</w:t>
            </w:r>
          </w:p>
        </w:tc>
        <w:tc>
          <w:tcPr>
            <w:tcW w:type="dxa" w:w="3628"/>
            <w:shd w:fill="F5F7F8"/>
            <w:tcMar>
              <w:top w:w="55" w:type="dxa"/>
              <w:start w:w="70" w:type="dxa"/>
              <w:bottom w:w="55" w:type="dxa"/>
              <w:end w:w="70" w:type="dxa"/>
            </w:tcMar>
            <w:vAlign w:val="top"/>
          </w:tcPr>
          <w:p>
            <w:pPr>
              <w:pStyle w:val="TableSmall"/>
            </w:pPr>
            <w:r>
              <w:rPr>
                <w:sz w:val="12"/>
              </w:rPr>
              <w:t>Garden party</w:t>
            </w:r>
          </w:p>
        </w:tc>
        <w:tc>
          <w:tcPr>
            <w:tcW w:type="dxa" w:w="3515"/>
            <w:shd w:fill="F5F7F8"/>
            <w:tcMar>
              <w:top w:w="55" w:type="dxa"/>
              <w:start w:w="70" w:type="dxa"/>
              <w:bottom w:w="55" w:type="dxa"/>
              <w:end w:w="70" w:type="dxa"/>
            </w:tcMar>
            <w:vAlign w:val="top"/>
          </w:tcPr>
          <w:p>
            <w:pPr>
              <w:pStyle w:val="TableSmall"/>
            </w:pPr>
            <w:r>
              <w:rPr>
                <w:sz w:val="12"/>
              </w:rPr>
              <w:t>Dome/gardens;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accessible price and daytime feel</w:t>
            </w:r>
          </w:p>
        </w:tc>
      </w:tr>
      <w:tr>
        <w:trPr>
          <w:cantSplit w:val="true"/>
        </w:trPr>
        <w:tc>
          <w:tcPr>
            <w:tcW w:type="dxa" w:w="1701"/>
            <w:tcMar>
              <w:top w:w="55" w:type="dxa"/>
              <w:start w:w="70" w:type="dxa"/>
              <w:bottom w:w="55" w:type="dxa"/>
              <w:end w:w="70" w:type="dxa"/>
            </w:tcMar>
            <w:vAlign w:val="top"/>
          </w:tcPr>
          <w:p>
            <w:pPr>
              <w:pStyle w:val="TableSmall"/>
            </w:pPr>
            <w:r>
              <w:rPr>
                <w:sz w:val="12"/>
              </w:rPr>
              <w:t>Newnham</w:t>
            </w:r>
          </w:p>
        </w:tc>
        <w:tc>
          <w:tcPr>
            <w:tcW w:type="dxa" w:w="3628"/>
            <w:tcMar>
              <w:top w:w="55" w:type="dxa"/>
              <w:start w:w="70" w:type="dxa"/>
              <w:bottom w:w="55" w:type="dxa"/>
              <w:end w:w="70" w:type="dxa"/>
            </w:tcMar>
            <w:vAlign w:val="top"/>
          </w:tcPr>
          <w:p>
            <w:pPr>
              <w:pStyle w:val="TableSmall"/>
            </w:pPr>
            <w:r>
              <w:rPr>
                <w:sz w:val="12"/>
              </w:rPr>
              <w:t>JCR and MCR garden parties</w:t>
            </w:r>
          </w:p>
        </w:tc>
        <w:tc>
          <w:tcPr>
            <w:tcW w:type="dxa" w:w="3515"/>
            <w:tcMar>
              <w:top w:w="55" w:type="dxa"/>
              <w:start w:w="70" w:type="dxa"/>
              <w:bottom w:w="55" w:type="dxa"/>
              <w:end w:w="70" w:type="dxa"/>
            </w:tcMar>
            <w:vAlign w:val="top"/>
          </w:tcPr>
          <w:p>
            <w:pPr>
              <w:pStyle w:val="TableSmall"/>
            </w:pPr>
            <w:r>
              <w:rPr>
                <w:sz w:val="12"/>
              </w:rPr>
              <w:t>Large gardens;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gardens/value; verify which body’s ticket you can buy</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Pembroke</w:t>
            </w:r>
          </w:p>
        </w:tc>
        <w:tc>
          <w:tcPr>
            <w:tcW w:type="dxa" w:w="3628"/>
            <w:shd w:fill="F5F7F8"/>
            <w:tcMar>
              <w:top w:w="55" w:type="dxa"/>
              <w:start w:w="70" w:type="dxa"/>
              <w:bottom w:w="55" w:type="dxa"/>
              <w:end w:w="70" w:type="dxa"/>
            </w:tcMar>
            <w:vAlign w:val="top"/>
          </w:tcPr>
          <w:p>
            <w:pPr>
              <w:pStyle w:val="TableSmall"/>
            </w:pPr>
            <w:r>
              <w:rPr>
                <w:sz w:val="12"/>
              </w:rPr>
              <w:t>Major May Ball in cycle</w:t>
            </w:r>
          </w:p>
        </w:tc>
        <w:tc>
          <w:tcPr>
            <w:tcW w:type="dxa" w:w="3515"/>
            <w:shd w:fill="F5F7F8"/>
            <w:tcMar>
              <w:top w:w="55" w:type="dxa"/>
              <w:start w:w="70" w:type="dxa"/>
              <w:bottom w:w="55" w:type="dxa"/>
              <w:end w:w="70" w:type="dxa"/>
            </w:tcMar>
            <w:vAlign w:val="top"/>
          </w:tcPr>
          <w:p>
            <w:pPr>
              <w:pStyle w:val="TableSmall"/>
            </w:pPr>
            <w:r>
              <w:rPr>
                <w:sz w:val="12"/>
              </w:rPr>
              <w:t>Central courts/gardens;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Strong traditional mid-size Ball</w:t>
            </w:r>
          </w:p>
        </w:tc>
      </w:tr>
      <w:tr>
        <w:trPr>
          <w:cantSplit w:val="true"/>
        </w:trPr>
        <w:tc>
          <w:tcPr>
            <w:tcW w:type="dxa" w:w="1701"/>
            <w:tcMar>
              <w:top w:w="55" w:type="dxa"/>
              <w:start w:w="70" w:type="dxa"/>
              <w:bottom w:w="55" w:type="dxa"/>
              <w:end w:w="70" w:type="dxa"/>
            </w:tcMar>
            <w:vAlign w:val="top"/>
          </w:tcPr>
          <w:p>
            <w:pPr>
              <w:pStyle w:val="TableSmall"/>
            </w:pPr>
            <w:r>
              <w:rPr>
                <w:sz w:val="12"/>
              </w:rPr>
              <w:t>Peterhouse</w:t>
            </w:r>
          </w:p>
        </w:tc>
        <w:tc>
          <w:tcPr>
            <w:tcW w:type="dxa" w:w="3628"/>
            <w:tcMar>
              <w:top w:w="55" w:type="dxa"/>
              <w:start w:w="70" w:type="dxa"/>
              <w:bottom w:w="55" w:type="dxa"/>
              <w:end w:w="70" w:type="dxa"/>
            </w:tcMar>
            <w:vAlign w:val="top"/>
          </w:tcPr>
          <w:p>
            <w:pPr>
              <w:pStyle w:val="TableSmall"/>
            </w:pPr>
            <w:r>
              <w:rPr>
                <w:sz w:val="12"/>
              </w:rPr>
              <w:t>Traditional May Ball</w:t>
            </w:r>
          </w:p>
        </w:tc>
        <w:tc>
          <w:tcPr>
            <w:tcW w:type="dxa" w:w="3515"/>
            <w:tcMar>
              <w:top w:w="55" w:type="dxa"/>
              <w:start w:w="70" w:type="dxa"/>
              <w:bottom w:w="55" w:type="dxa"/>
              <w:end w:w="70" w:type="dxa"/>
            </w:tcMar>
            <w:vAlign w:val="top"/>
          </w:tcPr>
          <w:p>
            <w:pPr>
              <w:pStyle w:val="TableSmall"/>
            </w:pPr>
            <w:r>
              <w:rPr>
                <w:sz w:val="12"/>
              </w:rPr>
              <w:t>Small historic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formal intimacy; dress expectations high</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Queens'</w:t>
            </w:r>
          </w:p>
        </w:tc>
        <w:tc>
          <w:tcPr>
            <w:tcW w:type="dxa" w:w="3628"/>
            <w:shd w:fill="F5F7F8"/>
            <w:tcMar>
              <w:top w:w="55" w:type="dxa"/>
              <w:start w:w="70" w:type="dxa"/>
              <w:bottom w:w="55" w:type="dxa"/>
              <w:end w:w="70" w:type="dxa"/>
            </w:tcMar>
            <w:vAlign w:val="top"/>
          </w:tcPr>
          <w:p>
            <w:pPr>
              <w:pStyle w:val="TableSmall"/>
            </w:pPr>
            <w:r>
              <w:rPr>
                <w:sz w:val="12"/>
              </w:rPr>
              <w:t>May Ball in cycle</w:t>
            </w:r>
          </w:p>
        </w:tc>
        <w:tc>
          <w:tcPr>
            <w:tcW w:type="dxa" w:w="3515"/>
            <w:shd w:fill="F5F7F8"/>
            <w:tcMar>
              <w:top w:w="55" w:type="dxa"/>
              <w:start w:w="70" w:type="dxa"/>
              <w:bottom w:w="55" w:type="dxa"/>
              <w:end w:w="70" w:type="dxa"/>
            </w:tcMar>
            <w:vAlign w:val="top"/>
          </w:tcPr>
          <w:p>
            <w:pPr>
              <w:pStyle w:val="TableSmall"/>
            </w:pPr>
            <w:r>
              <w:rPr>
                <w:sz w:val="12"/>
              </w:rPr>
              <w:t>River courts;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river atmosphere; public prices may be limited</w:t>
            </w:r>
          </w:p>
        </w:tc>
      </w:tr>
      <w:tr>
        <w:trPr>
          <w:cantSplit w:val="true"/>
        </w:trPr>
        <w:tc>
          <w:tcPr>
            <w:tcW w:type="dxa" w:w="1701"/>
            <w:tcMar>
              <w:top w:w="55" w:type="dxa"/>
              <w:start w:w="70" w:type="dxa"/>
              <w:bottom w:w="55" w:type="dxa"/>
              <w:end w:w="70" w:type="dxa"/>
            </w:tcMar>
            <w:vAlign w:val="top"/>
          </w:tcPr>
          <w:p>
            <w:pPr>
              <w:pStyle w:val="TableSmall"/>
            </w:pPr>
            <w:r>
              <w:rPr>
                <w:sz w:val="12"/>
              </w:rPr>
              <w:t>Robinson</w:t>
            </w:r>
          </w:p>
        </w:tc>
        <w:tc>
          <w:tcPr>
            <w:tcW w:type="dxa" w:w="3628"/>
            <w:tcMar>
              <w:top w:w="55" w:type="dxa"/>
              <w:start w:w="70" w:type="dxa"/>
              <w:bottom w:w="55" w:type="dxa"/>
              <w:end w:w="70" w:type="dxa"/>
            </w:tcMar>
            <w:vAlign w:val="top"/>
          </w:tcPr>
          <w:p>
            <w:pPr>
              <w:pStyle w:val="TableSmall"/>
            </w:pPr>
            <w:r>
              <w:rPr>
                <w:sz w:val="12"/>
              </w:rPr>
              <w:t>May Ball in some cycles; recent cancellations possible</w:t>
            </w:r>
          </w:p>
        </w:tc>
        <w:tc>
          <w:tcPr>
            <w:tcW w:type="dxa" w:w="3515"/>
            <w:tcMar>
              <w:top w:w="55" w:type="dxa"/>
              <w:start w:w="70" w:type="dxa"/>
              <w:bottom w:w="55" w:type="dxa"/>
              <w:end w:w="70" w:type="dxa"/>
            </w:tcMar>
            <w:vAlign w:val="top"/>
          </w:tcPr>
          <w:p>
            <w:pPr>
              <w:pStyle w:val="TableSmall"/>
            </w:pPr>
            <w:r>
              <w:rPr>
                <w:sz w:val="12"/>
              </w:rPr>
              <w:t>West College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Modern space; confirm event viability before sunk costs</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Selwyn</w:t>
            </w:r>
          </w:p>
        </w:tc>
        <w:tc>
          <w:tcPr>
            <w:tcW w:type="dxa" w:w="3628"/>
            <w:shd w:fill="F5F7F8"/>
            <w:tcMar>
              <w:top w:w="55" w:type="dxa"/>
              <w:start w:w="70" w:type="dxa"/>
              <w:bottom w:w="55" w:type="dxa"/>
              <w:end w:w="70" w:type="dxa"/>
            </w:tcMar>
            <w:vAlign w:val="top"/>
          </w:tcPr>
          <w:p>
            <w:pPr>
              <w:pStyle w:val="TableSmall"/>
            </w:pPr>
            <w:r>
              <w:rPr>
                <w:sz w:val="12"/>
              </w:rPr>
              <w:t>Annual Snowball</w:t>
            </w:r>
          </w:p>
        </w:tc>
        <w:tc>
          <w:tcPr>
            <w:tcW w:type="dxa" w:w="3515"/>
            <w:shd w:fill="F5F7F8"/>
            <w:tcMar>
              <w:top w:w="55" w:type="dxa"/>
              <w:start w:w="70" w:type="dxa"/>
              <w:bottom w:w="55" w:type="dxa"/>
              <w:end w:w="70" w:type="dxa"/>
            </w:tcMar>
            <w:vAlign w:val="top"/>
          </w:tcPr>
          <w:p>
            <w:pPr>
              <w:pStyle w:val="TableSmall"/>
            </w:pPr>
            <w:r>
              <w:rPr>
                <w:sz w:val="12"/>
              </w:rPr>
              <w:t>Selwyn; early December</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Best winter alternative</w:t>
            </w:r>
          </w:p>
        </w:tc>
      </w:tr>
      <w:tr>
        <w:trPr>
          <w:cantSplit w:val="true"/>
        </w:trPr>
        <w:tc>
          <w:tcPr>
            <w:tcW w:type="dxa" w:w="1701"/>
            <w:tcMar>
              <w:top w:w="55" w:type="dxa"/>
              <w:start w:w="70" w:type="dxa"/>
              <w:bottom w:w="55" w:type="dxa"/>
              <w:end w:w="70" w:type="dxa"/>
            </w:tcMar>
            <w:vAlign w:val="top"/>
          </w:tcPr>
          <w:p>
            <w:pPr>
              <w:pStyle w:val="TableSmall"/>
            </w:pPr>
            <w:r>
              <w:rPr>
                <w:sz w:val="12"/>
              </w:rPr>
              <w:t>Sidney Sussex</w:t>
            </w:r>
          </w:p>
        </w:tc>
        <w:tc>
          <w:tcPr>
            <w:tcW w:type="dxa" w:w="3628"/>
            <w:tcMar>
              <w:top w:w="55" w:type="dxa"/>
              <w:start w:w="70" w:type="dxa"/>
              <w:bottom w:w="55" w:type="dxa"/>
              <w:end w:w="70" w:type="dxa"/>
            </w:tcMar>
            <w:vAlign w:val="top"/>
          </w:tcPr>
          <w:p>
            <w:pPr>
              <w:pStyle w:val="TableSmall"/>
            </w:pPr>
            <w:r>
              <w:rPr>
                <w:sz w:val="12"/>
              </w:rPr>
              <w:t>May Week event in some cycles; cancellation risk</w:t>
            </w:r>
          </w:p>
        </w:tc>
        <w:tc>
          <w:tcPr>
            <w:tcW w:type="dxa" w:w="3515"/>
            <w:tcMar>
              <w:top w:w="55" w:type="dxa"/>
              <w:start w:w="70" w:type="dxa"/>
              <w:bottom w:w="55" w:type="dxa"/>
              <w:end w:w="70" w:type="dxa"/>
            </w:tcMar>
            <w:vAlign w:val="top"/>
          </w:tcPr>
          <w:p>
            <w:pPr>
              <w:pStyle w:val="TableSmall"/>
            </w:pPr>
            <w:r>
              <w:rPr>
                <w:sz w:val="12"/>
              </w:rPr>
              <w:t>Central gardens;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Small-community option</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St Catharine's</w:t>
            </w:r>
          </w:p>
        </w:tc>
        <w:tc>
          <w:tcPr>
            <w:tcW w:type="dxa" w:w="3628"/>
            <w:shd w:fill="F5F7F8"/>
            <w:tcMar>
              <w:top w:w="55" w:type="dxa"/>
              <w:start w:w="70" w:type="dxa"/>
              <w:bottom w:w="55" w:type="dxa"/>
              <w:end w:w="70" w:type="dxa"/>
            </w:tcMar>
            <w:vAlign w:val="top"/>
          </w:tcPr>
          <w:p>
            <w:pPr>
              <w:pStyle w:val="TableSmall"/>
            </w:pPr>
            <w:r>
              <w:rPr>
                <w:sz w:val="12"/>
              </w:rPr>
              <w:t>May Ball in cycle</w:t>
            </w:r>
          </w:p>
        </w:tc>
        <w:tc>
          <w:tcPr>
            <w:tcW w:type="dxa" w:w="3515"/>
            <w:shd w:fill="F5F7F8"/>
            <w:tcMar>
              <w:top w:w="55" w:type="dxa"/>
              <w:start w:w="70" w:type="dxa"/>
              <w:bottom w:w="55" w:type="dxa"/>
              <w:end w:w="70" w:type="dxa"/>
            </w:tcMar>
            <w:vAlign w:val="top"/>
          </w:tcPr>
          <w:p>
            <w:pPr>
              <w:pStyle w:val="TableSmall"/>
            </w:pPr>
            <w:r>
              <w:rPr>
                <w:sz w:val="12"/>
              </w:rPr>
              <w:t>Central College;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Full Ball at below top flagship tier</w:t>
            </w:r>
          </w:p>
        </w:tc>
      </w:tr>
      <w:tr>
        <w:trPr>
          <w:cantSplit w:val="true"/>
        </w:trPr>
        <w:tc>
          <w:tcPr>
            <w:tcW w:type="dxa" w:w="1701"/>
            <w:tcMar>
              <w:top w:w="55" w:type="dxa"/>
              <w:start w:w="70" w:type="dxa"/>
              <w:bottom w:w="55" w:type="dxa"/>
              <w:end w:w="70" w:type="dxa"/>
            </w:tcMar>
            <w:vAlign w:val="top"/>
          </w:tcPr>
          <w:p>
            <w:pPr>
              <w:pStyle w:val="TableSmall"/>
            </w:pPr>
            <w:r>
              <w:rPr>
                <w:sz w:val="12"/>
              </w:rPr>
              <w:t>St Edmund's</w:t>
            </w:r>
          </w:p>
        </w:tc>
        <w:tc>
          <w:tcPr>
            <w:tcW w:type="dxa" w:w="3628"/>
            <w:tcMar>
              <w:top w:w="55" w:type="dxa"/>
              <w:start w:w="70" w:type="dxa"/>
              <w:bottom w:w="55" w:type="dxa"/>
              <w:end w:w="70" w:type="dxa"/>
            </w:tcMar>
            <w:vAlign w:val="top"/>
          </w:tcPr>
          <w:p>
            <w:pPr>
              <w:pStyle w:val="TableSmall"/>
            </w:pPr>
            <w:r>
              <w:rPr>
                <w:sz w:val="12"/>
              </w:rPr>
              <w:t>EdFest/community celebration rather than conventional Ball</w:t>
            </w:r>
          </w:p>
        </w:tc>
        <w:tc>
          <w:tcPr>
            <w:tcW w:type="dxa" w:w="3515"/>
            <w:tcMar>
              <w:top w:w="55" w:type="dxa"/>
              <w:start w:w="70" w:type="dxa"/>
              <w:bottom w:w="55" w:type="dxa"/>
              <w:end w:w="70" w:type="dxa"/>
            </w:tcMar>
            <w:vAlign w:val="top"/>
          </w:tcPr>
          <w:p>
            <w:pPr>
              <w:pStyle w:val="TableSmall"/>
            </w:pPr>
            <w:r>
              <w:rPr>
                <w:sz w:val="12"/>
              </w:rPr>
              <w:t>College grounds; late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Best mature-community value</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St John's</w:t>
            </w:r>
          </w:p>
        </w:tc>
        <w:tc>
          <w:tcPr>
            <w:tcW w:type="dxa" w:w="3628"/>
            <w:shd w:fill="F5F7F8"/>
            <w:tcMar>
              <w:top w:w="55" w:type="dxa"/>
              <w:start w:w="70" w:type="dxa"/>
              <w:bottom w:w="55" w:type="dxa"/>
              <w:end w:w="70" w:type="dxa"/>
            </w:tcMar>
            <w:vAlign w:val="top"/>
          </w:tcPr>
          <w:p>
            <w:pPr>
              <w:pStyle w:val="TableSmall"/>
            </w:pPr>
            <w:r>
              <w:rPr>
                <w:sz w:val="12"/>
              </w:rPr>
              <w:t>Annual flagship May Ball</w:t>
            </w:r>
          </w:p>
        </w:tc>
        <w:tc>
          <w:tcPr>
            <w:tcW w:type="dxa" w:w="3515"/>
            <w:shd w:fill="F5F7F8"/>
            <w:tcMar>
              <w:top w:w="55" w:type="dxa"/>
              <w:start w:w="70" w:type="dxa"/>
              <w:bottom w:w="55" w:type="dxa"/>
              <w:end w:w="70" w:type="dxa"/>
            </w:tcMar>
            <w:vAlign w:val="top"/>
          </w:tcPr>
          <w:p>
            <w:pPr>
              <w:pStyle w:val="TableSmall"/>
            </w:pPr>
            <w:r>
              <w:rPr>
                <w:sz w:val="12"/>
              </w:rPr>
              <w:t>Extensive grounds;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Top spectacle/entertainment; premium and stamina-heavy</w:t>
            </w:r>
          </w:p>
        </w:tc>
      </w:tr>
      <w:tr>
        <w:trPr>
          <w:cantSplit w:val="true"/>
        </w:trPr>
        <w:tc>
          <w:tcPr>
            <w:tcW w:type="dxa" w:w="1701"/>
            <w:tcMar>
              <w:top w:w="55" w:type="dxa"/>
              <w:start w:w="70" w:type="dxa"/>
              <w:bottom w:w="55" w:type="dxa"/>
              <w:end w:w="70" w:type="dxa"/>
            </w:tcMar>
            <w:vAlign w:val="top"/>
          </w:tcPr>
          <w:p>
            <w:pPr>
              <w:pStyle w:val="TableSmall"/>
            </w:pPr>
            <w:r>
              <w:rPr>
                <w:sz w:val="12"/>
              </w:rPr>
              <w:t>Trinity</w:t>
            </w:r>
          </w:p>
        </w:tc>
        <w:tc>
          <w:tcPr>
            <w:tcW w:type="dxa" w:w="3628"/>
            <w:tcMar>
              <w:top w:w="55" w:type="dxa"/>
              <w:start w:w="70" w:type="dxa"/>
              <w:bottom w:w="55" w:type="dxa"/>
              <w:end w:w="70" w:type="dxa"/>
            </w:tcMar>
            <w:vAlign w:val="top"/>
          </w:tcPr>
          <w:p>
            <w:pPr>
              <w:pStyle w:val="TableSmall"/>
            </w:pPr>
            <w:r>
              <w:rPr>
                <w:sz w:val="12"/>
              </w:rPr>
              <w:t>Annual flagship May Ball</w:t>
            </w:r>
          </w:p>
        </w:tc>
        <w:tc>
          <w:tcPr>
            <w:tcW w:type="dxa" w:w="3515"/>
            <w:tcMar>
              <w:top w:w="55" w:type="dxa"/>
              <w:start w:w="70" w:type="dxa"/>
              <w:bottom w:w="55" w:type="dxa"/>
              <w:end w:w="70" w:type="dxa"/>
            </w:tcMar>
            <w:vAlign w:val="top"/>
          </w:tcPr>
          <w:p>
            <w:pPr>
              <w:pStyle w:val="TableSmall"/>
            </w:pPr>
            <w:r>
              <w:rPr>
                <w:sz w:val="12"/>
              </w:rPr>
              <w:t>Great Court and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Top spectacle/food scale; complex ticket categories</w:t>
            </w:r>
          </w:p>
        </w:tc>
      </w:tr>
      <w:tr>
        <w:trPr>
          <w:cantSplit w:val="true"/>
        </w:trPr>
        <w:tc>
          <w:tcPr>
            <w:tcW w:type="dxa" w:w="1701"/>
            <w:shd w:fill="F5F7F8"/>
            <w:tcMar>
              <w:top w:w="55" w:type="dxa"/>
              <w:start w:w="70" w:type="dxa"/>
              <w:bottom w:w="55" w:type="dxa"/>
              <w:end w:w="70" w:type="dxa"/>
            </w:tcMar>
            <w:vAlign w:val="top"/>
          </w:tcPr>
          <w:p>
            <w:pPr>
              <w:pStyle w:val="TableSmall"/>
            </w:pPr>
            <w:r>
              <w:rPr>
                <w:sz w:val="12"/>
              </w:rPr>
              <w:t>Trinity Hall</w:t>
            </w:r>
          </w:p>
        </w:tc>
        <w:tc>
          <w:tcPr>
            <w:tcW w:type="dxa" w:w="3628"/>
            <w:shd w:fill="F5F7F8"/>
            <w:tcMar>
              <w:top w:w="55" w:type="dxa"/>
              <w:start w:w="70" w:type="dxa"/>
              <w:bottom w:w="55" w:type="dxa"/>
              <w:end w:w="70" w:type="dxa"/>
            </w:tcMar>
            <w:vAlign w:val="top"/>
          </w:tcPr>
          <w:p>
            <w:pPr>
              <w:pStyle w:val="TableSmall"/>
            </w:pPr>
            <w:r>
              <w:rPr>
                <w:sz w:val="12"/>
              </w:rPr>
              <w:t>June Event</w:t>
            </w:r>
          </w:p>
        </w:tc>
        <w:tc>
          <w:tcPr>
            <w:tcW w:type="dxa" w:w="3515"/>
            <w:shd w:fill="F5F7F8"/>
            <w:tcMar>
              <w:top w:w="55" w:type="dxa"/>
              <w:start w:w="70" w:type="dxa"/>
              <w:bottom w:w="55" w:type="dxa"/>
              <w:end w:w="70" w:type="dxa"/>
            </w:tcMar>
            <w:vAlign w:val="top"/>
          </w:tcPr>
          <w:p>
            <w:pPr>
              <w:pStyle w:val="TableSmall"/>
            </w:pPr>
            <w:r>
              <w:rPr>
                <w:sz w:val="12"/>
              </w:rPr>
              <w:t>River College; June</w:t>
            </w:r>
          </w:p>
        </w:tc>
        <w:tc>
          <w:tcPr>
            <w:tcW w:type="dxa" w:w="1360"/>
            <w:shd w:fill="F5F7F8"/>
            <w:tcMar>
              <w:top w:w="55" w:type="dxa"/>
              <w:start w:w="70" w:type="dxa"/>
              <w:bottom w:w="55" w:type="dxa"/>
              <w:end w:w="70" w:type="dxa"/>
            </w:tcMar>
            <w:vAlign w:val="top"/>
          </w:tcPr>
          <w:p>
            <w:pPr>
              <w:pStyle w:val="TableSmall"/>
            </w:pPr>
            <w:r>
              <w:rPr>
                <w:sz w:val="12"/>
              </w:rPr>
              <w:t>££</w:t>
            </w:r>
          </w:p>
        </w:tc>
        <w:tc>
          <w:tcPr>
            <w:tcW w:type="dxa" w:w="4649"/>
            <w:shd w:fill="F5F7F8"/>
            <w:tcMar>
              <w:top w:w="55" w:type="dxa"/>
              <w:start w:w="70" w:type="dxa"/>
              <w:bottom w:w="55" w:type="dxa"/>
              <w:end w:w="70" w:type="dxa"/>
            </w:tcMar>
            <w:vAlign w:val="top"/>
          </w:tcPr>
          <w:p>
            <w:pPr>
              <w:pStyle w:val="TableSmall"/>
            </w:pPr>
            <w:r>
              <w:rPr>
                <w:sz w:val="12"/>
              </w:rPr>
              <w:t>Mid-price river event</w:t>
            </w:r>
          </w:p>
        </w:tc>
      </w:tr>
      <w:tr>
        <w:trPr>
          <w:cantSplit w:val="true"/>
        </w:trPr>
        <w:tc>
          <w:tcPr>
            <w:tcW w:type="dxa" w:w="1701"/>
            <w:tcMar>
              <w:top w:w="55" w:type="dxa"/>
              <w:start w:w="70" w:type="dxa"/>
              <w:bottom w:w="55" w:type="dxa"/>
              <w:end w:w="70" w:type="dxa"/>
            </w:tcMar>
            <w:vAlign w:val="top"/>
          </w:tcPr>
          <w:p>
            <w:pPr>
              <w:pStyle w:val="TableSmall"/>
            </w:pPr>
            <w:r>
              <w:rPr>
                <w:sz w:val="12"/>
              </w:rPr>
              <w:t>Wolfson</w:t>
            </w:r>
          </w:p>
        </w:tc>
        <w:tc>
          <w:tcPr>
            <w:tcW w:type="dxa" w:w="3628"/>
            <w:tcMar>
              <w:top w:w="55" w:type="dxa"/>
              <w:start w:w="70" w:type="dxa"/>
              <w:bottom w:w="55" w:type="dxa"/>
              <w:end w:w="70" w:type="dxa"/>
            </w:tcMar>
            <w:vAlign w:val="top"/>
          </w:tcPr>
          <w:p>
            <w:pPr>
              <w:pStyle w:val="TableSmall"/>
            </w:pPr>
            <w:r>
              <w:rPr>
                <w:sz w:val="12"/>
              </w:rPr>
              <w:t>June Event/May Ball depending year</w:t>
            </w:r>
          </w:p>
        </w:tc>
        <w:tc>
          <w:tcPr>
            <w:tcW w:type="dxa" w:w="3515"/>
            <w:tcMar>
              <w:top w:w="55" w:type="dxa"/>
              <w:start w:w="70" w:type="dxa"/>
              <w:bottom w:w="55" w:type="dxa"/>
              <w:end w:w="70" w:type="dxa"/>
            </w:tcMar>
            <w:vAlign w:val="top"/>
          </w:tcPr>
          <w:p>
            <w:pPr>
              <w:pStyle w:val="TableSmall"/>
            </w:pPr>
            <w:r>
              <w:rPr>
                <w:sz w:val="12"/>
              </w:rPr>
              <w:t>West College grounds; June</w:t>
            </w:r>
          </w:p>
        </w:tc>
        <w:tc>
          <w:tcPr>
            <w:tcW w:type="dxa" w:w="1360"/>
            <w:tcMar>
              <w:top w:w="55" w:type="dxa"/>
              <w:start w:w="70" w:type="dxa"/>
              <w:bottom w:w="55" w:type="dxa"/>
              <w:end w:w="70" w:type="dxa"/>
            </w:tcMar>
            <w:vAlign w:val="top"/>
          </w:tcPr>
          <w:p>
            <w:pPr>
              <w:pStyle w:val="TableSmall"/>
            </w:pPr>
            <w:r>
              <w:rPr>
                <w:sz w:val="12"/>
              </w:rPr>
              <w:t>£–££</w:t>
            </w:r>
          </w:p>
        </w:tc>
        <w:tc>
          <w:tcPr>
            <w:tcW w:type="dxa" w:w="4649"/>
            <w:tcMar>
              <w:top w:w="55" w:type="dxa"/>
              <w:start w:w="70" w:type="dxa"/>
              <w:bottom w:w="55" w:type="dxa"/>
              <w:end w:w="70" w:type="dxa"/>
            </w:tcMar>
            <w:vAlign w:val="top"/>
          </w:tcPr>
          <w:p>
            <w:pPr>
              <w:pStyle w:val="TableSmall"/>
            </w:pPr>
            <w:r>
              <w:rPr>
                <w:sz w:val="12"/>
              </w:rPr>
              <w:t>Mixed-age and international fit; verify cycle</w:t>
            </w:r>
          </w:p>
        </w:tc>
      </w:tr>
    </w:tbl>
    <w:p>
      <w:pPr>
        <w:spacing w:after="20"/>
      </w:pPr>
    </w:p>
    <w:p>
      <w:pPr>
        <w:pStyle w:val="Source"/>
      </w:pPr>
      <w:r>
        <w:rPr>
          <w:b/>
        </w:rPr>
        <w:t xml:space="preserve">Sources and status: </w:t>
      </w:r>
      <w:r>
        <w:t>Patterns are a planning synthesis from recent event archives [E01] [E02], not promises that a College will run an event in 2027. £ under about £80; ££ about £80–£150; £££ about £150–£230; ££££ above about £230 per person. Guest, dining and transfer charges can change the band.</w:t>
      </w:r>
    </w:p>
    <w:p>
      <w:pPr>
        <w:pStyle w:val="Heading2"/>
        <w:keepNext/>
      </w:pPr>
      <w:r>
        <w:t>Ranking guide: choose by fit, not fame</w:t>
      </w:r>
    </w:p>
    <w:tbl>
      <w:tblPr>
        <w:tblW w:type="dxa" w:w="14571"/>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268"/>
        <w:gridCol w:w="3005"/>
        <w:gridCol w:w="4706"/>
        <w:gridCol w:w="4592"/>
      </w:tblGrid>
      <w:tr>
        <w:trPr>
          <w:tblHeader w:val="true"/>
          <w:cantSplit w:val="true"/>
        </w:trPr>
        <w:tc>
          <w:tcPr>
            <w:tcW w:type="dxa" w:w="2268"/>
            <w:shd w:fill="17324D"/>
            <w:tcMar>
              <w:top w:w="70" w:type="dxa"/>
              <w:start w:w="80" w:type="dxa"/>
              <w:bottom w:w="70" w:type="dxa"/>
              <w:end w:w="80" w:type="dxa"/>
            </w:tcMar>
            <w:vAlign w:val="center"/>
          </w:tcPr>
          <w:p>
            <w:pPr>
              <w:pStyle w:val="TableSmall"/>
              <w:jc w:val="left"/>
            </w:pPr>
            <w:r>
              <w:rPr>
                <w:b/>
                <w:color w:val="FFFFFF"/>
                <w:sz w:val="13"/>
              </w:rPr>
              <w:t>Category</w:t>
            </w:r>
          </w:p>
        </w:tc>
        <w:tc>
          <w:tcPr>
            <w:tcW w:type="dxa" w:w="3005"/>
            <w:shd w:fill="17324D"/>
            <w:tcMar>
              <w:top w:w="70" w:type="dxa"/>
              <w:start w:w="80" w:type="dxa"/>
              <w:bottom w:w="70" w:type="dxa"/>
              <w:end w:w="80" w:type="dxa"/>
            </w:tcMar>
            <w:vAlign w:val="center"/>
          </w:tcPr>
          <w:p>
            <w:pPr>
              <w:pStyle w:val="TableSmall"/>
              <w:jc w:val="left"/>
            </w:pPr>
            <w:r>
              <w:rPr>
                <w:b/>
                <w:color w:val="FFFFFF"/>
                <w:sz w:val="13"/>
              </w:rPr>
              <w:t>Top guide choices</w:t>
            </w:r>
          </w:p>
        </w:tc>
        <w:tc>
          <w:tcPr>
            <w:tcW w:type="dxa" w:w="4706"/>
            <w:shd w:fill="17324D"/>
            <w:tcMar>
              <w:top w:w="70" w:type="dxa"/>
              <w:start w:w="80" w:type="dxa"/>
              <w:bottom w:w="70" w:type="dxa"/>
              <w:end w:w="80" w:type="dxa"/>
            </w:tcMar>
            <w:vAlign w:val="center"/>
          </w:tcPr>
          <w:p>
            <w:pPr>
              <w:pStyle w:val="TableSmall"/>
              <w:jc w:val="left"/>
            </w:pPr>
            <w:r>
              <w:rPr>
                <w:b/>
                <w:color w:val="FFFFFF"/>
                <w:sz w:val="13"/>
              </w:rPr>
              <w:t>Why</w:t>
            </w:r>
          </w:p>
        </w:tc>
        <w:tc>
          <w:tcPr>
            <w:tcW w:type="dxa" w:w="4592"/>
            <w:shd w:fill="17324D"/>
            <w:tcMar>
              <w:top w:w="70" w:type="dxa"/>
              <w:start w:w="80" w:type="dxa"/>
              <w:bottom w:w="70" w:type="dxa"/>
              <w:end w:w="80" w:type="dxa"/>
            </w:tcMar>
            <w:vAlign w:val="center"/>
          </w:tcPr>
          <w:p>
            <w:pPr>
              <w:pStyle w:val="TableSmall"/>
              <w:jc w:val="left"/>
            </w:pPr>
            <w:r>
              <w:rPr>
                <w:b/>
                <w:color w:val="FFFFFF"/>
                <w:sz w:val="13"/>
              </w:rPr>
              <w:t>Mature-student caveat</w:t>
            </w:r>
          </w:p>
        </w:tc>
      </w:tr>
      <w:tr>
        <w:trPr>
          <w:cantSplit w:val="true"/>
        </w:trPr>
        <w:tc>
          <w:tcPr>
            <w:tcW w:type="dxa" w:w="2268"/>
            <w:tcMar>
              <w:top w:w="55" w:type="dxa"/>
              <w:start w:w="70" w:type="dxa"/>
              <w:bottom w:w="55" w:type="dxa"/>
              <w:end w:w="70" w:type="dxa"/>
            </w:tcMar>
            <w:vAlign w:val="top"/>
          </w:tcPr>
          <w:p>
            <w:pPr>
              <w:pStyle w:val="TableSmall"/>
            </w:pPr>
            <w:r>
              <w:rPr>
                <w:sz w:val="13"/>
              </w:rPr>
              <w:t>Maximum spectacle</w:t>
            </w:r>
          </w:p>
        </w:tc>
        <w:tc>
          <w:tcPr>
            <w:tcW w:type="dxa" w:w="3005"/>
            <w:tcMar>
              <w:top w:w="55" w:type="dxa"/>
              <w:start w:w="70" w:type="dxa"/>
              <w:bottom w:w="55" w:type="dxa"/>
              <w:end w:w="70" w:type="dxa"/>
            </w:tcMar>
            <w:vAlign w:val="top"/>
          </w:tcPr>
          <w:p>
            <w:pPr>
              <w:pStyle w:val="TableSmall"/>
            </w:pPr>
            <w:r>
              <w:rPr>
                <w:sz w:val="13"/>
              </w:rPr>
              <w:t>Trinity; St John’s</w:t>
            </w:r>
          </w:p>
        </w:tc>
        <w:tc>
          <w:tcPr>
            <w:tcW w:type="dxa" w:w="4706"/>
            <w:tcMar>
              <w:top w:w="55" w:type="dxa"/>
              <w:start w:w="70" w:type="dxa"/>
              <w:bottom w:w="55" w:type="dxa"/>
              <w:end w:w="70" w:type="dxa"/>
            </w:tcMar>
            <w:vAlign w:val="top"/>
          </w:tcPr>
          <w:p>
            <w:pPr>
              <w:pStyle w:val="TableSmall"/>
            </w:pPr>
            <w:r>
              <w:rPr>
                <w:sz w:val="13"/>
              </w:rPr>
              <w:t>Scale, entertainment, setting and all-night production.</w:t>
            </w:r>
          </w:p>
        </w:tc>
        <w:tc>
          <w:tcPr>
            <w:tcW w:type="dxa" w:w="4592"/>
            <w:tcMar>
              <w:top w:w="55" w:type="dxa"/>
              <w:start w:w="70" w:type="dxa"/>
              <w:bottom w:w="55" w:type="dxa"/>
              <w:end w:w="70" w:type="dxa"/>
            </w:tcMar>
            <w:vAlign w:val="top"/>
          </w:tcPr>
          <w:p>
            <w:pPr>
              <w:pStyle w:val="TableSmall"/>
            </w:pPr>
            <w:r>
              <w:rPr>
                <w:sz w:val="13"/>
              </w:rPr>
              <w:t>Highest total cost, queues, sensory load and recovery time.</w:t>
            </w:r>
          </w:p>
        </w:tc>
      </w:tr>
      <w:tr>
        <w:trPr>
          <w:cantSplit w:val="true"/>
        </w:trPr>
        <w:tc>
          <w:tcPr>
            <w:tcW w:type="dxa" w:w="2268"/>
            <w:shd w:fill="F5F7F8"/>
            <w:tcMar>
              <w:top w:w="55" w:type="dxa"/>
              <w:start w:w="70" w:type="dxa"/>
              <w:bottom w:w="55" w:type="dxa"/>
              <w:end w:w="70" w:type="dxa"/>
            </w:tcMar>
            <w:vAlign w:val="top"/>
          </w:tcPr>
          <w:p>
            <w:pPr>
              <w:pStyle w:val="TableSmall"/>
            </w:pPr>
            <w:r>
              <w:rPr>
                <w:sz w:val="13"/>
              </w:rPr>
              <w:t>Music/party</w:t>
            </w:r>
          </w:p>
        </w:tc>
        <w:tc>
          <w:tcPr>
            <w:tcW w:type="dxa" w:w="3005"/>
            <w:shd w:fill="F5F7F8"/>
            <w:tcMar>
              <w:top w:w="55" w:type="dxa"/>
              <w:start w:w="70" w:type="dxa"/>
              <w:bottom w:w="55" w:type="dxa"/>
              <w:end w:w="70" w:type="dxa"/>
            </w:tcMar>
            <w:vAlign w:val="top"/>
          </w:tcPr>
          <w:p>
            <w:pPr>
              <w:pStyle w:val="TableSmall"/>
            </w:pPr>
            <w:r>
              <w:rPr>
                <w:sz w:val="13"/>
              </w:rPr>
              <w:t>Jesus; St John’s; King’s Affair</w:t>
            </w:r>
          </w:p>
        </w:tc>
        <w:tc>
          <w:tcPr>
            <w:tcW w:type="dxa" w:w="4706"/>
            <w:shd w:fill="F5F7F8"/>
            <w:tcMar>
              <w:top w:w="55" w:type="dxa"/>
              <w:start w:w="70" w:type="dxa"/>
              <w:bottom w:w="55" w:type="dxa"/>
              <w:end w:w="70" w:type="dxa"/>
            </w:tcMar>
            <w:vAlign w:val="top"/>
          </w:tcPr>
          <w:p>
            <w:pPr>
              <w:pStyle w:val="TableSmall"/>
            </w:pPr>
            <w:r>
              <w:rPr>
                <w:sz w:val="13"/>
              </w:rPr>
              <w:t>Multiple stages or festival identity.</w:t>
            </w:r>
          </w:p>
        </w:tc>
        <w:tc>
          <w:tcPr>
            <w:tcW w:type="dxa" w:w="4592"/>
            <w:shd w:fill="F5F7F8"/>
            <w:tcMar>
              <w:top w:w="55" w:type="dxa"/>
              <w:start w:w="70" w:type="dxa"/>
              <w:bottom w:w="55" w:type="dxa"/>
              <w:end w:w="70" w:type="dxa"/>
            </w:tcMar>
            <w:vAlign w:val="top"/>
          </w:tcPr>
          <w:p>
            <w:pPr>
              <w:pStyle w:val="TableSmall"/>
            </w:pPr>
            <w:r>
              <w:rPr>
                <w:sz w:val="13"/>
              </w:rPr>
              <w:t>Little value if you dislike crowds or late-night music.</w:t>
            </w:r>
          </w:p>
        </w:tc>
      </w:tr>
      <w:tr>
        <w:trPr>
          <w:cantSplit w:val="true"/>
        </w:trPr>
        <w:tc>
          <w:tcPr>
            <w:tcW w:type="dxa" w:w="2268"/>
            <w:tcMar>
              <w:top w:w="55" w:type="dxa"/>
              <w:start w:w="70" w:type="dxa"/>
              <w:bottom w:w="55" w:type="dxa"/>
              <w:end w:w="70" w:type="dxa"/>
            </w:tcMar>
            <w:vAlign w:val="top"/>
          </w:tcPr>
          <w:p>
            <w:pPr>
              <w:pStyle w:val="TableSmall"/>
            </w:pPr>
            <w:r>
              <w:rPr>
                <w:sz w:val="13"/>
              </w:rPr>
              <w:t>Historic intimacy</w:t>
            </w:r>
          </w:p>
        </w:tc>
        <w:tc>
          <w:tcPr>
            <w:tcW w:type="dxa" w:w="3005"/>
            <w:tcMar>
              <w:top w:w="55" w:type="dxa"/>
              <w:start w:w="70" w:type="dxa"/>
              <w:bottom w:w="55" w:type="dxa"/>
              <w:end w:w="70" w:type="dxa"/>
            </w:tcMar>
            <w:vAlign w:val="top"/>
          </w:tcPr>
          <w:p>
            <w:pPr>
              <w:pStyle w:val="TableSmall"/>
            </w:pPr>
            <w:r>
              <w:rPr>
                <w:sz w:val="13"/>
              </w:rPr>
              <w:t>Magdalene; Peterhouse; Pembroke</w:t>
            </w:r>
          </w:p>
        </w:tc>
        <w:tc>
          <w:tcPr>
            <w:tcW w:type="dxa" w:w="4706"/>
            <w:tcMar>
              <w:top w:w="55" w:type="dxa"/>
              <w:start w:w="70" w:type="dxa"/>
              <w:bottom w:w="55" w:type="dxa"/>
              <w:end w:w="70" w:type="dxa"/>
            </w:tcMar>
            <w:vAlign w:val="top"/>
          </w:tcPr>
          <w:p>
            <w:pPr>
              <w:pStyle w:val="TableSmall"/>
            </w:pPr>
            <w:r>
              <w:rPr>
                <w:sz w:val="13"/>
              </w:rPr>
              <w:t>Smaller old courts and formal atmosphere.</w:t>
            </w:r>
          </w:p>
        </w:tc>
        <w:tc>
          <w:tcPr>
            <w:tcW w:type="dxa" w:w="4592"/>
            <w:tcMar>
              <w:top w:w="55" w:type="dxa"/>
              <w:start w:w="70" w:type="dxa"/>
              <w:bottom w:w="55" w:type="dxa"/>
              <w:end w:w="70" w:type="dxa"/>
            </w:tcMar>
            <w:vAlign w:val="top"/>
          </w:tcPr>
          <w:p>
            <w:pPr>
              <w:pStyle w:val="TableSmall"/>
            </w:pPr>
            <w:r>
              <w:rPr>
                <w:sz w:val="13"/>
              </w:rPr>
              <w:t>Stricter dress/access and fewer quiet escape spaces.</w:t>
            </w:r>
          </w:p>
        </w:tc>
      </w:tr>
      <w:tr>
        <w:trPr>
          <w:cantSplit w:val="true"/>
        </w:trPr>
        <w:tc>
          <w:tcPr>
            <w:tcW w:type="dxa" w:w="2268"/>
            <w:shd w:fill="F5F7F8"/>
            <w:tcMar>
              <w:top w:w="55" w:type="dxa"/>
              <w:start w:w="70" w:type="dxa"/>
              <w:bottom w:w="55" w:type="dxa"/>
              <w:end w:w="70" w:type="dxa"/>
            </w:tcMar>
            <w:vAlign w:val="top"/>
          </w:tcPr>
          <w:p>
            <w:pPr>
              <w:pStyle w:val="TableSmall"/>
            </w:pPr>
            <w:r>
              <w:rPr>
                <w:sz w:val="13"/>
              </w:rPr>
              <w:t>River/gardens</w:t>
            </w:r>
          </w:p>
        </w:tc>
        <w:tc>
          <w:tcPr>
            <w:tcW w:type="dxa" w:w="3005"/>
            <w:shd w:fill="F5F7F8"/>
            <w:tcMar>
              <w:top w:w="55" w:type="dxa"/>
              <w:start w:w="70" w:type="dxa"/>
              <w:bottom w:w="55" w:type="dxa"/>
              <w:end w:w="70" w:type="dxa"/>
            </w:tcMar>
            <w:vAlign w:val="top"/>
          </w:tcPr>
          <w:p>
            <w:pPr>
              <w:pStyle w:val="TableSmall"/>
            </w:pPr>
            <w:r>
              <w:rPr>
                <w:sz w:val="13"/>
              </w:rPr>
              <w:t>Clare when running; Trinity Hall; Newnham</w:t>
            </w:r>
          </w:p>
        </w:tc>
        <w:tc>
          <w:tcPr>
            <w:tcW w:type="dxa" w:w="4706"/>
            <w:shd w:fill="F5F7F8"/>
            <w:tcMar>
              <w:top w:w="55" w:type="dxa"/>
              <w:start w:w="70" w:type="dxa"/>
              <w:bottom w:w="55" w:type="dxa"/>
              <w:end w:w="70" w:type="dxa"/>
            </w:tcMar>
            <w:vAlign w:val="top"/>
          </w:tcPr>
          <w:p>
            <w:pPr>
              <w:pStyle w:val="TableSmall"/>
            </w:pPr>
            <w:r>
              <w:rPr>
                <w:sz w:val="13"/>
              </w:rPr>
              <w:t>Landscape is part of the event.</w:t>
            </w:r>
          </w:p>
        </w:tc>
        <w:tc>
          <w:tcPr>
            <w:tcW w:type="dxa" w:w="4592"/>
            <w:shd w:fill="F5F7F8"/>
            <w:tcMar>
              <w:top w:w="55" w:type="dxa"/>
              <w:start w:w="70" w:type="dxa"/>
              <w:bottom w:w="55" w:type="dxa"/>
              <w:end w:w="70" w:type="dxa"/>
            </w:tcMar>
            <w:vAlign w:val="top"/>
          </w:tcPr>
          <w:p>
            <w:pPr>
              <w:pStyle w:val="TableSmall"/>
            </w:pPr>
            <w:r>
              <w:rPr>
                <w:sz w:val="13"/>
              </w:rPr>
              <w:t>Weather, grass, bridges and step-free routes.</w:t>
            </w:r>
          </w:p>
        </w:tc>
      </w:tr>
      <w:tr>
        <w:trPr>
          <w:cantSplit w:val="true"/>
        </w:trPr>
        <w:tc>
          <w:tcPr>
            <w:tcW w:type="dxa" w:w="2268"/>
            <w:tcMar>
              <w:top w:w="55" w:type="dxa"/>
              <w:start w:w="70" w:type="dxa"/>
              <w:bottom w:w="55" w:type="dxa"/>
              <w:end w:w="70" w:type="dxa"/>
            </w:tcMar>
            <w:vAlign w:val="top"/>
          </w:tcPr>
          <w:p>
            <w:pPr>
              <w:pStyle w:val="TableSmall"/>
            </w:pPr>
            <w:r>
              <w:rPr>
                <w:sz w:val="13"/>
              </w:rPr>
              <w:t>Value</w:t>
            </w:r>
          </w:p>
        </w:tc>
        <w:tc>
          <w:tcPr>
            <w:tcW w:type="dxa" w:w="3005"/>
            <w:tcMar>
              <w:top w:w="55" w:type="dxa"/>
              <w:start w:w="70" w:type="dxa"/>
              <w:bottom w:w="55" w:type="dxa"/>
              <w:end w:w="70" w:type="dxa"/>
            </w:tcMar>
            <w:vAlign w:val="top"/>
          </w:tcPr>
          <w:p>
            <w:pPr>
              <w:pStyle w:val="TableSmall"/>
            </w:pPr>
            <w:r>
              <w:rPr>
                <w:sz w:val="13"/>
              </w:rPr>
              <w:t>Churchill; Hughes Hall; Lucy Cavendish; Murray Edwards; EdFest</w:t>
            </w:r>
          </w:p>
        </w:tc>
        <w:tc>
          <w:tcPr>
            <w:tcW w:type="dxa" w:w="4706"/>
            <w:tcMar>
              <w:top w:w="55" w:type="dxa"/>
              <w:start w:w="70" w:type="dxa"/>
              <w:bottom w:w="55" w:type="dxa"/>
              <w:end w:w="70" w:type="dxa"/>
            </w:tcMar>
            <w:vAlign w:val="top"/>
          </w:tcPr>
          <w:p>
            <w:pPr>
              <w:pStyle w:val="TableSmall"/>
            </w:pPr>
            <w:r>
              <w:rPr>
                <w:sz w:val="13"/>
              </w:rPr>
              <w:t>Lower ticket price and less status theatre.</w:t>
            </w:r>
          </w:p>
        </w:tc>
        <w:tc>
          <w:tcPr>
            <w:tcW w:type="dxa" w:w="4592"/>
            <w:tcMar>
              <w:top w:w="55" w:type="dxa"/>
              <w:start w:w="70" w:type="dxa"/>
              <w:bottom w:w="55" w:type="dxa"/>
              <w:end w:w="70" w:type="dxa"/>
            </w:tcMar>
            <w:vAlign w:val="top"/>
          </w:tcPr>
          <w:p>
            <w:pPr>
              <w:pStyle w:val="TableSmall"/>
            </w:pPr>
            <w:r>
              <w:rPr>
                <w:sz w:val="13"/>
              </w:rPr>
              <w:t>Food/entertainment scale may be smaller; check finish time.</w:t>
            </w:r>
          </w:p>
        </w:tc>
      </w:tr>
      <w:tr>
        <w:trPr>
          <w:cantSplit w:val="true"/>
        </w:trPr>
        <w:tc>
          <w:tcPr>
            <w:tcW w:type="dxa" w:w="2268"/>
            <w:shd w:fill="F5F7F8"/>
            <w:tcMar>
              <w:top w:w="55" w:type="dxa"/>
              <w:start w:w="70" w:type="dxa"/>
              <w:bottom w:w="55" w:type="dxa"/>
              <w:end w:w="70" w:type="dxa"/>
            </w:tcMar>
            <w:vAlign w:val="top"/>
          </w:tcPr>
          <w:p>
            <w:pPr>
              <w:pStyle w:val="TableSmall"/>
            </w:pPr>
            <w:r>
              <w:rPr>
                <w:sz w:val="13"/>
              </w:rPr>
              <w:t>Older/mixed crowd</w:t>
            </w:r>
          </w:p>
        </w:tc>
        <w:tc>
          <w:tcPr>
            <w:tcW w:type="dxa" w:w="3005"/>
            <w:shd w:fill="F5F7F8"/>
            <w:tcMar>
              <w:top w:w="55" w:type="dxa"/>
              <w:start w:w="70" w:type="dxa"/>
              <w:bottom w:w="55" w:type="dxa"/>
              <w:end w:w="70" w:type="dxa"/>
            </w:tcMar>
            <w:vAlign w:val="top"/>
          </w:tcPr>
          <w:p>
            <w:pPr>
              <w:pStyle w:val="TableSmall"/>
            </w:pPr>
            <w:r>
              <w:rPr>
                <w:sz w:val="13"/>
              </w:rPr>
              <w:t>Hughes Hall; St Edmund’s; Wolfson</w:t>
            </w:r>
          </w:p>
        </w:tc>
        <w:tc>
          <w:tcPr>
            <w:tcW w:type="dxa" w:w="4706"/>
            <w:shd w:fill="F5F7F8"/>
            <w:tcMar>
              <w:top w:w="55" w:type="dxa"/>
              <w:start w:w="70" w:type="dxa"/>
              <w:bottom w:w="55" w:type="dxa"/>
              <w:end w:w="70" w:type="dxa"/>
            </w:tcMar>
            <w:vAlign w:val="top"/>
          </w:tcPr>
          <w:p>
            <w:pPr>
              <w:pStyle w:val="TableSmall"/>
            </w:pPr>
            <w:r>
              <w:rPr>
                <w:sz w:val="13"/>
              </w:rPr>
              <w:t>Mature/postgraduate communities reduce age conspicuousness.</w:t>
            </w:r>
          </w:p>
        </w:tc>
        <w:tc>
          <w:tcPr>
            <w:tcW w:type="dxa" w:w="4592"/>
            <w:shd w:fill="F5F7F8"/>
            <w:tcMar>
              <w:top w:w="55" w:type="dxa"/>
              <w:start w:w="70" w:type="dxa"/>
              <w:bottom w:w="55" w:type="dxa"/>
              <w:end w:w="70" w:type="dxa"/>
            </w:tcMar>
            <w:vAlign w:val="top"/>
          </w:tcPr>
          <w:p>
            <w:pPr>
              <w:pStyle w:val="TableSmall"/>
            </w:pPr>
            <w:r>
              <w:rPr>
                <w:sz w:val="13"/>
              </w:rPr>
              <w:t>Still student-run and potentially late/alcohol-centred.</w:t>
            </w:r>
          </w:p>
        </w:tc>
      </w:tr>
      <w:tr>
        <w:trPr>
          <w:cantSplit w:val="true"/>
        </w:trPr>
        <w:tc>
          <w:tcPr>
            <w:tcW w:type="dxa" w:w="2268"/>
            <w:tcMar>
              <w:top w:w="55" w:type="dxa"/>
              <w:start w:w="70" w:type="dxa"/>
              <w:bottom w:w="55" w:type="dxa"/>
              <w:end w:w="70" w:type="dxa"/>
            </w:tcMar>
            <w:vAlign w:val="top"/>
          </w:tcPr>
          <w:p>
            <w:pPr>
              <w:pStyle w:val="TableSmall"/>
            </w:pPr>
            <w:r>
              <w:rPr>
                <w:sz w:val="13"/>
              </w:rPr>
              <w:t>One iconic splurge</w:t>
            </w:r>
          </w:p>
        </w:tc>
        <w:tc>
          <w:tcPr>
            <w:tcW w:type="dxa" w:w="3005"/>
            <w:tcMar>
              <w:top w:w="55" w:type="dxa"/>
              <w:start w:w="70" w:type="dxa"/>
              <w:bottom w:w="55" w:type="dxa"/>
              <w:end w:w="70" w:type="dxa"/>
            </w:tcMar>
            <w:vAlign w:val="top"/>
          </w:tcPr>
          <w:p>
            <w:pPr>
              <w:pStyle w:val="TableSmall"/>
            </w:pPr>
            <w:r>
              <w:rPr>
                <w:sz w:val="13"/>
              </w:rPr>
              <w:t>Trinity or St John’s, only within a fixed ceiling</w:t>
            </w:r>
          </w:p>
        </w:tc>
        <w:tc>
          <w:tcPr>
            <w:tcW w:type="dxa" w:w="4706"/>
            <w:tcMar>
              <w:top w:w="55" w:type="dxa"/>
              <w:start w:w="70" w:type="dxa"/>
              <w:bottom w:w="55" w:type="dxa"/>
              <w:end w:w="70" w:type="dxa"/>
            </w:tcMar>
            <w:vAlign w:val="top"/>
          </w:tcPr>
          <w:p>
            <w:pPr>
              <w:pStyle w:val="TableSmall"/>
            </w:pPr>
            <w:r>
              <w:rPr>
                <w:sz w:val="13"/>
              </w:rPr>
              <w:t>The full Cambridge myth in one night.</w:t>
            </w:r>
          </w:p>
        </w:tc>
        <w:tc>
          <w:tcPr>
            <w:tcW w:type="dxa" w:w="4592"/>
            <w:tcMar>
              <w:top w:w="55" w:type="dxa"/>
              <w:start w:w="70" w:type="dxa"/>
              <w:bottom w:w="55" w:type="dxa"/>
              <w:end w:w="70" w:type="dxa"/>
            </w:tcMar>
            <w:vAlign w:val="top"/>
          </w:tcPr>
          <w:p>
            <w:pPr>
              <w:pStyle w:val="TableSmall"/>
            </w:pPr>
            <w:r>
              <w:rPr>
                <w:sz w:val="13"/>
              </w:rPr>
              <w:t>Do not fund it with debt or expect the price to guarantee enjoyment.</w:t>
            </w:r>
          </w:p>
        </w:tc>
      </w:tr>
    </w:tbl>
    <w:p>
      <w:pPr>
        <w:spacing w:after="20"/>
      </w:pPr>
    </w:p>
    <w:p>
      <w:pPr>
        <w:sectPr>
          <w:headerReference w:type="default" r:id="rId11"/>
          <w:footerReference w:type="default" r:id="rId12"/>
          <w:pgSz w:w="16838" w:h="11906" w:orient="landscape"/>
          <w:pgMar w:top="680" w:right="709" w:bottom="680" w:left="709" w:header="255" w:footer="255" w:gutter="0"/>
          <w:cols w:space="720"/>
          <w:titlePg/>
          <w:docGrid w:linePitch="360"/>
        </w:sectPr>
      </w:pPr>
    </w:p>
    <w:p>
      <w:pPr>
        <w:pStyle w:val="Heading2"/>
        <w:keepNext/>
      </w:pPr>
      <w:r>
        <w:t>Ball survival checklist</w:t>
      </w:r>
    </w:p>
    <w:p>
      <w:pPr>
        <w:pStyle w:val="ListBullet"/>
        <w:spacing w:after="30" w:line="247" w:lineRule="auto"/>
        <w:ind w:left="312" w:hanging="142"/>
      </w:pPr>
      <w:r>
        <w:t>Read eligibility, guest-name, ID, transfer, refund and dress terms before paying. Screenshots are not a contract.</w:t>
      </w:r>
    </w:p>
    <w:p>
      <w:pPr>
        <w:pStyle w:val="ListBullet"/>
        <w:spacing w:after="30" w:line="247" w:lineRule="auto"/>
        <w:ind w:left="312" w:hanging="142"/>
      </w:pPr>
      <w:r>
        <w:t>Ask the accessibility officer about step-free routes, seating, quiet spaces, queueing, accessible toilets, dietary provision and medication refrigeration.</w:t>
      </w:r>
    </w:p>
    <w:p>
      <w:pPr>
        <w:pStyle w:val="ListBullet"/>
        <w:spacing w:after="30" w:line="247" w:lineRule="auto"/>
        <w:ind w:left="312" w:hanging="142"/>
      </w:pPr>
      <w:r>
        <w:t>Arrange childcare, last transport and next-morning responsibilities before the ticket ballot.</w:t>
      </w:r>
    </w:p>
    <w:p>
      <w:pPr>
        <w:pStyle w:val="ListBullet"/>
        <w:spacing w:after="30" w:line="247" w:lineRule="auto"/>
        <w:ind w:left="312" w:hanging="142"/>
      </w:pPr>
      <w:r>
        <w:t>Wear broken-in shoes and layers; bring only the permitted bag, ID, charged phone and essential medication.</w:t>
      </w:r>
    </w:p>
    <w:p>
      <w:pPr>
        <w:pStyle w:val="ListBullet"/>
        <w:spacing w:after="30" w:line="247" w:lineRule="auto"/>
        <w:ind w:left="312" w:hanging="142"/>
      </w:pPr>
      <w:r>
        <w:t>Eat before entry even where food is “unlimited”; queues and allergen risk are real.</w:t>
      </w:r>
    </w:p>
    <w:p>
      <w:pPr>
        <w:pStyle w:val="ListBullet"/>
        <w:spacing w:after="30" w:line="247" w:lineRule="auto"/>
        <w:ind w:left="312" w:hanging="142"/>
      </w:pPr>
      <w:r>
        <w:t>Agree a meeting point and an exit time. Leaving at 01:00 is not failing a survivors’ photograph.</w:t>
      </w:r>
    </w:p>
    <w:p>
      <w:pPr>
        <w:pStyle w:val="ListBullet"/>
        <w:spacing w:after="30" w:line="247" w:lineRule="auto"/>
        <w:ind w:left="312" w:hanging="142"/>
      </w:pPr>
      <w:r>
        <w:t>Never buy above face value or through an unauthorised transfer. Some committees cancel tickets for profiteering.</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A Ball is an optional entertainment purchase. Buy the night you will enjoy, not the College name you think you should collect.</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is the full cost, refund/transfer rule, accessibility plan, dress minimum, guest eligibility, quiet space and food provision?</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Buying the ticket first and only later discovering the childcare, formalwear, ID or transfer rule doubles the cost.</w:t>
            </w:r>
          </w:p>
        </w:tc>
      </w:tr>
    </w:tbl>
    <w:p>
      <w:pPr>
        <w:spacing w:after="40"/>
      </w:pPr>
    </w:p>
    <w:p>
      <w:pPr>
        <w:pStyle w:val="Heading1"/>
        <w:keepNext/>
      </w:pPr>
      <w:r>
        <w:t>14. Traditions, ceremonies and unwritten rules</w:t>
      </w:r>
    </w:p>
    <w:p>
      <w:pPr>
        <w:spacing w:after="160"/>
      </w:pPr>
      <w:r>
        <w:rPr>
          <w:i/>
          <w:color w:val="5F6B73"/>
          <w:sz w:val="20"/>
        </w:rPr>
        <w:t>Participate selectively. Curiosity is enough; reverence is optional.</w:t>
      </w:r>
    </w:p>
    <w:p>
      <w:pPr>
        <w:pStyle w:val="Heading2"/>
        <w:keepNext/>
      </w:pPr>
      <w:r>
        <w:t>Matriculation</w:t>
      </w:r>
    </w:p>
    <w:p>
      <w:r>
        <w:t>Matriculation is formal admission to the University, normally organised through the College early in Michaelmas. It may involve signing the matriculation register, a College photograph, academic dress and a dinner. The exact sequence is College-specific. It is not an academic test. Confirm clothing, guest access, accessibility, photograph cost and whether absence can be rearranged.</w:t>
      </w:r>
    </w:p>
    <w:p>
      <w:pPr>
        <w:pStyle w:val="Heading2"/>
        <w:keepNext/>
      </w:pPr>
      <w:r>
        <w:t>Gowns and academic dress</w:t>
      </w:r>
    </w:p>
    <w:p>
      <w:r>
        <w:t>Undergraduate gowns vary by College and sometimes by status. They are worn for matriculation, many Formals, certain services and graduation-related occasions—not for ordinary lectures. Buy second-hand, borrow or hire until you know the correct gown. A gown does not replace the dress code underneath. For disability, religion, pregnancy or gender-expression needs, ask for a practical interpretation rather than silently avoiding the event.</w:t>
      </w:r>
    </w:p>
    <w:p>
      <w:pPr>
        <w:pStyle w:val="Heading2"/>
        <w:keepNext/>
      </w:pPr>
      <w:r>
        <w:t>Formal Hall, grace and High Table</w:t>
      </w:r>
    </w:p>
    <w:p>
      <w:r>
        <w:t>At a traditional Formal, diners enter or are seated, Fellows may sit at a raised High Table, and a grace may be said in Latin or English before and/or after the meal. Follow the room: stand when others stand, sit when they sit. No one should expect you to translate. St Edmund’s is notable for dining without a separate High Table division; mature Colleges often cultivate a less hierarchical atmosphere, though ceremony still exists.</w:t>
      </w:r>
    </w:p>
    <w:p>
      <w:r>
        <w:t>“Grace” also means a formal University decision in governance, so context matters. At dinner it is the spoken blessing; in University administration, a Grace can be a proposal or approved act.</w:t>
      </w:r>
    </w:p>
    <w:p>
      <w:pPr>
        <w:pStyle w:val="Heading2"/>
        <w:keepNext/>
      </w:pPr>
      <w:r>
        <w:t>College feasts and special dinners</w:t>
      </w:r>
    </w:p>
    <w:p>
      <w:r>
        <w:t>Feasts are usually more ceremonial, expensive and restricted than ordinary Formals. They can require black tie, white tie or a specific invitation and may include multiple courses, toasts and seating plans. Scholars’, matriculation, graduation and benefactors’ dinners have different eligibility. Ask whether the ticket includes wine, whether non-alcoholic pairing is equivalent, and how dietary needs are handled without singling out the diner.</w:t>
      </w:r>
    </w:p>
    <w:p>
      <w:pPr>
        <w:pStyle w:val="Heading2"/>
        <w:keepNext/>
      </w:pPr>
      <w:r>
        <w:t>May Week, Balls and post-exam traditions</w:t>
      </w:r>
    </w:p>
    <w:p>
      <w:r>
        <w:t>May Week is the post-examination celebration period held mainly in June. The name is a historical survivor, not evidence that your calendar is wrong. May Balls, June Events, garden parties, Bumps, picnics and society dinners overlap. “Suicide Sunday” is a traditional name for the Sunday at the start of celebrations; it is increasingly questioned because of its mental-health implications. You may simply call it the first Sunday of May Week.</w:t>
      </w:r>
    </w:p>
    <w:p>
      <w:r>
        <w:t>Exam-finishing customs can include cheering outside exam sites, flowers, costumes, confetti, foam or food. University and local rules may restrict litter, liquids and obstruction. Ask friends not to “trash” you if you dislike sensory surprise, waste or public attention. Celebration is not consent.</w:t>
      </w:r>
    </w:p>
    <w:p>
      <w:pPr>
        <w:pStyle w:val="Heading2"/>
        <w:keepNext/>
      </w:pPr>
      <w:r>
        <w:t>Bumps and rowing culture</w:t>
      </w:r>
    </w:p>
    <w:p>
      <w:r>
        <w:t>The Cam is too narrow for conventional side-by-side eights racing over much of the course. In Bumps, boats start in a line at intervals and try to catch the boat ahead before being caught from behind. A successful touch or clear overtake changes positions for the next day. Lent Bumps and May Bumps are organised through Cambridge University Combined Boat Clubs. Spectators gather along the towpath; crews, bank parties and cyclists create congestion. [E04]</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268"/>
        <w:gridCol w:w="7483"/>
      </w:tblGrid>
      <w:tr>
        <w:trPr>
          <w:tblHeader w:val="true"/>
          <w:cantSplit w:val="true"/>
        </w:trPr>
        <w:tc>
          <w:tcPr>
            <w:tcW w:type="dxa" w:w="2268"/>
            <w:shd w:fill="17324D"/>
            <w:tcMar>
              <w:top w:w="70" w:type="dxa"/>
              <w:start w:w="80" w:type="dxa"/>
              <w:bottom w:w="70" w:type="dxa"/>
              <w:end w:w="80" w:type="dxa"/>
            </w:tcMar>
            <w:vAlign w:val="center"/>
          </w:tcPr>
          <w:p>
            <w:pPr>
              <w:pStyle w:val="TableText"/>
              <w:jc w:val="left"/>
            </w:pPr>
            <w:r>
              <w:rPr>
                <w:b/>
                <w:color w:val="FFFFFF"/>
                <w:sz w:val="15"/>
              </w:rPr>
              <w:t>Term</w:t>
            </w:r>
          </w:p>
        </w:tc>
        <w:tc>
          <w:tcPr>
            <w:tcW w:type="dxa" w:w="7484"/>
            <w:shd w:fill="17324D"/>
            <w:tcMar>
              <w:top w:w="70" w:type="dxa"/>
              <w:start w:w="80" w:type="dxa"/>
              <w:bottom w:w="70" w:type="dxa"/>
              <w:end w:w="80" w:type="dxa"/>
            </w:tcMar>
            <w:vAlign w:val="center"/>
          </w:tcPr>
          <w:p>
            <w:pPr>
              <w:pStyle w:val="TableText"/>
              <w:jc w:val="left"/>
            </w:pPr>
            <w:r>
              <w:rPr>
                <w:b/>
                <w:color w:val="FFFFFF"/>
                <w:sz w:val="15"/>
              </w:rPr>
              <w:t>Meaning</w:t>
            </w:r>
          </w:p>
        </w:tc>
      </w:tr>
      <w:tr>
        <w:trPr>
          <w:cantSplit w:val="true"/>
        </w:trPr>
        <w:tc>
          <w:tcPr>
            <w:tcW w:type="dxa" w:w="2268"/>
            <w:tcMar>
              <w:top w:w="55" w:type="dxa"/>
              <w:start w:w="70" w:type="dxa"/>
              <w:bottom w:w="55" w:type="dxa"/>
              <w:end w:w="70" w:type="dxa"/>
            </w:tcMar>
            <w:vAlign w:val="top"/>
          </w:tcPr>
          <w:p>
            <w:pPr>
              <w:pStyle w:val="TableText"/>
            </w:pPr>
            <w:r>
              <w:t>Bump</w:t>
            </w:r>
          </w:p>
        </w:tc>
        <w:tc>
          <w:tcPr>
            <w:tcW w:type="dxa" w:w="7484"/>
            <w:tcMar>
              <w:top w:w="55" w:type="dxa"/>
              <w:start w:w="70" w:type="dxa"/>
              <w:bottom w:w="55" w:type="dxa"/>
              <w:end w:w="70" w:type="dxa"/>
            </w:tcMar>
            <w:vAlign w:val="top"/>
          </w:tcPr>
          <w:p>
            <w:pPr>
              <w:pStyle w:val="TableText"/>
            </w:pPr>
            <w:r>
              <w:t>Your boat catches the boat immediately ahead; the two normally exchange places for the next race day.</w:t>
            </w:r>
          </w:p>
        </w:tc>
      </w:tr>
      <w:tr>
        <w:trPr>
          <w:cantSplit w:val="true"/>
        </w:trPr>
        <w:tc>
          <w:tcPr>
            <w:tcW w:type="dxa" w:w="2268"/>
            <w:shd w:fill="F5F7F8"/>
            <w:tcMar>
              <w:top w:w="55" w:type="dxa"/>
              <w:start w:w="70" w:type="dxa"/>
              <w:bottom w:w="55" w:type="dxa"/>
              <w:end w:w="70" w:type="dxa"/>
            </w:tcMar>
            <w:vAlign w:val="top"/>
          </w:tcPr>
          <w:p>
            <w:pPr>
              <w:pStyle w:val="TableText"/>
            </w:pPr>
            <w:r>
              <w:t>Overbump</w:t>
            </w:r>
          </w:p>
        </w:tc>
        <w:tc>
          <w:tcPr>
            <w:tcW w:type="dxa" w:w="7484"/>
            <w:shd w:fill="F5F7F8"/>
            <w:tcMar>
              <w:top w:w="55" w:type="dxa"/>
              <w:start w:w="70" w:type="dxa"/>
              <w:bottom w:w="55" w:type="dxa"/>
              <w:end w:w="70" w:type="dxa"/>
            </w:tcMar>
            <w:vAlign w:val="top"/>
          </w:tcPr>
          <w:p>
            <w:pPr>
              <w:pStyle w:val="TableText"/>
            </w:pPr>
            <w:r>
              <w:t>Catching a boat more than one place ahead after intervening crews have already bumped out.</w:t>
            </w:r>
          </w:p>
        </w:tc>
      </w:tr>
      <w:tr>
        <w:trPr>
          <w:cantSplit w:val="true"/>
        </w:trPr>
        <w:tc>
          <w:tcPr>
            <w:tcW w:type="dxa" w:w="2268"/>
            <w:tcMar>
              <w:top w:w="55" w:type="dxa"/>
              <w:start w:w="70" w:type="dxa"/>
              <w:bottom w:w="55" w:type="dxa"/>
              <w:end w:w="70" w:type="dxa"/>
            </w:tcMar>
            <w:vAlign w:val="top"/>
          </w:tcPr>
          <w:p>
            <w:pPr>
              <w:pStyle w:val="TableText"/>
            </w:pPr>
            <w:r>
              <w:t>Row over</w:t>
            </w:r>
          </w:p>
        </w:tc>
        <w:tc>
          <w:tcPr>
            <w:tcW w:type="dxa" w:w="7484"/>
            <w:tcMar>
              <w:top w:w="55" w:type="dxa"/>
              <w:start w:w="70" w:type="dxa"/>
              <w:bottom w:w="55" w:type="dxa"/>
              <w:end w:w="70" w:type="dxa"/>
            </w:tcMar>
            <w:vAlign w:val="top"/>
          </w:tcPr>
          <w:p>
            <w:pPr>
              <w:pStyle w:val="TableText"/>
            </w:pPr>
            <w:r>
              <w:t>Completing the course without bumping or being bumped.</w:t>
            </w:r>
          </w:p>
        </w:tc>
      </w:tr>
      <w:tr>
        <w:trPr>
          <w:cantSplit w:val="true"/>
        </w:trPr>
        <w:tc>
          <w:tcPr>
            <w:tcW w:type="dxa" w:w="2268"/>
            <w:shd w:fill="F5F7F8"/>
            <w:tcMar>
              <w:top w:w="55" w:type="dxa"/>
              <w:start w:w="70" w:type="dxa"/>
              <w:bottom w:w="55" w:type="dxa"/>
              <w:end w:w="70" w:type="dxa"/>
            </w:tcMar>
            <w:vAlign w:val="top"/>
          </w:tcPr>
          <w:p>
            <w:pPr>
              <w:pStyle w:val="TableText"/>
            </w:pPr>
            <w:r>
              <w:t>Headship</w:t>
            </w:r>
          </w:p>
        </w:tc>
        <w:tc>
          <w:tcPr>
            <w:tcW w:type="dxa" w:w="7484"/>
            <w:shd w:fill="F5F7F8"/>
            <w:tcMar>
              <w:top w:w="55" w:type="dxa"/>
              <w:start w:w="70" w:type="dxa"/>
              <w:bottom w:w="55" w:type="dxa"/>
              <w:end w:w="70" w:type="dxa"/>
            </w:tcMar>
            <w:vAlign w:val="top"/>
          </w:tcPr>
          <w:p>
            <w:pPr>
              <w:pStyle w:val="TableText"/>
            </w:pPr>
            <w:r>
              <w:t>Top position in the first division.</w:t>
            </w:r>
          </w:p>
        </w:tc>
      </w:tr>
      <w:tr>
        <w:trPr>
          <w:cantSplit w:val="true"/>
        </w:trPr>
        <w:tc>
          <w:tcPr>
            <w:tcW w:type="dxa" w:w="2268"/>
            <w:tcMar>
              <w:top w:w="55" w:type="dxa"/>
              <w:start w:w="70" w:type="dxa"/>
              <w:bottom w:w="55" w:type="dxa"/>
              <w:end w:w="70" w:type="dxa"/>
            </w:tcMar>
            <w:vAlign w:val="top"/>
          </w:tcPr>
          <w:p>
            <w:pPr>
              <w:pStyle w:val="TableText"/>
            </w:pPr>
            <w:r>
              <w:t>Blades</w:t>
            </w:r>
          </w:p>
        </w:tc>
        <w:tc>
          <w:tcPr>
            <w:tcW w:type="dxa" w:w="7484"/>
            <w:tcMar>
              <w:top w:w="55" w:type="dxa"/>
              <w:start w:w="70" w:type="dxa"/>
              <w:bottom w:w="55" w:type="dxa"/>
              <w:end w:w="70" w:type="dxa"/>
            </w:tcMar>
            <w:vAlign w:val="top"/>
          </w:tcPr>
          <w:p>
            <w:pPr>
              <w:pStyle w:val="TableText"/>
            </w:pPr>
            <w:r>
              <w:t>Award/tradition for a crew that bumps on every available day, subject to club convention.</w:t>
            </w:r>
          </w:p>
        </w:tc>
      </w:tr>
      <w:tr>
        <w:trPr>
          <w:cantSplit w:val="true"/>
        </w:trPr>
        <w:tc>
          <w:tcPr>
            <w:tcW w:type="dxa" w:w="2268"/>
            <w:shd w:fill="F5F7F8"/>
            <w:tcMar>
              <w:top w:w="55" w:type="dxa"/>
              <w:start w:w="70" w:type="dxa"/>
              <w:bottom w:w="55" w:type="dxa"/>
              <w:end w:w="70" w:type="dxa"/>
            </w:tcMar>
            <w:vAlign w:val="top"/>
          </w:tcPr>
          <w:p>
            <w:pPr>
              <w:pStyle w:val="TableText"/>
            </w:pPr>
            <w:r>
              <w:t>Spoons</w:t>
            </w:r>
          </w:p>
        </w:tc>
        <w:tc>
          <w:tcPr>
            <w:tcW w:type="dxa" w:w="7484"/>
            <w:shd w:fill="F5F7F8"/>
            <w:tcMar>
              <w:top w:w="55" w:type="dxa"/>
              <w:start w:w="70" w:type="dxa"/>
              <w:bottom w:w="55" w:type="dxa"/>
              <w:end w:w="70" w:type="dxa"/>
            </w:tcMar>
            <w:vAlign w:val="top"/>
          </w:tcPr>
          <w:p>
            <w:pPr>
              <w:pStyle w:val="TableText"/>
            </w:pPr>
            <w:r>
              <w:t>Humorous opposite: being bumped on every day, subject to club convention.</w:t>
            </w:r>
          </w:p>
        </w:tc>
      </w:tr>
      <w:tr>
        <w:trPr>
          <w:cantSplit w:val="true"/>
        </w:trPr>
        <w:tc>
          <w:tcPr>
            <w:tcW w:type="dxa" w:w="2268"/>
            <w:tcMar>
              <w:top w:w="55" w:type="dxa"/>
              <w:start w:w="70" w:type="dxa"/>
              <w:bottom w:w="55" w:type="dxa"/>
              <w:end w:w="70" w:type="dxa"/>
            </w:tcMar>
            <w:vAlign w:val="top"/>
          </w:tcPr>
          <w:p>
            <w:pPr>
              <w:pStyle w:val="TableText"/>
            </w:pPr>
            <w:r>
              <w:t>Sandwich boat</w:t>
            </w:r>
          </w:p>
        </w:tc>
        <w:tc>
          <w:tcPr>
            <w:tcW w:type="dxa" w:w="7484"/>
            <w:tcMar>
              <w:top w:w="55" w:type="dxa"/>
              <w:start w:w="70" w:type="dxa"/>
              <w:bottom w:w="55" w:type="dxa"/>
              <w:end w:w="70" w:type="dxa"/>
            </w:tcMar>
            <w:vAlign w:val="top"/>
          </w:tcPr>
          <w:p>
            <w:pPr>
              <w:pStyle w:val="TableText"/>
            </w:pPr>
            <w:r>
              <w:t>A crew at the boundary of divisions that may race in both adjacent divisions.</w:t>
            </w:r>
          </w:p>
        </w:tc>
      </w:tr>
      <w:tr>
        <w:trPr>
          <w:cantSplit w:val="true"/>
        </w:trPr>
        <w:tc>
          <w:tcPr>
            <w:tcW w:type="dxa" w:w="2268"/>
            <w:shd w:fill="F5F7F8"/>
            <w:tcMar>
              <w:top w:w="55" w:type="dxa"/>
              <w:start w:w="70" w:type="dxa"/>
              <w:bottom w:w="55" w:type="dxa"/>
              <w:end w:w="70" w:type="dxa"/>
            </w:tcMar>
            <w:vAlign w:val="top"/>
          </w:tcPr>
          <w:p>
            <w:pPr>
              <w:pStyle w:val="TableText"/>
            </w:pPr>
            <w:r>
              <w:t>Bank party</w:t>
            </w:r>
          </w:p>
        </w:tc>
        <w:tc>
          <w:tcPr>
            <w:tcW w:type="dxa" w:w="7484"/>
            <w:shd w:fill="F5F7F8"/>
            <w:tcMar>
              <w:top w:w="55" w:type="dxa"/>
              <w:start w:w="70" w:type="dxa"/>
              <w:bottom w:w="55" w:type="dxa"/>
              <w:end w:w="70" w:type="dxa"/>
            </w:tcMar>
            <w:vAlign w:val="top"/>
          </w:tcPr>
          <w:p>
            <w:pPr>
              <w:pStyle w:val="TableText"/>
            </w:pPr>
            <w:r>
              <w:t>Cyclists/runners alongside the crew, coaching and signalling; not the spectators’ picnic.</w:t>
            </w:r>
          </w:p>
        </w:tc>
      </w:tr>
    </w:tbl>
    <w:p>
      <w:pPr>
        <w:spacing w:after="20"/>
      </w:pPr>
    </w:p>
    <w:p>
      <w:r>
        <w:t>You do not have to row. Novice rowing can be an excellent cross-age community, but early mornings, training frequency, cold, kit and selection culture must fit your body and responsibilities. Ask about recreational rowing, coxing, adaptive provision and the real weekly commitment before joining.</w:t>
      </w:r>
    </w:p>
    <w:p>
      <w:pPr>
        <w:pStyle w:val="Heading2"/>
        <w:keepNext/>
      </w:pPr>
      <w:r>
        <w:t>College parents and families</w:t>
      </w:r>
    </w:p>
    <w:p>
      <w:r>
        <w:t>A “College family” is a student-run mentoring tradition: older students act as parents to new students, often paired into a fictional couple. It can provide a first friendly contact, dinner invitation and practical tips. It carries no authority, confidentiality guarantee or welfare duty. A mature student can enjoy it, decline it, ask for an age-sensitive match or treat the “parent” label lightly. Do not hand a serious safeguarding or health issue to a student family instead of the proper route.</w:t>
      </w:r>
    </w:p>
    <w:p>
      <w:pPr>
        <w:pStyle w:val="Heading2"/>
        <w:keepNext/>
      </w:pPr>
      <w:r>
        <w:t>Bops, ents, societies and dining clubs</w:t>
      </w:r>
    </w:p>
    <w:p>
      <w:r>
        <w:t>A bop is a College disco/party; an ent is organised entertainment, often music or comedy. Both may be alcohol-centred, themed and late. Societies range from free discussion groups to expensive dining, travel or performance commitments. Dining clubs and invitation-only groups can reproduce class, gender and network privilege. Ask the cost, selection method, alcohol expectation and safeguarding route. You are not socially deficient for preferring a reading group, choir, volunteering, sport, faith community or weekly lunch.</w:t>
      </w:r>
    </w:p>
    <w:p>
      <w:pPr>
        <w:pStyle w:val="Heading2"/>
        <w:keepNext/>
      </w:pPr>
      <w:r>
        <w:t>Graduation</w:t>
      </w:r>
    </w:p>
    <w:p>
      <w:r>
        <w:t>Cambridge graduation is College-organised and University-conferring. Graduands are presented in Senate House by their College in prescribed academic dress, with Latin formulae and physical gestures that can be adjusted for access or religion. Guest tickets, photography, gown hire, accommodation and celebration are separate costs. Ask early if family travel, wheelchair spaces, childcare or visa invitations are involved.</w:t>
      </w:r>
    </w:p>
    <w:p>
      <w:pPr>
        <w:pStyle w:val="Heading2"/>
        <w:keepNext/>
      </w:pPr>
      <w:r>
        <w:t>Night climbing and unofficial traditions</w:t>
      </w:r>
    </w:p>
    <w:p>
      <w:r>
        <w:t>Night climbing means unauthorised climbing on College or University buildings. It is not an endorsed rite of passage. It can involve trespass, serious injury, discipline, police or emergency-service consequences and damage to historic fabric. The practical guide is simple: do not allow folklore, alcohol or a society initiation to turn unsafe access into a test of belonging.</w:t>
      </w:r>
    </w:p>
    <w:p>
      <w:pPr>
        <w:pStyle w:val="Heading2"/>
        <w:keepNext/>
      </w:pPr>
      <w:r>
        <w:t>Tradition, myth or obsolete practice?</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835"/>
        <w:gridCol w:w="2324"/>
        <w:gridCol w:w="4592"/>
      </w:tblGrid>
      <w:tr>
        <w:trPr>
          <w:tblHeader w:val="true"/>
          <w:cantSplit w:val="true"/>
        </w:trPr>
        <w:tc>
          <w:tcPr>
            <w:tcW w:type="dxa" w:w="2835"/>
            <w:shd w:fill="17324D"/>
            <w:tcMar>
              <w:top w:w="70" w:type="dxa"/>
              <w:start w:w="80" w:type="dxa"/>
              <w:bottom w:w="70" w:type="dxa"/>
              <w:end w:w="80" w:type="dxa"/>
            </w:tcMar>
            <w:vAlign w:val="center"/>
          </w:tcPr>
          <w:p>
            <w:pPr>
              <w:pStyle w:val="TableText"/>
              <w:jc w:val="left"/>
            </w:pPr>
            <w:r>
              <w:rPr>
                <w:b/>
                <w:color w:val="FFFFFF"/>
                <w:sz w:val="15"/>
              </w:rPr>
              <w:t>Claim</w:t>
            </w:r>
          </w:p>
        </w:tc>
        <w:tc>
          <w:tcPr>
            <w:tcW w:type="dxa" w:w="2324"/>
            <w:shd w:fill="17324D"/>
            <w:tcMar>
              <w:top w:w="70" w:type="dxa"/>
              <w:start w:w="80" w:type="dxa"/>
              <w:bottom w:w="70" w:type="dxa"/>
              <w:end w:w="80" w:type="dxa"/>
            </w:tcMar>
            <w:vAlign w:val="center"/>
          </w:tcPr>
          <w:p>
            <w:pPr>
              <w:pStyle w:val="TableText"/>
              <w:jc w:val="left"/>
            </w:pPr>
            <w:r>
              <w:rPr>
                <w:b/>
                <w:color w:val="FFFFFF"/>
                <w:sz w:val="15"/>
              </w:rPr>
              <w:t>Verdict</w:t>
            </w:r>
          </w:p>
        </w:tc>
        <w:tc>
          <w:tcPr>
            <w:tcW w:type="dxa" w:w="4592"/>
            <w:shd w:fill="17324D"/>
            <w:tcMar>
              <w:top w:w="70" w:type="dxa"/>
              <w:start w:w="80" w:type="dxa"/>
              <w:bottom w:w="70" w:type="dxa"/>
              <w:end w:w="80" w:type="dxa"/>
            </w:tcMar>
            <w:vAlign w:val="center"/>
          </w:tcPr>
          <w:p>
            <w:pPr>
              <w:pStyle w:val="TableText"/>
              <w:jc w:val="left"/>
            </w:pPr>
            <w:r>
              <w:rPr>
                <w:b/>
                <w:color w:val="FFFFFF"/>
                <w:sz w:val="15"/>
              </w:rPr>
              <w:t>Reality</w:t>
            </w:r>
          </w:p>
        </w:tc>
      </w:tr>
      <w:tr>
        <w:trPr>
          <w:cantSplit w:val="true"/>
        </w:trPr>
        <w:tc>
          <w:tcPr>
            <w:tcW w:type="dxa" w:w="2835"/>
            <w:tcMar>
              <w:top w:w="55" w:type="dxa"/>
              <w:start w:w="70" w:type="dxa"/>
              <w:bottom w:w="55" w:type="dxa"/>
              <w:end w:w="70" w:type="dxa"/>
            </w:tcMar>
            <w:vAlign w:val="top"/>
          </w:tcPr>
          <w:p>
            <w:pPr>
              <w:pStyle w:val="TableText"/>
            </w:pPr>
            <w:r>
              <w:t>Cambridge time means everything starts at five past the stated hour.</w:t>
            </w:r>
          </w:p>
        </w:tc>
        <w:tc>
          <w:tcPr>
            <w:tcW w:type="dxa" w:w="2324"/>
            <w:tcMar>
              <w:top w:w="55" w:type="dxa"/>
              <w:start w:w="70" w:type="dxa"/>
              <w:bottom w:w="55" w:type="dxa"/>
              <w:end w:w="70" w:type="dxa"/>
            </w:tcMar>
            <w:vAlign w:val="top"/>
          </w:tcPr>
          <w:p>
            <w:pPr>
              <w:pStyle w:val="TableText"/>
            </w:pPr>
            <w:r>
              <w:t>Mostly obsolete / folklore</w:t>
            </w:r>
          </w:p>
        </w:tc>
        <w:tc>
          <w:tcPr>
            <w:tcW w:type="dxa" w:w="4592"/>
            <w:tcMar>
              <w:top w:w="55" w:type="dxa"/>
              <w:start w:w="70" w:type="dxa"/>
              <w:bottom w:w="55" w:type="dxa"/>
              <w:end w:w="70" w:type="dxa"/>
            </w:tcMar>
            <w:vAlign w:val="top"/>
          </w:tcPr>
          <w:p>
            <w:pPr>
              <w:pStyle w:val="TableText"/>
            </w:pPr>
            <w:r>
              <w:t>Historic “Cambridge time” and the quarter-hour convention survive in stories and occasional local habits. Follow the actual timetable and arrive before the stated time.</w:t>
            </w:r>
          </w:p>
        </w:tc>
      </w:tr>
      <w:tr>
        <w:trPr>
          <w:cantSplit w:val="true"/>
        </w:trPr>
        <w:tc>
          <w:tcPr>
            <w:tcW w:type="dxa" w:w="2835"/>
            <w:shd w:fill="F5F7F8"/>
            <w:tcMar>
              <w:top w:w="55" w:type="dxa"/>
              <w:start w:w="70" w:type="dxa"/>
              <w:bottom w:w="55" w:type="dxa"/>
              <w:end w:w="70" w:type="dxa"/>
            </w:tcMar>
            <w:vAlign w:val="top"/>
          </w:tcPr>
          <w:p>
            <w:pPr>
              <w:pStyle w:val="TableText"/>
            </w:pPr>
            <w:r>
              <w:t>You must know Latin.</w:t>
            </w:r>
          </w:p>
        </w:tc>
        <w:tc>
          <w:tcPr>
            <w:tcW w:type="dxa" w:w="2324"/>
            <w:shd w:fill="F5F7F8"/>
            <w:tcMar>
              <w:top w:w="55" w:type="dxa"/>
              <w:start w:w="70" w:type="dxa"/>
              <w:bottom w:w="55" w:type="dxa"/>
              <w:end w:w="70" w:type="dxa"/>
            </w:tcMar>
            <w:vAlign w:val="top"/>
          </w:tcPr>
          <w:p>
            <w:pPr>
              <w:pStyle w:val="TableText"/>
            </w:pPr>
            <w:r>
              <w:t>Myth</w:t>
            </w:r>
          </w:p>
        </w:tc>
        <w:tc>
          <w:tcPr>
            <w:tcW w:type="dxa" w:w="4592"/>
            <w:shd w:fill="F5F7F8"/>
            <w:tcMar>
              <w:top w:w="55" w:type="dxa"/>
              <w:start w:w="70" w:type="dxa"/>
              <w:bottom w:w="55" w:type="dxa"/>
              <w:end w:w="70" w:type="dxa"/>
            </w:tcMar>
            <w:vAlign w:val="top"/>
          </w:tcPr>
          <w:p>
            <w:pPr>
              <w:pStyle w:val="TableText"/>
            </w:pPr>
            <w:r>
              <w:t>Grace and graduation use Latin, but students follow ceremony; courses require languages only where specified.</w:t>
            </w:r>
          </w:p>
        </w:tc>
      </w:tr>
      <w:tr>
        <w:trPr>
          <w:cantSplit w:val="true"/>
        </w:trPr>
        <w:tc>
          <w:tcPr>
            <w:tcW w:type="dxa" w:w="2835"/>
            <w:tcMar>
              <w:top w:w="55" w:type="dxa"/>
              <w:start w:w="70" w:type="dxa"/>
              <w:bottom w:w="55" w:type="dxa"/>
              <w:end w:w="70" w:type="dxa"/>
            </w:tcMar>
            <w:vAlign w:val="top"/>
          </w:tcPr>
          <w:p>
            <w:pPr>
              <w:pStyle w:val="TableText"/>
            </w:pPr>
            <w:r>
              <w:t>Everyone wears a gown to dinner.</w:t>
            </w:r>
          </w:p>
        </w:tc>
        <w:tc>
          <w:tcPr>
            <w:tcW w:type="dxa" w:w="2324"/>
            <w:tcMar>
              <w:top w:w="55" w:type="dxa"/>
              <w:start w:w="70" w:type="dxa"/>
              <w:bottom w:w="55" w:type="dxa"/>
              <w:end w:w="70" w:type="dxa"/>
            </w:tcMar>
            <w:vAlign w:val="top"/>
          </w:tcPr>
          <w:p>
            <w:pPr>
              <w:pStyle w:val="TableText"/>
            </w:pPr>
            <w:r>
              <w:t>Myth / College-dependent</w:t>
            </w:r>
          </w:p>
        </w:tc>
        <w:tc>
          <w:tcPr>
            <w:tcW w:type="dxa" w:w="4592"/>
            <w:tcMar>
              <w:top w:w="55" w:type="dxa"/>
              <w:start w:w="70" w:type="dxa"/>
              <w:bottom w:w="55" w:type="dxa"/>
              <w:end w:w="70" w:type="dxa"/>
            </w:tcMar>
            <w:vAlign w:val="top"/>
          </w:tcPr>
          <w:p>
            <w:pPr>
              <w:pStyle w:val="TableText"/>
            </w:pPr>
            <w:r>
              <w:t>Many Formals require gowns; ordinary cafeterias do not, and some Colleges/events are more relaxed.</w:t>
            </w:r>
          </w:p>
        </w:tc>
      </w:tr>
      <w:tr>
        <w:trPr>
          <w:cantSplit w:val="true"/>
        </w:trPr>
        <w:tc>
          <w:tcPr>
            <w:tcW w:type="dxa" w:w="2835"/>
            <w:shd w:fill="F5F7F8"/>
            <w:tcMar>
              <w:top w:w="55" w:type="dxa"/>
              <w:start w:w="70" w:type="dxa"/>
              <w:bottom w:w="55" w:type="dxa"/>
              <w:end w:w="70" w:type="dxa"/>
            </w:tcMar>
            <w:vAlign w:val="top"/>
          </w:tcPr>
          <w:p>
            <w:pPr>
              <w:pStyle w:val="TableText"/>
            </w:pPr>
            <w:r>
              <w:t>May Balls happen in May.</w:t>
            </w:r>
          </w:p>
        </w:tc>
        <w:tc>
          <w:tcPr>
            <w:tcW w:type="dxa" w:w="2324"/>
            <w:shd w:fill="F5F7F8"/>
            <w:tcMar>
              <w:top w:w="55" w:type="dxa"/>
              <w:start w:w="70" w:type="dxa"/>
              <w:bottom w:w="55" w:type="dxa"/>
              <w:end w:w="70" w:type="dxa"/>
            </w:tcMar>
            <w:vAlign w:val="top"/>
          </w:tcPr>
          <w:p>
            <w:pPr>
              <w:pStyle w:val="TableText"/>
            </w:pPr>
            <w:r>
              <w:t>Historical name</w:t>
            </w:r>
          </w:p>
        </w:tc>
        <w:tc>
          <w:tcPr>
            <w:tcW w:type="dxa" w:w="4592"/>
            <w:shd w:fill="F5F7F8"/>
            <w:tcMar>
              <w:top w:w="55" w:type="dxa"/>
              <w:start w:w="70" w:type="dxa"/>
              <w:bottom w:w="55" w:type="dxa"/>
              <w:end w:w="70" w:type="dxa"/>
            </w:tcMar>
            <w:vAlign w:val="top"/>
          </w:tcPr>
          <w:p>
            <w:pPr>
              <w:pStyle w:val="TableText"/>
            </w:pPr>
            <w:r>
              <w:t>Most are in June after exams.</w:t>
            </w:r>
          </w:p>
        </w:tc>
      </w:tr>
      <w:tr>
        <w:trPr>
          <w:cantSplit w:val="true"/>
        </w:trPr>
        <w:tc>
          <w:tcPr>
            <w:tcW w:type="dxa" w:w="2835"/>
            <w:tcMar>
              <w:top w:w="55" w:type="dxa"/>
              <w:start w:w="70" w:type="dxa"/>
              <w:bottom w:w="55" w:type="dxa"/>
              <w:end w:w="70" w:type="dxa"/>
            </w:tcMar>
            <w:vAlign w:val="top"/>
          </w:tcPr>
          <w:p>
            <w:pPr>
              <w:pStyle w:val="TableText"/>
            </w:pPr>
            <w:r>
              <w:t>Walking on grass is forbidden everywhere.</w:t>
            </w:r>
          </w:p>
        </w:tc>
        <w:tc>
          <w:tcPr>
            <w:tcW w:type="dxa" w:w="2324"/>
            <w:tcMar>
              <w:top w:w="55" w:type="dxa"/>
              <w:start w:w="70" w:type="dxa"/>
              <w:bottom w:w="55" w:type="dxa"/>
              <w:end w:w="70" w:type="dxa"/>
            </w:tcMar>
            <w:vAlign w:val="top"/>
          </w:tcPr>
          <w:p>
            <w:pPr>
              <w:pStyle w:val="TableText"/>
            </w:pPr>
            <w:r>
              <w:t>College-specific</w:t>
            </w:r>
          </w:p>
        </w:tc>
        <w:tc>
          <w:tcPr>
            <w:tcW w:type="dxa" w:w="4592"/>
            <w:tcMar>
              <w:top w:w="55" w:type="dxa"/>
              <w:start w:w="70" w:type="dxa"/>
              <w:bottom w:w="55" w:type="dxa"/>
              <w:end w:w="70" w:type="dxa"/>
            </w:tcMar>
            <w:vAlign w:val="top"/>
          </w:tcPr>
          <w:p>
            <w:pPr>
              <w:pStyle w:val="TableText"/>
            </w:pPr>
            <w:r>
              <w:t>Some lawns are restricted, others explicitly open. Look for signs and local custom.</w:t>
            </w:r>
          </w:p>
        </w:tc>
      </w:tr>
      <w:tr>
        <w:trPr>
          <w:cantSplit w:val="true"/>
        </w:trPr>
        <w:tc>
          <w:tcPr>
            <w:tcW w:type="dxa" w:w="2835"/>
            <w:shd w:fill="F5F7F8"/>
            <w:tcMar>
              <w:top w:w="55" w:type="dxa"/>
              <w:start w:w="70" w:type="dxa"/>
              <w:bottom w:w="55" w:type="dxa"/>
              <w:end w:w="70" w:type="dxa"/>
            </w:tcMar>
            <w:vAlign w:val="top"/>
          </w:tcPr>
          <w:p>
            <w:pPr>
              <w:pStyle w:val="TableText"/>
            </w:pPr>
            <w:r>
              <w:t>Class lists are publicly posted for everyone.</w:t>
            </w:r>
          </w:p>
        </w:tc>
        <w:tc>
          <w:tcPr>
            <w:tcW w:type="dxa" w:w="2324"/>
            <w:shd w:fill="F5F7F8"/>
            <w:tcMar>
              <w:top w:w="55" w:type="dxa"/>
              <w:start w:w="70" w:type="dxa"/>
              <w:bottom w:w="55" w:type="dxa"/>
              <w:end w:w="70" w:type="dxa"/>
            </w:tcMar>
            <w:vAlign w:val="top"/>
          </w:tcPr>
          <w:p>
            <w:pPr>
              <w:pStyle w:val="TableText"/>
            </w:pPr>
            <w:r>
              <w:t>Changed practice</w:t>
            </w:r>
          </w:p>
        </w:tc>
        <w:tc>
          <w:tcPr>
            <w:tcW w:type="dxa" w:w="4592"/>
            <w:shd w:fill="F5F7F8"/>
            <w:tcMar>
              <w:top w:w="55" w:type="dxa"/>
              <w:start w:w="70" w:type="dxa"/>
              <w:bottom w:w="55" w:type="dxa"/>
              <w:end w:w="70" w:type="dxa"/>
            </w:tcMar>
            <w:vAlign w:val="top"/>
          </w:tcPr>
          <w:p>
            <w:pPr>
              <w:pStyle w:val="TableText"/>
            </w:pPr>
            <w:r>
              <w:t>Publication and access have changed; use current examination-results policy rather than old photographs of Senate House boards. [U39]</w:t>
            </w:r>
          </w:p>
        </w:tc>
      </w:tr>
      <w:tr>
        <w:trPr>
          <w:cantSplit w:val="true"/>
        </w:trPr>
        <w:tc>
          <w:tcPr>
            <w:tcW w:type="dxa" w:w="2835"/>
            <w:tcMar>
              <w:top w:w="55" w:type="dxa"/>
              <w:start w:w="70" w:type="dxa"/>
              <w:bottom w:w="55" w:type="dxa"/>
              <w:end w:w="70" w:type="dxa"/>
            </w:tcMar>
            <w:vAlign w:val="top"/>
          </w:tcPr>
          <w:p>
            <w:pPr>
              <w:pStyle w:val="TableText"/>
            </w:pPr>
            <w:r>
              <w:t>“Degrading” is the normal modern word for a study break.</w:t>
            </w:r>
          </w:p>
        </w:tc>
        <w:tc>
          <w:tcPr>
            <w:tcW w:type="dxa" w:w="2324"/>
            <w:tcMar>
              <w:top w:w="55" w:type="dxa"/>
              <w:start w:w="70" w:type="dxa"/>
              <w:bottom w:w="55" w:type="dxa"/>
              <w:end w:w="70" w:type="dxa"/>
            </w:tcMar>
            <w:vAlign w:val="top"/>
          </w:tcPr>
          <w:p>
            <w:pPr>
              <w:pStyle w:val="TableText"/>
            </w:pPr>
            <w:r>
              <w:t>Historical/declining</w:t>
            </w:r>
          </w:p>
        </w:tc>
        <w:tc>
          <w:tcPr>
            <w:tcW w:type="dxa" w:w="4592"/>
            <w:tcMar>
              <w:top w:w="55" w:type="dxa"/>
              <w:start w:w="70" w:type="dxa"/>
              <w:bottom w:w="55" w:type="dxa"/>
              <w:end w:w="70" w:type="dxa"/>
            </w:tcMar>
            <w:vAlign w:val="top"/>
          </w:tcPr>
          <w:p>
            <w:pPr>
              <w:pStyle w:val="TableText"/>
            </w:pPr>
            <w:r>
              <w:t>The current standard term is intermission. [U14]</w:t>
            </w:r>
          </w:p>
        </w:tc>
      </w:tr>
      <w:tr>
        <w:trPr>
          <w:cantSplit w:val="true"/>
        </w:trPr>
        <w:tc>
          <w:tcPr>
            <w:tcW w:type="dxa" w:w="2835"/>
            <w:shd w:fill="F5F7F8"/>
            <w:tcMar>
              <w:top w:w="55" w:type="dxa"/>
              <w:start w:w="70" w:type="dxa"/>
              <w:bottom w:w="55" w:type="dxa"/>
              <w:end w:w="70" w:type="dxa"/>
            </w:tcMar>
            <w:vAlign w:val="top"/>
          </w:tcPr>
          <w:p>
            <w:pPr>
              <w:pStyle w:val="TableText"/>
            </w:pPr>
            <w:r>
              <w:t>A porter is a servant who carries luggage.</w:t>
            </w:r>
          </w:p>
        </w:tc>
        <w:tc>
          <w:tcPr>
            <w:tcW w:type="dxa" w:w="2324"/>
            <w:shd w:fill="F5F7F8"/>
            <w:tcMar>
              <w:top w:w="55" w:type="dxa"/>
              <w:start w:w="70" w:type="dxa"/>
              <w:bottom w:w="55" w:type="dxa"/>
              <w:end w:w="70" w:type="dxa"/>
            </w:tcMar>
            <w:vAlign w:val="top"/>
          </w:tcPr>
          <w:p>
            <w:pPr>
              <w:pStyle w:val="TableText"/>
            </w:pPr>
            <w:r>
              <w:t>Myth</w:t>
            </w:r>
          </w:p>
        </w:tc>
        <w:tc>
          <w:tcPr>
            <w:tcW w:type="dxa" w:w="4592"/>
            <w:shd w:fill="F5F7F8"/>
            <w:tcMar>
              <w:top w:w="55" w:type="dxa"/>
              <w:start w:w="70" w:type="dxa"/>
              <w:bottom w:w="55" w:type="dxa"/>
              <w:end w:w="70" w:type="dxa"/>
            </w:tcMar>
            <w:vAlign w:val="top"/>
          </w:tcPr>
          <w:p>
            <w:pPr>
              <w:pStyle w:val="TableText"/>
            </w:pPr>
            <w:r>
              <w:t>College porters manage access, keys, safety, post and practical operations; they are not personal baggage staff.</w:t>
            </w:r>
          </w:p>
        </w:tc>
      </w:tr>
      <w:tr>
        <w:trPr>
          <w:cantSplit w:val="true"/>
        </w:trPr>
        <w:tc>
          <w:tcPr>
            <w:tcW w:type="dxa" w:w="2835"/>
            <w:tcMar>
              <w:top w:w="55" w:type="dxa"/>
              <w:start w:w="70" w:type="dxa"/>
              <w:bottom w:w="55" w:type="dxa"/>
              <w:end w:w="70" w:type="dxa"/>
            </w:tcMar>
            <w:vAlign w:val="top"/>
          </w:tcPr>
          <w:p>
            <w:pPr>
              <w:pStyle w:val="TableText"/>
            </w:pPr>
            <w:r>
              <w:t>You must row to have a Cambridge experience.</w:t>
            </w:r>
          </w:p>
        </w:tc>
        <w:tc>
          <w:tcPr>
            <w:tcW w:type="dxa" w:w="2324"/>
            <w:tcMar>
              <w:top w:w="55" w:type="dxa"/>
              <w:start w:w="70" w:type="dxa"/>
              <w:bottom w:w="55" w:type="dxa"/>
              <w:end w:w="70" w:type="dxa"/>
            </w:tcMar>
            <w:vAlign w:val="top"/>
          </w:tcPr>
          <w:p>
            <w:pPr>
              <w:pStyle w:val="TableText"/>
            </w:pPr>
            <w:r>
              <w:t>Myth</w:t>
            </w:r>
          </w:p>
        </w:tc>
        <w:tc>
          <w:tcPr>
            <w:tcW w:type="dxa" w:w="4592"/>
            <w:tcMar>
              <w:top w:w="55" w:type="dxa"/>
              <w:start w:w="70" w:type="dxa"/>
              <w:bottom w:w="55" w:type="dxa"/>
              <w:end w:w="70" w:type="dxa"/>
            </w:tcMar>
            <w:vAlign w:val="top"/>
          </w:tcPr>
          <w:p>
            <w:pPr>
              <w:pStyle w:val="TableText"/>
            </w:pPr>
            <w:r>
              <w:t>Rowing is visible, not compulsory. Hundreds of societies and non-rowing communities exist.</w:t>
            </w:r>
          </w:p>
        </w:tc>
      </w:tr>
      <w:tr>
        <w:trPr>
          <w:cantSplit w:val="true"/>
        </w:trPr>
        <w:tc>
          <w:tcPr>
            <w:tcW w:type="dxa" w:w="2835"/>
            <w:shd w:fill="F5F7F8"/>
            <w:tcMar>
              <w:top w:w="55" w:type="dxa"/>
              <w:start w:w="70" w:type="dxa"/>
              <w:bottom w:w="55" w:type="dxa"/>
              <w:end w:w="70" w:type="dxa"/>
            </w:tcMar>
            <w:vAlign w:val="top"/>
          </w:tcPr>
          <w:p>
            <w:pPr>
              <w:pStyle w:val="TableText"/>
            </w:pPr>
            <w:r>
              <w:t>A College rival must be taken seriously.</w:t>
            </w:r>
          </w:p>
        </w:tc>
        <w:tc>
          <w:tcPr>
            <w:tcW w:type="dxa" w:w="2324"/>
            <w:shd w:fill="F5F7F8"/>
            <w:tcMar>
              <w:top w:w="55" w:type="dxa"/>
              <w:start w:w="70" w:type="dxa"/>
              <w:bottom w:w="55" w:type="dxa"/>
              <w:end w:w="70" w:type="dxa"/>
            </w:tcMar>
            <w:vAlign w:val="top"/>
          </w:tcPr>
          <w:p>
            <w:pPr>
              <w:pStyle w:val="TableText"/>
            </w:pPr>
            <w:r>
              <w:t>Playful tradition</w:t>
            </w:r>
          </w:p>
        </w:tc>
        <w:tc>
          <w:tcPr>
            <w:tcW w:type="dxa" w:w="4592"/>
            <w:shd w:fill="F5F7F8"/>
            <w:tcMar>
              <w:top w:w="55" w:type="dxa"/>
              <w:start w:w="70" w:type="dxa"/>
              <w:bottom w:w="55" w:type="dxa"/>
              <w:end w:w="70" w:type="dxa"/>
            </w:tcMar>
            <w:vAlign w:val="top"/>
          </w:tcPr>
          <w:p>
            <w:pPr>
              <w:pStyle w:val="TableText"/>
            </w:pPr>
            <w:r>
              <w:t>Rivalries are jokes, sport and identity—not a reason to treat people badly.</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Traditions are social tools. Use the ones that create memory or connection and leave the rest.</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Is attendance required, what does it cost, what should I wear, can guests/children attend, and what access or non-alcohol option exists?</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Avoiding every unfamiliar tradition out of fear—or treating unsafe, expensive folklore as a compulsory authenticity test.</w:t>
            </w:r>
          </w:p>
        </w:tc>
      </w:tr>
    </w:tbl>
    <w:p>
      <w:pPr>
        <w:spacing w:after="40"/>
      </w:pPr>
    </w:p>
    <w:p>
      <w:pPr>
        <w:pStyle w:val="Heading1"/>
        <w:keepNext/>
      </w:pPr>
      <w:r>
        <w:t>15. Cambridge language: a detailed translation guide</w:t>
      </w:r>
    </w:p>
    <w:p>
      <w:pPr>
        <w:spacing w:after="160"/>
      </w:pPr>
      <w:r>
        <w:rPr>
          <w:i/>
          <w:color w:val="5F6B73"/>
          <w:sz w:val="20"/>
        </w:rPr>
        <w:t>Most jargon is a shortcut, not a secret test.</w:t>
      </w:r>
    </w:p>
    <w:p>
      <w:r>
        <w:t>Usage varies by College, course and generation. A term marked “local/variable” should be checked in context. “Need?” indicates whether a new mature undergraduate is likely to need it immediately.</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602"/>
        <w:gridCol w:w="3958"/>
        <w:gridCol w:w="2120"/>
        <w:gridCol w:w="2356"/>
      </w:tblGrid>
      <w:tr>
        <w:trPr>
          <w:tblHeader w:val="true"/>
          <w:cantSplit w:val="true"/>
        </w:trPr>
        <w:tc>
          <w:tcPr>
            <w:tcW w:type="dxa" w:w="1602"/>
            <w:shd w:fill="17324D"/>
            <w:tcMar>
              <w:top w:w="70" w:type="dxa"/>
              <w:start w:w="80" w:type="dxa"/>
              <w:bottom w:w="70" w:type="dxa"/>
              <w:end w:w="80" w:type="dxa"/>
            </w:tcMar>
            <w:vAlign w:val="center"/>
          </w:tcPr>
          <w:p>
            <w:pPr>
              <w:pStyle w:val="TableSmall"/>
              <w:jc w:val="left"/>
            </w:pPr>
            <w:r>
              <w:rPr>
                <w:b/>
                <w:color w:val="FFFFFF"/>
                <w:sz w:val="13"/>
              </w:rPr>
              <w:t>Term</w:t>
            </w:r>
          </w:p>
        </w:tc>
        <w:tc>
          <w:tcPr>
            <w:tcW w:type="dxa" w:w="3958"/>
            <w:shd w:fill="17324D"/>
            <w:tcMar>
              <w:top w:w="70" w:type="dxa"/>
              <w:start w:w="80" w:type="dxa"/>
              <w:bottom w:w="70" w:type="dxa"/>
              <w:end w:w="80" w:type="dxa"/>
            </w:tcMar>
            <w:vAlign w:val="center"/>
          </w:tcPr>
          <w:p>
            <w:pPr>
              <w:pStyle w:val="TableSmall"/>
              <w:jc w:val="left"/>
            </w:pPr>
            <w:r>
              <w:rPr>
                <w:b/>
                <w:color w:val="FFFFFF"/>
                <w:sz w:val="13"/>
              </w:rPr>
              <w:t>Plain-English definition</w:t>
            </w:r>
          </w:p>
        </w:tc>
        <w:tc>
          <w:tcPr>
            <w:tcW w:type="dxa" w:w="2120"/>
            <w:shd w:fill="17324D"/>
            <w:tcMar>
              <w:top w:w="70" w:type="dxa"/>
              <w:start w:w="80" w:type="dxa"/>
              <w:bottom w:w="70" w:type="dxa"/>
              <w:end w:w="80" w:type="dxa"/>
            </w:tcMar>
            <w:vAlign w:val="center"/>
          </w:tcPr>
          <w:p>
            <w:pPr>
              <w:pStyle w:val="TableSmall"/>
              <w:jc w:val="left"/>
            </w:pPr>
            <w:r>
              <w:rPr>
                <w:b/>
                <w:color w:val="FFFFFF"/>
                <w:sz w:val="13"/>
              </w:rPr>
              <w:t>Example</w:t>
            </w:r>
          </w:p>
        </w:tc>
        <w:tc>
          <w:tcPr>
            <w:tcW w:type="dxa" w:w="2356"/>
            <w:shd w:fill="17324D"/>
            <w:tcMar>
              <w:top w:w="70" w:type="dxa"/>
              <w:start w:w="80" w:type="dxa"/>
              <w:bottom w:w="70" w:type="dxa"/>
              <w:end w:w="80" w:type="dxa"/>
            </w:tcMar>
            <w:vAlign w:val="center"/>
          </w:tcPr>
          <w:p>
            <w:pPr>
              <w:pStyle w:val="TableSmall"/>
              <w:jc w:val="left"/>
            </w:pPr>
            <w:r>
              <w:rPr>
                <w:b/>
                <w:color w:val="FFFFFF"/>
                <w:sz w:val="13"/>
              </w:rPr>
              <w:t>Need / warning</w:t>
            </w:r>
          </w:p>
        </w:tc>
      </w:tr>
      <w:tr>
        <w:trPr>
          <w:cantSplit w:val="true"/>
        </w:trPr>
        <w:tc>
          <w:tcPr>
            <w:tcW w:type="dxa" w:w="1602"/>
            <w:tcMar>
              <w:top w:w="55" w:type="dxa"/>
              <w:start w:w="70" w:type="dxa"/>
              <w:bottom w:w="55" w:type="dxa"/>
              <w:end w:w="70" w:type="dxa"/>
            </w:tcMar>
            <w:vAlign w:val="top"/>
          </w:tcPr>
          <w:p>
            <w:pPr>
              <w:pStyle w:val="TableSmall"/>
            </w:pPr>
            <w:r>
              <w:rPr>
                <w:sz w:val="13"/>
              </w:rPr>
              <w:t>Addie’s</w:t>
            </w:r>
          </w:p>
        </w:tc>
        <w:tc>
          <w:tcPr>
            <w:tcW w:type="dxa" w:w="3958"/>
            <w:tcMar>
              <w:top w:w="55" w:type="dxa"/>
              <w:start w:w="70" w:type="dxa"/>
              <w:bottom w:w="55" w:type="dxa"/>
              <w:end w:w="70" w:type="dxa"/>
            </w:tcMar>
            <w:vAlign w:val="top"/>
          </w:tcPr>
          <w:p>
            <w:pPr>
              <w:pStyle w:val="TableSmall"/>
            </w:pPr>
            <w:r>
              <w:rPr>
                <w:sz w:val="13"/>
              </w:rPr>
              <w:t>Addenbrooke’s Hospital and the Cambridge Biomedical Campus. Local shorthand.</w:t>
            </w:r>
          </w:p>
        </w:tc>
        <w:tc>
          <w:tcPr>
            <w:tcW w:type="dxa" w:w="2120"/>
            <w:tcMar>
              <w:top w:w="55" w:type="dxa"/>
              <w:start w:w="70" w:type="dxa"/>
              <w:bottom w:w="55" w:type="dxa"/>
              <w:end w:w="70" w:type="dxa"/>
            </w:tcMar>
            <w:vAlign w:val="top"/>
          </w:tcPr>
          <w:p>
            <w:pPr>
              <w:pStyle w:val="TableSmall"/>
            </w:pPr>
            <w:r>
              <w:rPr>
                <w:sz w:val="13"/>
              </w:rPr>
              <w:t>“My placement is at Addie’s.”</w:t>
            </w:r>
          </w:p>
        </w:tc>
        <w:tc>
          <w:tcPr>
            <w:tcW w:type="dxa" w:w="2356"/>
            <w:tcMar>
              <w:top w:w="55" w:type="dxa"/>
              <w:start w:w="70" w:type="dxa"/>
              <w:bottom w:w="55" w:type="dxa"/>
              <w:end w:w="70" w:type="dxa"/>
            </w:tcMar>
            <w:vAlign w:val="top"/>
          </w:tcPr>
          <w:p>
            <w:pPr>
              <w:pStyle w:val="TableSmall"/>
            </w:pPr>
            <w:r>
              <w:rPr>
                <w:sz w:val="13"/>
              </w:rPr>
              <w:t>Yes for medicine/health; useful for town travel.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Adviser / advisor</w:t>
            </w:r>
          </w:p>
        </w:tc>
        <w:tc>
          <w:tcPr>
            <w:tcW w:type="dxa" w:w="3958"/>
            <w:shd w:fill="F5F7F8"/>
            <w:tcMar>
              <w:top w:w="55" w:type="dxa"/>
              <w:start w:w="70" w:type="dxa"/>
              <w:bottom w:w="55" w:type="dxa"/>
              <w:end w:w="70" w:type="dxa"/>
            </w:tcMar>
            <w:vAlign w:val="top"/>
          </w:tcPr>
          <w:p>
            <w:pPr>
              <w:pStyle w:val="TableSmall"/>
            </w:pPr>
            <w:r>
              <w:rPr>
                <w:sz w:val="13"/>
              </w:rPr>
              <w:t>A specialist or College-defined support role; there is no single standard undergraduate “academic adviser” across Cambridge.</w:t>
            </w:r>
          </w:p>
        </w:tc>
        <w:tc>
          <w:tcPr>
            <w:tcW w:type="dxa" w:w="2120"/>
            <w:shd w:fill="F5F7F8"/>
            <w:tcMar>
              <w:top w:w="55" w:type="dxa"/>
              <w:start w:w="70" w:type="dxa"/>
              <w:bottom w:w="55" w:type="dxa"/>
              <w:end w:w="70" w:type="dxa"/>
            </w:tcMar>
            <w:vAlign w:val="top"/>
          </w:tcPr>
          <w:p>
            <w:pPr>
              <w:pStyle w:val="TableSmall"/>
            </w:pPr>
            <w:r>
              <w:rPr>
                <w:sz w:val="13"/>
              </w:rPr>
              <w:t>“My disability adviser helped clarify the support document.”</w:t>
            </w:r>
          </w:p>
        </w:tc>
        <w:tc>
          <w:tcPr>
            <w:tcW w:type="dxa" w:w="2356"/>
            <w:shd w:fill="F5F7F8"/>
            <w:tcMar>
              <w:top w:w="55" w:type="dxa"/>
              <w:start w:w="70" w:type="dxa"/>
              <w:bottom w:w="55" w:type="dxa"/>
              <w:end w:w="70" w:type="dxa"/>
            </w:tcMar>
            <w:vAlign w:val="top"/>
          </w:tcPr>
          <w:p>
            <w:pPr>
              <w:pStyle w:val="TableSmall"/>
            </w:pPr>
            <w:r>
              <w:rPr>
                <w:sz w:val="13"/>
              </w:rPr>
              <w:t>Ask what the role can authorise.</w:t>
            </w:r>
          </w:p>
        </w:tc>
      </w:tr>
      <w:tr>
        <w:trPr>
          <w:cantSplit w:val="true"/>
        </w:trPr>
        <w:tc>
          <w:tcPr>
            <w:tcW w:type="dxa" w:w="1602"/>
            <w:tcMar>
              <w:top w:w="55" w:type="dxa"/>
              <w:start w:w="70" w:type="dxa"/>
              <w:bottom w:w="55" w:type="dxa"/>
              <w:end w:w="70" w:type="dxa"/>
            </w:tcMar>
            <w:vAlign w:val="top"/>
          </w:tcPr>
          <w:p>
            <w:pPr>
              <w:pStyle w:val="TableSmall"/>
            </w:pPr>
            <w:r>
              <w:rPr>
                <w:sz w:val="13"/>
              </w:rPr>
              <w:t>Backs, the</w:t>
            </w:r>
          </w:p>
        </w:tc>
        <w:tc>
          <w:tcPr>
            <w:tcW w:type="dxa" w:w="3958"/>
            <w:tcMar>
              <w:top w:w="55" w:type="dxa"/>
              <w:start w:w="70" w:type="dxa"/>
              <w:bottom w:w="55" w:type="dxa"/>
              <w:end w:w="70" w:type="dxa"/>
            </w:tcMar>
            <w:vAlign w:val="top"/>
          </w:tcPr>
          <w:p>
            <w:pPr>
              <w:pStyle w:val="TableSmall"/>
            </w:pPr>
            <w:r>
              <w:rPr>
                <w:sz w:val="13"/>
              </w:rPr>
              <w:t>The landscaped river corridor behind several central Colleges.</w:t>
            </w:r>
          </w:p>
        </w:tc>
        <w:tc>
          <w:tcPr>
            <w:tcW w:type="dxa" w:w="2120"/>
            <w:tcMar>
              <w:top w:w="55" w:type="dxa"/>
              <w:start w:w="70" w:type="dxa"/>
              <w:bottom w:w="55" w:type="dxa"/>
              <w:end w:w="70" w:type="dxa"/>
            </w:tcMar>
            <w:vAlign w:val="top"/>
          </w:tcPr>
          <w:p>
            <w:pPr>
              <w:pStyle w:val="TableSmall"/>
            </w:pPr>
            <w:r>
              <w:rPr>
                <w:sz w:val="13"/>
              </w:rPr>
              <w:t>“We walked along the Backs after lunch.”</w:t>
            </w:r>
          </w:p>
        </w:tc>
        <w:tc>
          <w:tcPr>
            <w:tcW w:type="dxa" w:w="2356"/>
            <w:tcMar>
              <w:top w:w="55" w:type="dxa"/>
              <w:start w:w="70" w:type="dxa"/>
              <w:bottom w:w="55" w:type="dxa"/>
              <w:end w:w="70" w:type="dxa"/>
            </w:tcMar>
            <w:vAlign w:val="top"/>
          </w:tcPr>
          <w:p>
            <w:pPr>
              <w:pStyle w:val="TableSmall"/>
            </w:pPr>
            <w:r>
              <w:rPr>
                <w:sz w:val="13"/>
              </w:rPr>
              <w:t>Useful place-name.</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Bank party</w:t>
            </w:r>
          </w:p>
        </w:tc>
        <w:tc>
          <w:tcPr>
            <w:tcW w:type="dxa" w:w="3958"/>
            <w:shd w:fill="F5F7F8"/>
            <w:tcMar>
              <w:top w:w="55" w:type="dxa"/>
              <w:start w:w="70" w:type="dxa"/>
              <w:bottom w:w="55" w:type="dxa"/>
              <w:end w:w="70" w:type="dxa"/>
            </w:tcMar>
            <w:vAlign w:val="top"/>
          </w:tcPr>
          <w:p>
            <w:pPr>
              <w:pStyle w:val="TableSmall"/>
            </w:pPr>
            <w:r>
              <w:rPr>
                <w:sz w:val="13"/>
              </w:rPr>
              <w:t>People cycling/running beside a rowing crew during Bumps, giving calls and information.</w:t>
            </w:r>
          </w:p>
        </w:tc>
        <w:tc>
          <w:tcPr>
            <w:tcW w:type="dxa" w:w="2120"/>
            <w:shd w:fill="F5F7F8"/>
            <w:tcMar>
              <w:top w:w="55" w:type="dxa"/>
              <w:start w:w="70" w:type="dxa"/>
              <w:bottom w:w="55" w:type="dxa"/>
              <w:end w:w="70" w:type="dxa"/>
            </w:tcMar>
            <w:vAlign w:val="top"/>
          </w:tcPr>
          <w:p>
            <w:pPr>
              <w:pStyle w:val="TableSmall"/>
            </w:pPr>
            <w:r>
              <w:rPr>
                <w:sz w:val="13"/>
              </w:rPr>
              <w:t>“The bank party said they had bumped.”</w:t>
            </w:r>
          </w:p>
        </w:tc>
        <w:tc>
          <w:tcPr>
            <w:tcW w:type="dxa" w:w="2356"/>
            <w:shd w:fill="F5F7F8"/>
            <w:tcMar>
              <w:top w:w="55" w:type="dxa"/>
              <w:start w:w="70" w:type="dxa"/>
              <w:bottom w:w="55" w:type="dxa"/>
              <w:end w:w="70" w:type="dxa"/>
            </w:tcMar>
            <w:vAlign w:val="top"/>
          </w:tcPr>
          <w:p>
            <w:pPr>
              <w:pStyle w:val="TableSmall"/>
            </w:pPr>
            <w:r>
              <w:rPr>
                <w:sz w:val="13"/>
              </w:rPr>
              <w:t>Only if following rowing.</w:t>
            </w:r>
          </w:p>
        </w:tc>
      </w:tr>
      <w:tr>
        <w:trPr>
          <w:cantSplit w:val="true"/>
        </w:trPr>
        <w:tc>
          <w:tcPr>
            <w:tcW w:type="dxa" w:w="1602"/>
            <w:tcMar>
              <w:top w:w="55" w:type="dxa"/>
              <w:start w:w="70" w:type="dxa"/>
              <w:bottom w:w="55" w:type="dxa"/>
              <w:end w:w="70" w:type="dxa"/>
            </w:tcMar>
            <w:vAlign w:val="top"/>
          </w:tcPr>
          <w:p>
            <w:pPr>
              <w:pStyle w:val="TableSmall"/>
            </w:pPr>
            <w:r>
              <w:rPr>
                <w:sz w:val="13"/>
              </w:rPr>
              <w:t>Bedder</w:t>
            </w:r>
          </w:p>
        </w:tc>
        <w:tc>
          <w:tcPr>
            <w:tcW w:type="dxa" w:w="3958"/>
            <w:tcMar>
              <w:top w:w="55" w:type="dxa"/>
              <w:start w:w="70" w:type="dxa"/>
              <w:bottom w:w="55" w:type="dxa"/>
              <w:end w:w="70" w:type="dxa"/>
            </w:tcMar>
            <w:vAlign w:val="top"/>
          </w:tcPr>
          <w:p>
            <w:pPr>
              <w:pStyle w:val="TableSmall"/>
            </w:pPr>
            <w:r>
              <w:rPr>
                <w:sz w:val="13"/>
              </w:rPr>
              <w:t>Traditional word for College domestic staff who clean communal areas and, depending on College, rooms. Current usage and service vary.</w:t>
            </w:r>
          </w:p>
        </w:tc>
        <w:tc>
          <w:tcPr>
            <w:tcW w:type="dxa" w:w="2120"/>
            <w:tcMar>
              <w:top w:w="55" w:type="dxa"/>
              <w:start w:w="70" w:type="dxa"/>
              <w:bottom w:w="55" w:type="dxa"/>
              <w:end w:w="70" w:type="dxa"/>
            </w:tcMar>
            <w:vAlign w:val="top"/>
          </w:tcPr>
          <w:p>
            <w:pPr>
              <w:pStyle w:val="TableSmall"/>
            </w:pPr>
            <w:r>
              <w:rPr>
                <w:sz w:val="13"/>
              </w:rPr>
              <w:t>“Check the room-entry notice for the bedder.”</w:t>
            </w:r>
          </w:p>
        </w:tc>
        <w:tc>
          <w:tcPr>
            <w:tcW w:type="dxa" w:w="2356"/>
            <w:tcMar>
              <w:top w:w="55" w:type="dxa"/>
              <w:start w:w="70" w:type="dxa"/>
              <w:bottom w:w="55" w:type="dxa"/>
              <w:end w:w="70" w:type="dxa"/>
            </w:tcMar>
            <w:vAlign w:val="top"/>
          </w:tcPr>
          <w:p>
            <w:pPr>
              <w:pStyle w:val="TableSmall"/>
            </w:pPr>
            <w:r>
              <w:rPr>
                <w:sz w:val="13"/>
              </w:rPr>
              <w:t>Know respectfully; use the staff member’s preferred title.</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Blades</w:t>
            </w:r>
          </w:p>
        </w:tc>
        <w:tc>
          <w:tcPr>
            <w:tcW w:type="dxa" w:w="3958"/>
            <w:shd w:fill="F5F7F8"/>
            <w:tcMar>
              <w:top w:w="55" w:type="dxa"/>
              <w:start w:w="70" w:type="dxa"/>
              <w:bottom w:w="55" w:type="dxa"/>
              <w:end w:w="70" w:type="dxa"/>
            </w:tcMar>
            <w:vAlign w:val="top"/>
          </w:tcPr>
          <w:p>
            <w:pPr>
              <w:pStyle w:val="TableSmall"/>
            </w:pPr>
            <w:r>
              <w:rPr>
                <w:sz w:val="13"/>
              </w:rPr>
              <w:t>Rowing award/tradition for bumping on every race day, subject to rules/convention.</w:t>
            </w:r>
          </w:p>
        </w:tc>
        <w:tc>
          <w:tcPr>
            <w:tcW w:type="dxa" w:w="2120"/>
            <w:shd w:fill="F5F7F8"/>
            <w:tcMar>
              <w:top w:w="55" w:type="dxa"/>
              <w:start w:w="70" w:type="dxa"/>
              <w:bottom w:w="55" w:type="dxa"/>
              <w:end w:w="70" w:type="dxa"/>
            </w:tcMar>
            <w:vAlign w:val="top"/>
          </w:tcPr>
          <w:p>
            <w:pPr>
              <w:pStyle w:val="TableSmall"/>
            </w:pPr>
            <w:r>
              <w:rPr>
                <w:sz w:val="13"/>
              </w:rPr>
              <w:t>“The crew won their blades.”</w:t>
            </w:r>
          </w:p>
        </w:tc>
        <w:tc>
          <w:tcPr>
            <w:tcW w:type="dxa" w:w="2356"/>
            <w:shd w:fill="F5F7F8"/>
            <w:tcMar>
              <w:top w:w="55" w:type="dxa"/>
              <w:start w:w="70" w:type="dxa"/>
              <w:bottom w:w="55" w:type="dxa"/>
              <w:end w:w="70" w:type="dxa"/>
            </w:tcMar>
            <w:vAlign w:val="top"/>
          </w:tcPr>
          <w:p>
            <w:pPr>
              <w:pStyle w:val="TableSmall"/>
            </w:pPr>
            <w:r>
              <w:rPr>
                <w:sz w:val="13"/>
              </w:rPr>
              <w:t>Rowing culture only.</w:t>
            </w:r>
          </w:p>
        </w:tc>
      </w:tr>
      <w:tr>
        <w:trPr>
          <w:cantSplit w:val="true"/>
        </w:trPr>
        <w:tc>
          <w:tcPr>
            <w:tcW w:type="dxa" w:w="1602"/>
            <w:tcMar>
              <w:top w:w="55" w:type="dxa"/>
              <w:start w:w="70" w:type="dxa"/>
              <w:bottom w:w="55" w:type="dxa"/>
              <w:end w:w="70" w:type="dxa"/>
            </w:tcMar>
            <w:vAlign w:val="top"/>
          </w:tcPr>
          <w:p>
            <w:pPr>
              <w:pStyle w:val="TableSmall"/>
            </w:pPr>
            <w:r>
              <w:rPr>
                <w:sz w:val="13"/>
              </w:rPr>
              <w:t>Blues</w:t>
            </w:r>
          </w:p>
        </w:tc>
        <w:tc>
          <w:tcPr>
            <w:tcW w:type="dxa" w:w="3958"/>
            <w:tcMar>
              <w:top w:w="55" w:type="dxa"/>
              <w:start w:w="70" w:type="dxa"/>
              <w:bottom w:w="55" w:type="dxa"/>
              <w:end w:w="70" w:type="dxa"/>
            </w:tcMar>
            <w:vAlign w:val="top"/>
          </w:tcPr>
          <w:p>
            <w:pPr>
              <w:pStyle w:val="TableSmall"/>
            </w:pPr>
            <w:r>
              <w:rPr>
                <w:sz w:val="13"/>
              </w:rPr>
              <w:t>University-level sporting honours and, by extension, top representative teams.</w:t>
            </w:r>
          </w:p>
        </w:tc>
        <w:tc>
          <w:tcPr>
            <w:tcW w:type="dxa" w:w="2120"/>
            <w:tcMar>
              <w:top w:w="55" w:type="dxa"/>
              <w:start w:w="70" w:type="dxa"/>
              <w:bottom w:w="55" w:type="dxa"/>
              <w:end w:w="70" w:type="dxa"/>
            </w:tcMar>
            <w:vAlign w:val="top"/>
          </w:tcPr>
          <w:p>
            <w:pPr>
              <w:pStyle w:val="TableSmall"/>
            </w:pPr>
            <w:r>
              <w:rPr>
                <w:sz w:val="13"/>
              </w:rPr>
              <w:t>“She plays for the Blues.”</w:t>
            </w:r>
          </w:p>
        </w:tc>
        <w:tc>
          <w:tcPr>
            <w:tcW w:type="dxa" w:w="2356"/>
            <w:tcMar>
              <w:top w:w="55" w:type="dxa"/>
              <w:start w:w="70" w:type="dxa"/>
              <w:bottom w:w="55" w:type="dxa"/>
              <w:end w:w="70" w:type="dxa"/>
            </w:tcMar>
            <w:vAlign w:val="top"/>
          </w:tcPr>
          <w:p>
            <w:pPr>
              <w:pStyle w:val="TableSmall"/>
            </w:pPr>
            <w:r>
              <w:rPr>
                <w:sz w:val="13"/>
              </w:rPr>
              <w:t>Useful around sport; not a degree classification.</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Bop</w:t>
            </w:r>
          </w:p>
        </w:tc>
        <w:tc>
          <w:tcPr>
            <w:tcW w:type="dxa" w:w="3958"/>
            <w:shd w:fill="F5F7F8"/>
            <w:tcMar>
              <w:top w:w="55" w:type="dxa"/>
              <w:start w:w="70" w:type="dxa"/>
              <w:bottom w:w="55" w:type="dxa"/>
              <w:end w:w="70" w:type="dxa"/>
            </w:tcMar>
            <w:vAlign w:val="top"/>
          </w:tcPr>
          <w:p>
            <w:pPr>
              <w:pStyle w:val="TableSmall"/>
            </w:pPr>
            <w:r>
              <w:rPr>
                <w:sz w:val="13"/>
              </w:rPr>
              <w:t>A College party/disco, often themed and late.</w:t>
            </w:r>
          </w:p>
        </w:tc>
        <w:tc>
          <w:tcPr>
            <w:tcW w:type="dxa" w:w="2120"/>
            <w:shd w:fill="F5F7F8"/>
            <w:tcMar>
              <w:top w:w="55" w:type="dxa"/>
              <w:start w:w="70" w:type="dxa"/>
              <w:bottom w:w="55" w:type="dxa"/>
              <w:end w:w="70" w:type="dxa"/>
            </w:tcMar>
            <w:vAlign w:val="top"/>
          </w:tcPr>
          <w:p>
            <w:pPr>
              <w:pStyle w:val="TableSmall"/>
            </w:pPr>
            <w:r>
              <w:rPr>
                <w:sz w:val="13"/>
              </w:rPr>
              <w:t>“The bop starts after Formal.”</w:t>
            </w:r>
          </w:p>
        </w:tc>
        <w:tc>
          <w:tcPr>
            <w:tcW w:type="dxa" w:w="2356"/>
            <w:shd w:fill="F5F7F8"/>
            <w:tcMar>
              <w:top w:w="55" w:type="dxa"/>
              <w:start w:w="70" w:type="dxa"/>
              <w:bottom w:w="55" w:type="dxa"/>
              <w:end w:w="70" w:type="dxa"/>
            </w:tcMar>
            <w:vAlign w:val="top"/>
          </w:tcPr>
          <w:p>
            <w:pPr>
              <w:pStyle w:val="TableSmall"/>
            </w:pPr>
            <w:r>
              <w:rPr>
                <w:sz w:val="13"/>
              </w:rPr>
              <w:t>Optional; useful social word.</w:t>
            </w:r>
          </w:p>
        </w:tc>
      </w:tr>
      <w:tr>
        <w:trPr>
          <w:cantSplit w:val="true"/>
        </w:trPr>
        <w:tc>
          <w:tcPr>
            <w:tcW w:type="dxa" w:w="1602"/>
            <w:tcMar>
              <w:top w:w="55" w:type="dxa"/>
              <w:start w:w="70" w:type="dxa"/>
              <w:bottom w:w="55" w:type="dxa"/>
              <w:end w:w="70" w:type="dxa"/>
            </w:tcMar>
            <w:vAlign w:val="top"/>
          </w:tcPr>
          <w:p>
            <w:pPr>
              <w:pStyle w:val="TableSmall"/>
            </w:pPr>
            <w:r>
              <w:rPr>
                <w:sz w:val="13"/>
              </w:rPr>
              <w:t>Bumps</w:t>
            </w:r>
          </w:p>
        </w:tc>
        <w:tc>
          <w:tcPr>
            <w:tcW w:type="dxa" w:w="3958"/>
            <w:tcMar>
              <w:top w:w="55" w:type="dxa"/>
              <w:start w:w="70" w:type="dxa"/>
              <w:bottom w:w="55" w:type="dxa"/>
              <w:end w:w="70" w:type="dxa"/>
            </w:tcMar>
            <w:vAlign w:val="top"/>
          </w:tcPr>
          <w:p>
            <w:pPr>
              <w:pStyle w:val="TableSmall"/>
            </w:pPr>
            <w:r>
              <w:rPr>
                <w:sz w:val="13"/>
              </w:rPr>
              <w:t>Processional rowing races in which crews chase the boat ahead on the narrow Cam.</w:t>
            </w:r>
          </w:p>
        </w:tc>
        <w:tc>
          <w:tcPr>
            <w:tcW w:type="dxa" w:w="2120"/>
            <w:tcMar>
              <w:top w:w="55" w:type="dxa"/>
              <w:start w:w="70" w:type="dxa"/>
              <w:bottom w:w="55" w:type="dxa"/>
              <w:end w:w="70" w:type="dxa"/>
            </w:tcMar>
            <w:vAlign w:val="top"/>
          </w:tcPr>
          <w:p>
            <w:pPr>
              <w:pStyle w:val="TableSmall"/>
            </w:pPr>
            <w:r>
              <w:rPr>
                <w:sz w:val="13"/>
              </w:rPr>
              <w:t>“May Bumps runs during May Week.”</w:t>
            </w:r>
          </w:p>
        </w:tc>
        <w:tc>
          <w:tcPr>
            <w:tcW w:type="dxa" w:w="2356"/>
            <w:tcMar>
              <w:top w:w="55" w:type="dxa"/>
              <w:start w:w="70" w:type="dxa"/>
              <w:bottom w:w="55" w:type="dxa"/>
              <w:end w:w="70" w:type="dxa"/>
            </w:tcMar>
            <w:vAlign w:val="top"/>
          </w:tcPr>
          <w:p>
            <w:pPr>
              <w:pStyle w:val="TableSmall"/>
            </w:pPr>
            <w:r>
              <w:rPr>
                <w:sz w:val="13"/>
              </w:rPr>
              <w:t>Yes for understanding Cambridge summer.</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Buttery</w:t>
            </w:r>
          </w:p>
        </w:tc>
        <w:tc>
          <w:tcPr>
            <w:tcW w:type="dxa" w:w="3958"/>
            <w:shd w:fill="F5F7F8"/>
            <w:tcMar>
              <w:top w:w="55" w:type="dxa"/>
              <w:start w:w="70" w:type="dxa"/>
              <w:bottom w:w="55" w:type="dxa"/>
              <w:end w:w="70" w:type="dxa"/>
            </w:tcMar>
            <w:vAlign w:val="top"/>
          </w:tcPr>
          <w:p>
            <w:pPr>
              <w:pStyle w:val="TableSmall"/>
            </w:pPr>
            <w:r>
              <w:rPr>
                <w:sz w:val="13"/>
              </w:rPr>
              <w:t>Variable by College: canteen/servery, café, bar or social room. It is not one standard facility.</w:t>
            </w:r>
          </w:p>
        </w:tc>
        <w:tc>
          <w:tcPr>
            <w:tcW w:type="dxa" w:w="2120"/>
            <w:shd w:fill="F5F7F8"/>
            <w:tcMar>
              <w:top w:w="55" w:type="dxa"/>
              <w:start w:w="70" w:type="dxa"/>
              <w:bottom w:w="55" w:type="dxa"/>
              <w:end w:w="70" w:type="dxa"/>
            </w:tcMar>
            <w:vAlign w:val="top"/>
          </w:tcPr>
          <w:p>
            <w:pPr>
              <w:pStyle w:val="TableSmall"/>
            </w:pPr>
            <w:r>
              <w:rPr>
                <w:sz w:val="13"/>
              </w:rPr>
              <w:t>“Meet me in the Buttery” may mean coffee at Christ’s or the canteen at Clare.</w:t>
            </w:r>
          </w:p>
        </w:tc>
        <w:tc>
          <w:tcPr>
            <w:tcW w:type="dxa" w:w="2356"/>
            <w:shd w:fill="F5F7F8"/>
            <w:tcMar>
              <w:top w:w="55" w:type="dxa"/>
              <w:start w:w="70" w:type="dxa"/>
              <w:bottom w:w="55" w:type="dxa"/>
              <w:end w:w="70" w:type="dxa"/>
            </w:tcMar>
            <w:vAlign w:val="top"/>
          </w:tcPr>
          <w:p>
            <w:pPr>
              <w:pStyle w:val="TableSmall"/>
            </w:pPr>
            <w:r>
              <w:rPr>
                <w:sz w:val="13"/>
              </w:rPr>
              <w:t>Yes—ask which function and opening hours.</w:t>
            </w:r>
          </w:p>
        </w:tc>
      </w:tr>
      <w:tr>
        <w:trPr>
          <w:cantSplit w:val="true"/>
        </w:trPr>
        <w:tc>
          <w:tcPr>
            <w:tcW w:type="dxa" w:w="1602"/>
            <w:tcMar>
              <w:top w:w="55" w:type="dxa"/>
              <w:start w:w="70" w:type="dxa"/>
              <w:bottom w:w="55" w:type="dxa"/>
              <w:end w:w="70" w:type="dxa"/>
            </w:tcMar>
            <w:vAlign w:val="top"/>
          </w:tcPr>
          <w:p>
            <w:pPr>
              <w:pStyle w:val="TableSmall"/>
            </w:pPr>
            <w:r>
              <w:rPr>
                <w:sz w:val="13"/>
              </w:rPr>
              <w:t>Cam, the</w:t>
            </w:r>
          </w:p>
        </w:tc>
        <w:tc>
          <w:tcPr>
            <w:tcW w:type="dxa" w:w="3958"/>
            <w:tcMar>
              <w:top w:w="55" w:type="dxa"/>
              <w:start w:w="70" w:type="dxa"/>
              <w:bottom w:w="55" w:type="dxa"/>
              <w:end w:w="70" w:type="dxa"/>
            </w:tcMar>
            <w:vAlign w:val="top"/>
          </w:tcPr>
          <w:p>
            <w:pPr>
              <w:pStyle w:val="TableSmall"/>
            </w:pPr>
            <w:r>
              <w:rPr>
                <w:sz w:val="13"/>
              </w:rPr>
              <w:t>The river through Cambridge.</w:t>
            </w:r>
          </w:p>
        </w:tc>
        <w:tc>
          <w:tcPr>
            <w:tcW w:type="dxa" w:w="2120"/>
            <w:tcMar>
              <w:top w:w="55" w:type="dxa"/>
              <w:start w:w="70" w:type="dxa"/>
              <w:bottom w:w="55" w:type="dxa"/>
              <w:end w:w="70" w:type="dxa"/>
            </w:tcMar>
            <w:vAlign w:val="top"/>
          </w:tcPr>
          <w:p>
            <w:pPr>
              <w:pStyle w:val="TableSmall"/>
            </w:pPr>
            <w:r>
              <w:rPr>
                <w:sz w:val="13"/>
              </w:rPr>
              <w:t>“The boat houses are on the Cam.”</w:t>
            </w:r>
          </w:p>
        </w:tc>
        <w:tc>
          <w:tcPr>
            <w:tcW w:type="dxa" w:w="2356"/>
            <w:tcMar>
              <w:top w:w="55" w:type="dxa"/>
              <w:start w:w="70" w:type="dxa"/>
              <w:bottom w:w="55" w:type="dxa"/>
              <w:end w:w="70" w:type="dxa"/>
            </w:tcMar>
            <w:vAlign w:val="top"/>
          </w:tcPr>
          <w:p>
            <w:pPr>
              <w:pStyle w:val="TableSmall"/>
            </w:pPr>
            <w:r>
              <w:rPr>
                <w:sz w:val="13"/>
              </w:rPr>
              <w:t>Useful place-name.</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Cambridge Bursary</w:t>
            </w:r>
          </w:p>
        </w:tc>
        <w:tc>
          <w:tcPr>
            <w:tcW w:type="dxa" w:w="3958"/>
            <w:shd w:fill="F5F7F8"/>
            <w:tcMar>
              <w:top w:w="55" w:type="dxa"/>
              <w:start w:w="70" w:type="dxa"/>
              <w:bottom w:w="55" w:type="dxa"/>
              <w:end w:w="70" w:type="dxa"/>
            </w:tcMar>
            <w:vAlign w:val="top"/>
          </w:tcPr>
          <w:p>
            <w:pPr>
              <w:pStyle w:val="TableSmall"/>
            </w:pPr>
            <w:r>
              <w:rPr>
                <w:sz w:val="13"/>
              </w:rPr>
              <w:t>University support for eligible Home undergraduates; non-repayable.</w:t>
            </w:r>
          </w:p>
        </w:tc>
        <w:tc>
          <w:tcPr>
            <w:tcW w:type="dxa" w:w="2120"/>
            <w:shd w:fill="F5F7F8"/>
            <w:tcMar>
              <w:top w:w="55" w:type="dxa"/>
              <w:start w:w="70" w:type="dxa"/>
              <w:bottom w:w="55" w:type="dxa"/>
              <w:end w:w="70" w:type="dxa"/>
            </w:tcMar>
            <w:vAlign w:val="top"/>
          </w:tcPr>
          <w:p>
            <w:pPr>
              <w:pStyle w:val="TableSmall"/>
            </w:pPr>
            <w:r>
              <w:rPr>
                <w:sz w:val="13"/>
              </w:rPr>
              <w:t>“My bursary was assessed through student-finance information.”</w:t>
            </w:r>
          </w:p>
        </w:tc>
        <w:tc>
          <w:tcPr>
            <w:tcW w:type="dxa" w:w="2356"/>
            <w:shd w:fill="F5F7F8"/>
            <w:tcMar>
              <w:top w:w="55" w:type="dxa"/>
              <w:start w:w="70" w:type="dxa"/>
              <w:bottom w:w="55" w:type="dxa"/>
              <w:end w:w="70" w:type="dxa"/>
            </w:tcMar>
            <w:vAlign w:val="top"/>
          </w:tcPr>
          <w:p>
            <w:pPr>
              <w:pStyle w:val="TableSmall"/>
            </w:pPr>
            <w:r>
              <w:rPr>
                <w:sz w:val="13"/>
              </w:rPr>
              <w:t>Essential if eligible. [U07]</w:t>
            </w:r>
          </w:p>
        </w:tc>
      </w:tr>
      <w:tr>
        <w:trPr>
          <w:cantSplit w:val="true"/>
        </w:trPr>
        <w:tc>
          <w:tcPr>
            <w:tcW w:type="dxa" w:w="1602"/>
            <w:tcMar>
              <w:top w:w="55" w:type="dxa"/>
              <w:start w:w="70" w:type="dxa"/>
              <w:bottom w:w="55" w:type="dxa"/>
              <w:end w:w="70" w:type="dxa"/>
            </w:tcMar>
            <w:vAlign w:val="top"/>
          </w:tcPr>
          <w:p>
            <w:pPr>
              <w:pStyle w:val="TableSmall"/>
            </w:pPr>
            <w:r>
              <w:rPr>
                <w:sz w:val="13"/>
              </w:rPr>
              <w:t>Cambridge time</w:t>
            </w:r>
          </w:p>
        </w:tc>
        <w:tc>
          <w:tcPr>
            <w:tcW w:type="dxa" w:w="3958"/>
            <w:tcMar>
              <w:top w:w="55" w:type="dxa"/>
              <w:start w:w="70" w:type="dxa"/>
              <w:bottom w:w="55" w:type="dxa"/>
              <w:end w:w="70" w:type="dxa"/>
            </w:tcMar>
            <w:vAlign w:val="top"/>
          </w:tcPr>
          <w:p>
            <w:pPr>
              <w:pStyle w:val="TableSmall"/>
            </w:pPr>
            <w:r>
              <w:rPr>
                <w:sz w:val="13"/>
              </w:rPr>
              <w:t>Historic/folkloric idea that events begin after the stated time. Do not use it for modern timetables.</w:t>
            </w:r>
          </w:p>
        </w:tc>
        <w:tc>
          <w:tcPr>
            <w:tcW w:type="dxa" w:w="2120"/>
            <w:tcMar>
              <w:top w:w="55" w:type="dxa"/>
              <w:start w:w="70" w:type="dxa"/>
              <w:bottom w:w="55" w:type="dxa"/>
              <w:end w:w="70" w:type="dxa"/>
            </w:tcMar>
            <w:vAlign w:val="top"/>
          </w:tcPr>
          <w:p>
            <w:pPr>
              <w:pStyle w:val="TableSmall"/>
            </w:pPr>
            <w:r>
              <w:rPr>
                <w:sz w:val="13"/>
              </w:rPr>
              <w:t>“Do not rely on Cambridge time for a 09:00 lab.”</w:t>
            </w:r>
          </w:p>
        </w:tc>
        <w:tc>
          <w:tcPr>
            <w:tcW w:type="dxa" w:w="2356"/>
            <w:tcMar>
              <w:top w:w="55" w:type="dxa"/>
              <w:start w:w="70" w:type="dxa"/>
              <w:bottom w:w="55" w:type="dxa"/>
              <w:end w:w="70" w:type="dxa"/>
            </w:tcMar>
            <w:vAlign w:val="top"/>
          </w:tcPr>
          <w:p>
            <w:pPr>
              <w:pStyle w:val="TableSmall"/>
            </w:pPr>
            <w:r>
              <w:rPr>
                <w:sz w:val="13"/>
              </w:rPr>
              <w:t>Know as myth; arrive on time.</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CamSIS</w:t>
            </w:r>
          </w:p>
        </w:tc>
        <w:tc>
          <w:tcPr>
            <w:tcW w:type="dxa" w:w="3958"/>
            <w:shd w:fill="F5F7F8"/>
            <w:tcMar>
              <w:top w:w="55" w:type="dxa"/>
              <w:start w:w="70" w:type="dxa"/>
              <w:bottom w:w="55" w:type="dxa"/>
              <w:end w:w="70" w:type="dxa"/>
            </w:tcMar>
            <w:vAlign w:val="top"/>
          </w:tcPr>
          <w:p>
            <w:pPr>
              <w:pStyle w:val="TableSmall"/>
            </w:pPr>
            <w:r>
              <w:rPr>
                <w:sz w:val="13"/>
              </w:rPr>
              <w:t>Cambridge Student Information System for records and administrative tasks.</w:t>
            </w:r>
          </w:p>
        </w:tc>
        <w:tc>
          <w:tcPr>
            <w:tcW w:type="dxa" w:w="2120"/>
            <w:shd w:fill="F5F7F8"/>
            <w:tcMar>
              <w:top w:w="55" w:type="dxa"/>
              <w:start w:w="70" w:type="dxa"/>
              <w:bottom w:w="55" w:type="dxa"/>
              <w:end w:w="70" w:type="dxa"/>
            </w:tcMar>
            <w:vAlign w:val="top"/>
          </w:tcPr>
          <w:p>
            <w:pPr>
              <w:pStyle w:val="TableSmall"/>
            </w:pPr>
            <w:r>
              <w:rPr>
                <w:sz w:val="13"/>
              </w:rPr>
              <w:t>“Check CamSIS for your record.”</w:t>
            </w:r>
          </w:p>
        </w:tc>
        <w:tc>
          <w:tcPr>
            <w:tcW w:type="dxa" w:w="2356"/>
            <w:shd w:fill="F5F7F8"/>
            <w:tcMar>
              <w:top w:w="55" w:type="dxa"/>
              <w:start w:w="70" w:type="dxa"/>
              <w:bottom w:w="55" w:type="dxa"/>
              <w:end w:w="70" w:type="dxa"/>
            </w:tcMar>
            <w:vAlign w:val="top"/>
          </w:tcPr>
          <w:p>
            <w:pPr>
              <w:pStyle w:val="TableSmall"/>
            </w:pPr>
            <w:r>
              <w:rPr>
                <w:sz w:val="13"/>
              </w:rPr>
              <w:t>Yes.</w:t>
            </w:r>
          </w:p>
        </w:tc>
      </w:tr>
      <w:tr>
        <w:trPr>
          <w:cantSplit w:val="true"/>
        </w:trPr>
        <w:tc>
          <w:tcPr>
            <w:tcW w:type="dxa" w:w="1602"/>
            <w:tcMar>
              <w:top w:w="55" w:type="dxa"/>
              <w:start w:w="70" w:type="dxa"/>
              <w:bottom w:w="55" w:type="dxa"/>
              <w:end w:w="70" w:type="dxa"/>
            </w:tcMar>
            <w:vAlign w:val="top"/>
          </w:tcPr>
          <w:p>
            <w:pPr>
              <w:pStyle w:val="TableSmall"/>
            </w:pPr>
            <w:r>
              <w:rPr>
                <w:sz w:val="13"/>
              </w:rPr>
              <w:t>Classing</w:t>
            </w:r>
          </w:p>
        </w:tc>
        <w:tc>
          <w:tcPr>
            <w:tcW w:type="dxa" w:w="3958"/>
            <w:tcMar>
              <w:top w:w="55" w:type="dxa"/>
              <w:start w:w="70" w:type="dxa"/>
              <w:bottom w:w="55" w:type="dxa"/>
              <w:end w:w="70" w:type="dxa"/>
            </w:tcMar>
            <w:vAlign w:val="top"/>
          </w:tcPr>
          <w:p>
            <w:pPr>
              <w:pStyle w:val="TableSmall"/>
            </w:pPr>
            <w:r>
              <w:rPr>
                <w:sz w:val="13"/>
              </w:rPr>
              <w:t>Informal verb for receiving/assigning a degree class or classification. Usage is not a formal rule.</w:t>
            </w:r>
          </w:p>
        </w:tc>
        <w:tc>
          <w:tcPr>
            <w:tcW w:type="dxa" w:w="2120"/>
            <w:tcMar>
              <w:top w:w="55" w:type="dxa"/>
              <w:start w:w="70" w:type="dxa"/>
              <w:bottom w:w="55" w:type="dxa"/>
              <w:end w:w="70" w:type="dxa"/>
            </w:tcMar>
            <w:vAlign w:val="top"/>
          </w:tcPr>
          <w:p>
            <w:pPr>
              <w:pStyle w:val="TableSmall"/>
            </w:pPr>
            <w:r>
              <w:rPr>
                <w:sz w:val="13"/>
              </w:rPr>
              <w:t>“How is this Tripos classed?”</w:t>
            </w:r>
          </w:p>
        </w:tc>
        <w:tc>
          <w:tcPr>
            <w:tcW w:type="dxa" w:w="2356"/>
            <w:tcMar>
              <w:top w:w="55" w:type="dxa"/>
              <w:start w:w="70" w:type="dxa"/>
              <w:bottom w:w="55" w:type="dxa"/>
              <w:end w:w="70" w:type="dxa"/>
            </w:tcMar>
            <w:vAlign w:val="top"/>
          </w:tcPr>
          <w:p>
            <w:pPr>
              <w:pStyle w:val="TableSmall"/>
            </w:pPr>
            <w:r>
              <w:rPr>
                <w:sz w:val="13"/>
              </w:rPr>
              <w:t>Useful, but consult course regulations.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Class list</w:t>
            </w:r>
          </w:p>
        </w:tc>
        <w:tc>
          <w:tcPr>
            <w:tcW w:type="dxa" w:w="3958"/>
            <w:shd w:fill="F5F7F8"/>
            <w:tcMar>
              <w:top w:w="55" w:type="dxa"/>
              <w:start w:w="70" w:type="dxa"/>
              <w:bottom w:w="55" w:type="dxa"/>
              <w:end w:w="70" w:type="dxa"/>
            </w:tcMar>
            <w:vAlign w:val="top"/>
          </w:tcPr>
          <w:p>
            <w:pPr>
              <w:pStyle w:val="TableSmall"/>
            </w:pPr>
            <w:r>
              <w:rPr>
                <w:sz w:val="13"/>
              </w:rPr>
              <w:t>A list of examination outcomes; publication practices have changed and current privacy/results rules control.</w:t>
            </w:r>
          </w:p>
        </w:tc>
        <w:tc>
          <w:tcPr>
            <w:tcW w:type="dxa" w:w="2120"/>
            <w:shd w:fill="F5F7F8"/>
            <w:tcMar>
              <w:top w:w="55" w:type="dxa"/>
              <w:start w:w="70" w:type="dxa"/>
              <w:bottom w:w="55" w:type="dxa"/>
              <w:end w:w="70" w:type="dxa"/>
            </w:tcMar>
            <w:vAlign w:val="top"/>
          </w:tcPr>
          <w:p>
            <w:pPr>
              <w:pStyle w:val="TableSmall"/>
            </w:pPr>
            <w:r>
              <w:rPr>
                <w:sz w:val="13"/>
              </w:rPr>
              <w:t>“My result appears in the current results system.”</w:t>
            </w:r>
          </w:p>
        </w:tc>
        <w:tc>
          <w:tcPr>
            <w:tcW w:type="dxa" w:w="2356"/>
            <w:shd w:fill="F5F7F8"/>
            <w:tcMar>
              <w:top w:w="55" w:type="dxa"/>
              <w:start w:w="70" w:type="dxa"/>
              <w:bottom w:w="55" w:type="dxa"/>
              <w:end w:w="70" w:type="dxa"/>
            </w:tcMar>
            <w:vAlign w:val="top"/>
          </w:tcPr>
          <w:p>
            <w:pPr>
              <w:pStyle w:val="TableSmall"/>
            </w:pPr>
            <w:r>
              <w:rPr>
                <w:sz w:val="13"/>
              </w:rPr>
              <w:t>Know; ignore old public-posting assumptions. [U39]</w:t>
            </w:r>
          </w:p>
        </w:tc>
      </w:tr>
      <w:tr>
        <w:trPr>
          <w:cantSplit w:val="true"/>
        </w:trPr>
        <w:tc>
          <w:tcPr>
            <w:tcW w:type="dxa" w:w="1602"/>
            <w:tcMar>
              <w:top w:w="55" w:type="dxa"/>
              <w:start w:w="70" w:type="dxa"/>
              <w:bottom w:w="55" w:type="dxa"/>
              <w:end w:w="70" w:type="dxa"/>
            </w:tcMar>
            <w:vAlign w:val="top"/>
          </w:tcPr>
          <w:p>
            <w:pPr>
              <w:pStyle w:val="TableSmall"/>
            </w:pPr>
            <w:r>
              <w:rPr>
                <w:sz w:val="13"/>
              </w:rPr>
              <w:t>College bill</w:t>
            </w:r>
          </w:p>
        </w:tc>
        <w:tc>
          <w:tcPr>
            <w:tcW w:type="dxa" w:w="3958"/>
            <w:tcMar>
              <w:top w:w="55" w:type="dxa"/>
              <w:start w:w="70" w:type="dxa"/>
              <w:bottom w:w="55" w:type="dxa"/>
              <w:end w:w="70" w:type="dxa"/>
            </w:tcMar>
            <w:vAlign w:val="top"/>
          </w:tcPr>
          <w:p>
            <w:pPr>
              <w:pStyle w:val="TableSmall"/>
            </w:pPr>
            <w:r>
              <w:rPr>
                <w:sz w:val="13"/>
              </w:rPr>
              <w:t>Termly or periodic account for rent, meals and other College charges.</w:t>
            </w:r>
          </w:p>
        </w:tc>
        <w:tc>
          <w:tcPr>
            <w:tcW w:type="dxa" w:w="2120"/>
            <w:tcMar>
              <w:top w:w="55" w:type="dxa"/>
              <w:start w:w="70" w:type="dxa"/>
              <w:bottom w:w="55" w:type="dxa"/>
              <w:end w:w="70" w:type="dxa"/>
            </w:tcMar>
            <w:vAlign w:val="top"/>
          </w:tcPr>
          <w:p>
            <w:pPr>
              <w:pStyle w:val="TableSmall"/>
            </w:pPr>
            <w:r>
              <w:rPr>
                <w:sz w:val="13"/>
              </w:rPr>
              <w:t>“The Formal appeared on my College bill.”</w:t>
            </w:r>
          </w:p>
        </w:tc>
        <w:tc>
          <w:tcPr>
            <w:tcW w:type="dxa" w:w="2356"/>
            <w:tcMar>
              <w:top w:w="55" w:type="dxa"/>
              <w:start w:w="70" w:type="dxa"/>
              <w:bottom w:w="55" w:type="dxa"/>
              <w:end w:w="70" w:type="dxa"/>
            </w:tcMar>
            <w:vAlign w:val="top"/>
          </w:tcPr>
          <w:p>
            <w:pPr>
              <w:pStyle w:val="TableSmall"/>
            </w:pPr>
            <w:r>
              <w:rPr>
                <w:sz w:val="13"/>
              </w:rPr>
              <w:t>Essential: open it promptly.</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College family</w:t>
            </w:r>
          </w:p>
        </w:tc>
        <w:tc>
          <w:tcPr>
            <w:tcW w:type="dxa" w:w="3958"/>
            <w:shd w:fill="F5F7F8"/>
            <w:tcMar>
              <w:top w:w="55" w:type="dxa"/>
              <w:start w:w="70" w:type="dxa"/>
              <w:bottom w:w="55" w:type="dxa"/>
              <w:end w:w="70" w:type="dxa"/>
            </w:tcMar>
            <w:vAlign w:val="top"/>
          </w:tcPr>
          <w:p>
            <w:pPr>
              <w:pStyle w:val="TableSmall"/>
            </w:pPr>
            <w:r>
              <w:rPr>
                <w:sz w:val="13"/>
              </w:rPr>
              <w:t>Student mentoring/social tradition using fictional parent/child labels.</w:t>
            </w:r>
          </w:p>
        </w:tc>
        <w:tc>
          <w:tcPr>
            <w:tcW w:type="dxa" w:w="2120"/>
            <w:shd w:fill="F5F7F8"/>
            <w:tcMar>
              <w:top w:w="55" w:type="dxa"/>
              <w:start w:w="70" w:type="dxa"/>
              <w:bottom w:w="55" w:type="dxa"/>
              <w:end w:w="70" w:type="dxa"/>
            </w:tcMar>
            <w:vAlign w:val="top"/>
          </w:tcPr>
          <w:p>
            <w:pPr>
              <w:pStyle w:val="TableSmall"/>
            </w:pPr>
            <w:r>
              <w:rPr>
                <w:sz w:val="13"/>
              </w:rPr>
              <w:t>“My College parents invited us to dinner.”</w:t>
            </w:r>
          </w:p>
        </w:tc>
        <w:tc>
          <w:tcPr>
            <w:tcW w:type="dxa" w:w="2356"/>
            <w:shd w:fill="F5F7F8"/>
            <w:tcMar>
              <w:top w:w="55" w:type="dxa"/>
              <w:start w:w="70" w:type="dxa"/>
              <w:bottom w:w="55" w:type="dxa"/>
              <w:end w:w="70" w:type="dxa"/>
            </w:tcMar>
            <w:vAlign w:val="top"/>
          </w:tcPr>
          <w:p>
            <w:pPr>
              <w:pStyle w:val="TableSmall"/>
            </w:pPr>
            <w:r>
              <w:rPr>
                <w:sz w:val="13"/>
              </w:rPr>
              <w:t>Optional; not official welfare.</w:t>
            </w:r>
          </w:p>
        </w:tc>
      </w:tr>
      <w:tr>
        <w:trPr>
          <w:cantSplit w:val="true"/>
        </w:trPr>
        <w:tc>
          <w:tcPr>
            <w:tcW w:type="dxa" w:w="1602"/>
            <w:tcMar>
              <w:top w:w="55" w:type="dxa"/>
              <w:start w:w="70" w:type="dxa"/>
              <w:bottom w:w="55" w:type="dxa"/>
              <w:end w:w="70" w:type="dxa"/>
            </w:tcMar>
            <w:vAlign w:val="top"/>
          </w:tcPr>
          <w:p>
            <w:pPr>
              <w:pStyle w:val="TableSmall"/>
            </w:pPr>
            <w:r>
              <w:rPr>
                <w:sz w:val="13"/>
              </w:rPr>
              <w:t>Combination Room</w:t>
            </w:r>
          </w:p>
        </w:tc>
        <w:tc>
          <w:tcPr>
            <w:tcW w:type="dxa" w:w="3958"/>
            <w:tcMar>
              <w:top w:w="55" w:type="dxa"/>
              <w:start w:w="70" w:type="dxa"/>
              <w:bottom w:w="55" w:type="dxa"/>
              <w:end w:w="70" w:type="dxa"/>
            </w:tcMar>
            <w:vAlign w:val="top"/>
          </w:tcPr>
          <w:p>
            <w:pPr>
              <w:pStyle w:val="TableSmall"/>
            </w:pPr>
            <w:r>
              <w:rPr>
                <w:sz w:val="13"/>
              </w:rPr>
              <w:t>A College common room or the student body associated with it; JCR/MCR/SCR usage varies.</w:t>
            </w:r>
          </w:p>
        </w:tc>
        <w:tc>
          <w:tcPr>
            <w:tcW w:type="dxa" w:w="2120"/>
            <w:tcMar>
              <w:top w:w="55" w:type="dxa"/>
              <w:start w:w="70" w:type="dxa"/>
              <w:bottom w:w="55" w:type="dxa"/>
              <w:end w:w="70" w:type="dxa"/>
            </w:tcMar>
            <w:vAlign w:val="top"/>
          </w:tcPr>
          <w:p>
            <w:pPr>
              <w:pStyle w:val="TableSmall"/>
            </w:pPr>
            <w:r>
              <w:rPr>
                <w:sz w:val="13"/>
              </w:rPr>
              <w:t>“The MCR meeting is in the Combination Room.”</w:t>
            </w:r>
          </w:p>
        </w:tc>
        <w:tc>
          <w:tcPr>
            <w:tcW w:type="dxa" w:w="2356"/>
            <w:tcMar>
              <w:top w:w="55" w:type="dxa"/>
              <w:start w:w="70" w:type="dxa"/>
              <w:bottom w:w="55" w:type="dxa"/>
              <w:end w:w="70" w:type="dxa"/>
            </w:tcMar>
            <w:vAlign w:val="top"/>
          </w:tcPr>
          <w:p>
            <w:pPr>
              <w:pStyle w:val="TableSmall"/>
            </w:pPr>
            <w:r>
              <w:rPr>
                <w:sz w:val="13"/>
              </w:rPr>
              <w:t>Useful College-specific term.</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Common room</w:t>
            </w:r>
          </w:p>
        </w:tc>
        <w:tc>
          <w:tcPr>
            <w:tcW w:type="dxa" w:w="3958"/>
            <w:shd w:fill="F5F7F8"/>
            <w:tcMar>
              <w:top w:w="55" w:type="dxa"/>
              <w:start w:w="70" w:type="dxa"/>
              <w:bottom w:w="55" w:type="dxa"/>
              <w:end w:w="70" w:type="dxa"/>
            </w:tcMar>
            <w:vAlign w:val="top"/>
          </w:tcPr>
          <w:p>
            <w:pPr>
              <w:pStyle w:val="TableSmall"/>
            </w:pPr>
            <w:r>
              <w:rPr>
                <w:sz w:val="13"/>
              </w:rPr>
              <w:t>Both a physical social space and a representative student body.</w:t>
            </w:r>
          </w:p>
        </w:tc>
        <w:tc>
          <w:tcPr>
            <w:tcW w:type="dxa" w:w="2120"/>
            <w:shd w:fill="F5F7F8"/>
            <w:tcMar>
              <w:top w:w="55" w:type="dxa"/>
              <w:start w:w="70" w:type="dxa"/>
              <w:bottom w:w="55" w:type="dxa"/>
              <w:end w:w="70" w:type="dxa"/>
            </w:tcMar>
            <w:vAlign w:val="top"/>
          </w:tcPr>
          <w:p>
            <w:pPr>
              <w:pStyle w:val="TableSmall"/>
            </w:pPr>
            <w:r>
              <w:rPr>
                <w:sz w:val="13"/>
              </w:rPr>
              <w:t>“The JCR voted on the motion.”</w:t>
            </w:r>
          </w:p>
        </w:tc>
        <w:tc>
          <w:tcPr>
            <w:tcW w:type="dxa" w:w="2356"/>
            <w:shd w:fill="F5F7F8"/>
            <w:tcMar>
              <w:top w:w="55" w:type="dxa"/>
              <w:start w:w="70" w:type="dxa"/>
              <w:bottom w:w="55" w:type="dxa"/>
              <w:end w:w="70" w:type="dxa"/>
            </w:tcMar>
            <w:vAlign w:val="top"/>
          </w:tcPr>
          <w:p>
            <w:pPr>
              <w:pStyle w:val="TableSmall"/>
            </w:pPr>
            <w:r>
              <w:rPr>
                <w:sz w:val="13"/>
              </w:rPr>
              <w:t>Yes.</w:t>
            </w:r>
          </w:p>
        </w:tc>
      </w:tr>
      <w:tr>
        <w:trPr>
          <w:cantSplit w:val="true"/>
        </w:trPr>
        <w:tc>
          <w:tcPr>
            <w:tcW w:type="dxa" w:w="1602"/>
            <w:tcMar>
              <w:top w:w="55" w:type="dxa"/>
              <w:start w:w="70" w:type="dxa"/>
              <w:bottom w:w="55" w:type="dxa"/>
              <w:end w:w="70" w:type="dxa"/>
            </w:tcMar>
            <w:vAlign w:val="top"/>
          </w:tcPr>
          <w:p>
            <w:pPr>
              <w:pStyle w:val="TableSmall"/>
            </w:pPr>
            <w:r>
              <w:rPr>
                <w:sz w:val="13"/>
              </w:rPr>
              <w:t>Cuppers</w:t>
            </w:r>
          </w:p>
        </w:tc>
        <w:tc>
          <w:tcPr>
            <w:tcW w:type="dxa" w:w="3958"/>
            <w:tcMar>
              <w:top w:w="55" w:type="dxa"/>
              <w:start w:w="70" w:type="dxa"/>
              <w:bottom w:w="55" w:type="dxa"/>
              <w:end w:w="70" w:type="dxa"/>
            </w:tcMar>
            <w:vAlign w:val="top"/>
          </w:tcPr>
          <w:p>
            <w:pPr>
              <w:pStyle w:val="TableSmall"/>
            </w:pPr>
            <w:r>
              <w:rPr>
                <w:sz w:val="13"/>
              </w:rPr>
              <w:t>Inter-collegiate cup competition, especially in sport but also some activities.</w:t>
            </w:r>
          </w:p>
        </w:tc>
        <w:tc>
          <w:tcPr>
            <w:tcW w:type="dxa" w:w="2120"/>
            <w:tcMar>
              <w:top w:w="55" w:type="dxa"/>
              <w:start w:w="70" w:type="dxa"/>
              <w:bottom w:w="55" w:type="dxa"/>
              <w:end w:w="70" w:type="dxa"/>
            </w:tcMar>
            <w:vAlign w:val="top"/>
          </w:tcPr>
          <w:p>
            <w:pPr>
              <w:pStyle w:val="TableSmall"/>
            </w:pPr>
            <w:r>
              <w:rPr>
                <w:sz w:val="13"/>
              </w:rPr>
              <w:t>“We are playing Cuppers on Saturday.”</w:t>
            </w:r>
          </w:p>
        </w:tc>
        <w:tc>
          <w:tcPr>
            <w:tcW w:type="dxa" w:w="2356"/>
            <w:tcMar>
              <w:top w:w="55" w:type="dxa"/>
              <w:start w:w="70" w:type="dxa"/>
              <w:bottom w:w="55" w:type="dxa"/>
              <w:end w:w="70" w:type="dxa"/>
            </w:tcMar>
            <w:vAlign w:val="top"/>
          </w:tcPr>
          <w:p>
            <w:pPr>
              <w:pStyle w:val="TableSmall"/>
            </w:pPr>
            <w:r>
              <w:rPr>
                <w:sz w:val="13"/>
              </w:rPr>
              <w:t>Useful if joining teams.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CRSid</w:t>
            </w:r>
          </w:p>
        </w:tc>
        <w:tc>
          <w:tcPr>
            <w:tcW w:type="dxa" w:w="3958"/>
            <w:shd w:fill="F5F7F8"/>
            <w:tcMar>
              <w:top w:w="55" w:type="dxa"/>
              <w:start w:w="70" w:type="dxa"/>
              <w:bottom w:w="55" w:type="dxa"/>
              <w:end w:w="70" w:type="dxa"/>
            </w:tcMar>
            <w:vAlign w:val="top"/>
          </w:tcPr>
          <w:p>
            <w:pPr>
              <w:pStyle w:val="TableSmall"/>
            </w:pPr>
            <w:r>
              <w:rPr>
                <w:sz w:val="13"/>
              </w:rPr>
              <w:t>Your Cambridge user identifier, used for email and systems.</w:t>
            </w:r>
          </w:p>
        </w:tc>
        <w:tc>
          <w:tcPr>
            <w:tcW w:type="dxa" w:w="2120"/>
            <w:shd w:fill="F5F7F8"/>
            <w:tcMar>
              <w:top w:w="55" w:type="dxa"/>
              <w:start w:w="70" w:type="dxa"/>
              <w:bottom w:w="55" w:type="dxa"/>
              <w:end w:w="70" w:type="dxa"/>
            </w:tcMar>
            <w:vAlign w:val="top"/>
          </w:tcPr>
          <w:p>
            <w:pPr>
              <w:pStyle w:val="TableSmall"/>
            </w:pPr>
            <w:r>
              <w:rPr>
                <w:sz w:val="13"/>
              </w:rPr>
              <w:t>“My address uses my CRSid.”</w:t>
            </w:r>
          </w:p>
        </w:tc>
        <w:tc>
          <w:tcPr>
            <w:tcW w:type="dxa" w:w="2356"/>
            <w:shd w:fill="F5F7F8"/>
            <w:tcMar>
              <w:top w:w="55" w:type="dxa"/>
              <w:start w:w="70" w:type="dxa"/>
              <w:bottom w:w="55" w:type="dxa"/>
              <w:end w:w="70" w:type="dxa"/>
            </w:tcMar>
            <w:vAlign w:val="top"/>
          </w:tcPr>
          <w:p>
            <w:pPr>
              <w:pStyle w:val="TableSmall"/>
            </w:pPr>
            <w:r>
              <w:rPr>
                <w:sz w:val="13"/>
              </w:rPr>
              <w:t>Essential; protect credentials.</w:t>
            </w:r>
          </w:p>
        </w:tc>
      </w:tr>
      <w:tr>
        <w:trPr>
          <w:cantSplit w:val="true"/>
        </w:trPr>
        <w:tc>
          <w:tcPr>
            <w:tcW w:type="dxa" w:w="1602"/>
            <w:tcMar>
              <w:top w:w="55" w:type="dxa"/>
              <w:start w:w="70" w:type="dxa"/>
              <w:bottom w:w="55" w:type="dxa"/>
              <w:end w:w="70" w:type="dxa"/>
            </w:tcMar>
            <w:vAlign w:val="top"/>
          </w:tcPr>
          <w:p>
            <w:pPr>
              <w:pStyle w:val="TableSmall"/>
            </w:pPr>
            <w:r>
              <w:rPr>
                <w:sz w:val="13"/>
              </w:rPr>
              <w:t>Degrading</w:t>
            </w:r>
          </w:p>
        </w:tc>
        <w:tc>
          <w:tcPr>
            <w:tcW w:type="dxa" w:w="3958"/>
            <w:tcMar>
              <w:top w:w="55" w:type="dxa"/>
              <w:start w:w="70" w:type="dxa"/>
              <w:bottom w:w="55" w:type="dxa"/>
              <w:end w:w="70" w:type="dxa"/>
            </w:tcMar>
            <w:vAlign w:val="top"/>
          </w:tcPr>
          <w:p>
            <w:pPr>
              <w:pStyle w:val="TableSmall"/>
            </w:pPr>
            <w:r>
              <w:rPr>
                <w:sz w:val="13"/>
              </w:rPr>
              <w:t>Older/historical term for interrupting study. The current standard term is intermission.</w:t>
            </w:r>
          </w:p>
        </w:tc>
        <w:tc>
          <w:tcPr>
            <w:tcW w:type="dxa" w:w="2120"/>
            <w:tcMar>
              <w:top w:w="55" w:type="dxa"/>
              <w:start w:w="70" w:type="dxa"/>
              <w:bottom w:w="55" w:type="dxa"/>
              <w:end w:w="70" w:type="dxa"/>
            </w:tcMar>
            <w:vAlign w:val="top"/>
          </w:tcPr>
          <w:p>
            <w:pPr>
              <w:pStyle w:val="TableSmall"/>
            </w:pPr>
            <w:r>
              <w:rPr>
                <w:sz w:val="13"/>
              </w:rPr>
              <w:t>“The handbook now says intermission.”</w:t>
            </w:r>
          </w:p>
        </w:tc>
        <w:tc>
          <w:tcPr>
            <w:tcW w:type="dxa" w:w="2356"/>
            <w:tcMar>
              <w:top w:w="55" w:type="dxa"/>
              <w:start w:w="70" w:type="dxa"/>
              <w:bottom w:w="55" w:type="dxa"/>
              <w:end w:w="70" w:type="dxa"/>
            </w:tcMar>
            <w:vAlign w:val="top"/>
          </w:tcPr>
          <w:p>
            <w:pPr>
              <w:pStyle w:val="TableSmall"/>
            </w:pPr>
            <w:r>
              <w:rPr>
                <w:sz w:val="13"/>
              </w:rPr>
              <w:t>Know only to decode older accounts.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DoS / Director of Studies</w:t>
            </w:r>
          </w:p>
        </w:tc>
        <w:tc>
          <w:tcPr>
            <w:tcW w:type="dxa" w:w="3958"/>
            <w:shd w:fill="F5F7F8"/>
            <w:tcMar>
              <w:top w:w="55" w:type="dxa"/>
              <w:start w:w="70" w:type="dxa"/>
              <w:bottom w:w="55" w:type="dxa"/>
              <w:end w:w="70" w:type="dxa"/>
            </w:tcMar>
            <w:vAlign w:val="top"/>
          </w:tcPr>
          <w:p>
            <w:pPr>
              <w:pStyle w:val="TableSmall"/>
            </w:pPr>
            <w:r>
              <w:rPr>
                <w:sz w:val="13"/>
              </w:rPr>
              <w:t>College academic coordinator for your course, distinct from a Tutor and individual supervisor.</w:t>
            </w:r>
          </w:p>
        </w:tc>
        <w:tc>
          <w:tcPr>
            <w:tcW w:type="dxa" w:w="2120"/>
            <w:shd w:fill="F5F7F8"/>
            <w:tcMar>
              <w:top w:w="55" w:type="dxa"/>
              <w:start w:w="70" w:type="dxa"/>
              <w:bottom w:w="55" w:type="dxa"/>
              <w:end w:w="70" w:type="dxa"/>
            </w:tcMar>
            <w:vAlign w:val="top"/>
          </w:tcPr>
          <w:p>
            <w:pPr>
              <w:pStyle w:val="TableSmall"/>
            </w:pPr>
            <w:r>
              <w:rPr>
                <w:sz w:val="13"/>
              </w:rPr>
              <w:t>“I asked my DoS about paper choices.”</w:t>
            </w:r>
          </w:p>
        </w:tc>
        <w:tc>
          <w:tcPr>
            <w:tcW w:type="dxa" w:w="2356"/>
            <w:shd w:fill="F5F7F8"/>
            <w:tcMar>
              <w:top w:w="55" w:type="dxa"/>
              <w:start w:w="70" w:type="dxa"/>
              <w:bottom w:w="55" w:type="dxa"/>
              <w:end w:w="70" w:type="dxa"/>
            </w:tcMar>
            <w:vAlign w:val="top"/>
          </w:tcPr>
          <w:p>
            <w:pPr>
              <w:pStyle w:val="TableSmall"/>
            </w:pPr>
            <w:r>
              <w:rPr>
                <w:sz w:val="13"/>
              </w:rPr>
              <w:t>Essential.</w:t>
            </w:r>
          </w:p>
        </w:tc>
      </w:tr>
      <w:tr>
        <w:trPr>
          <w:cantSplit w:val="true"/>
        </w:trPr>
        <w:tc>
          <w:tcPr>
            <w:tcW w:type="dxa" w:w="1602"/>
            <w:tcMar>
              <w:top w:w="55" w:type="dxa"/>
              <w:start w:w="70" w:type="dxa"/>
              <w:bottom w:w="55" w:type="dxa"/>
              <w:end w:w="70" w:type="dxa"/>
            </w:tcMar>
            <w:vAlign w:val="top"/>
          </w:tcPr>
          <w:p>
            <w:pPr>
              <w:pStyle w:val="TableSmall"/>
            </w:pPr>
            <w:r>
              <w:rPr>
                <w:sz w:val="13"/>
              </w:rPr>
              <w:t>Ent</w:t>
            </w:r>
          </w:p>
        </w:tc>
        <w:tc>
          <w:tcPr>
            <w:tcW w:type="dxa" w:w="3958"/>
            <w:tcMar>
              <w:top w:w="55" w:type="dxa"/>
              <w:start w:w="70" w:type="dxa"/>
              <w:bottom w:w="55" w:type="dxa"/>
              <w:end w:w="70" w:type="dxa"/>
            </w:tcMar>
            <w:vAlign w:val="top"/>
          </w:tcPr>
          <w:p>
            <w:pPr>
              <w:pStyle w:val="TableSmall"/>
            </w:pPr>
            <w:r>
              <w:rPr>
                <w:sz w:val="13"/>
              </w:rPr>
              <w:t>Entertainment event, often music/comedy/party.</w:t>
            </w:r>
          </w:p>
        </w:tc>
        <w:tc>
          <w:tcPr>
            <w:tcW w:type="dxa" w:w="2120"/>
            <w:tcMar>
              <w:top w:w="55" w:type="dxa"/>
              <w:start w:w="70" w:type="dxa"/>
              <w:bottom w:w="55" w:type="dxa"/>
              <w:end w:w="70" w:type="dxa"/>
            </w:tcMar>
            <w:vAlign w:val="top"/>
          </w:tcPr>
          <w:p>
            <w:pPr>
              <w:pStyle w:val="TableSmall"/>
            </w:pPr>
            <w:r>
              <w:rPr>
                <w:sz w:val="13"/>
              </w:rPr>
              <w:t>“The JCR is running an ent.”</w:t>
            </w:r>
          </w:p>
        </w:tc>
        <w:tc>
          <w:tcPr>
            <w:tcW w:type="dxa" w:w="2356"/>
            <w:tcMar>
              <w:top w:w="55" w:type="dxa"/>
              <w:start w:w="70" w:type="dxa"/>
              <w:bottom w:w="55" w:type="dxa"/>
              <w:end w:w="70" w:type="dxa"/>
            </w:tcMar>
            <w:vAlign w:val="top"/>
          </w:tcPr>
          <w:p>
            <w:pPr>
              <w:pStyle w:val="TableSmall"/>
            </w:pPr>
            <w:r>
              <w:rPr>
                <w:sz w:val="13"/>
              </w:rPr>
              <w:t>Optional social term.</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Formal / Formal Hall</w:t>
            </w:r>
          </w:p>
        </w:tc>
        <w:tc>
          <w:tcPr>
            <w:tcW w:type="dxa" w:w="3958"/>
            <w:shd w:fill="F5F7F8"/>
            <w:tcMar>
              <w:top w:w="55" w:type="dxa"/>
              <w:start w:w="70" w:type="dxa"/>
              <w:bottom w:w="55" w:type="dxa"/>
              <w:end w:w="70" w:type="dxa"/>
            </w:tcMar>
            <w:vAlign w:val="top"/>
          </w:tcPr>
          <w:p>
            <w:pPr>
              <w:pStyle w:val="TableSmall"/>
            </w:pPr>
            <w:r>
              <w:rPr>
                <w:sz w:val="13"/>
              </w:rPr>
              <w:t>Booked served College dinner, often with gown, smart dress and grace.</w:t>
            </w:r>
          </w:p>
        </w:tc>
        <w:tc>
          <w:tcPr>
            <w:tcW w:type="dxa" w:w="2120"/>
            <w:shd w:fill="F5F7F8"/>
            <w:tcMar>
              <w:top w:w="55" w:type="dxa"/>
              <w:start w:w="70" w:type="dxa"/>
              <w:bottom w:w="55" w:type="dxa"/>
              <w:end w:w="70" w:type="dxa"/>
            </w:tcMar>
            <w:vAlign w:val="top"/>
          </w:tcPr>
          <w:p>
            <w:pPr>
              <w:pStyle w:val="TableSmall"/>
            </w:pPr>
            <w:r>
              <w:rPr>
                <w:sz w:val="13"/>
              </w:rPr>
              <w:t>“I have two guests at Formal.”</w:t>
            </w:r>
          </w:p>
        </w:tc>
        <w:tc>
          <w:tcPr>
            <w:tcW w:type="dxa" w:w="2356"/>
            <w:shd w:fill="F5F7F8"/>
            <w:tcMar>
              <w:top w:w="55" w:type="dxa"/>
              <w:start w:w="70" w:type="dxa"/>
              <w:bottom w:w="55" w:type="dxa"/>
              <w:end w:w="70" w:type="dxa"/>
            </w:tcMar>
            <w:vAlign w:val="top"/>
          </w:tcPr>
          <w:p>
            <w:pPr>
              <w:pStyle w:val="TableSmall"/>
            </w:pPr>
            <w:r>
              <w:rPr>
                <w:sz w:val="13"/>
              </w:rPr>
              <w:t>Useful; optional except specified occasions.</w:t>
            </w:r>
          </w:p>
        </w:tc>
      </w:tr>
      <w:tr>
        <w:trPr>
          <w:cantSplit w:val="true"/>
        </w:trPr>
        <w:tc>
          <w:tcPr>
            <w:tcW w:type="dxa" w:w="1602"/>
            <w:tcMar>
              <w:top w:w="55" w:type="dxa"/>
              <w:start w:w="70" w:type="dxa"/>
              <w:bottom w:w="55" w:type="dxa"/>
              <w:end w:w="70" w:type="dxa"/>
            </w:tcMar>
            <w:vAlign w:val="top"/>
          </w:tcPr>
          <w:p>
            <w:pPr>
              <w:pStyle w:val="TableSmall"/>
            </w:pPr>
            <w:r>
              <w:rPr>
                <w:sz w:val="13"/>
              </w:rPr>
              <w:t>Full Term</w:t>
            </w:r>
          </w:p>
        </w:tc>
        <w:tc>
          <w:tcPr>
            <w:tcW w:type="dxa" w:w="3958"/>
            <w:tcMar>
              <w:top w:w="55" w:type="dxa"/>
              <w:start w:w="70" w:type="dxa"/>
              <w:bottom w:w="55" w:type="dxa"/>
              <w:end w:w="70" w:type="dxa"/>
            </w:tcMar>
            <w:vAlign w:val="top"/>
          </w:tcPr>
          <w:p>
            <w:pPr>
              <w:pStyle w:val="TableSmall"/>
            </w:pPr>
            <w:r>
              <w:rPr>
                <w:sz w:val="13"/>
              </w:rPr>
              <w:t>The central eight-week teaching period within each longer University term.</w:t>
            </w:r>
          </w:p>
        </w:tc>
        <w:tc>
          <w:tcPr>
            <w:tcW w:type="dxa" w:w="2120"/>
            <w:tcMar>
              <w:top w:w="55" w:type="dxa"/>
              <w:start w:w="70" w:type="dxa"/>
              <w:bottom w:w="55" w:type="dxa"/>
              <w:end w:w="70" w:type="dxa"/>
            </w:tcMar>
            <w:vAlign w:val="top"/>
          </w:tcPr>
          <w:p>
            <w:pPr>
              <w:pStyle w:val="TableSmall"/>
            </w:pPr>
            <w:r>
              <w:rPr>
                <w:sz w:val="13"/>
              </w:rPr>
              <w:t>“Formals run during Full Term.”</w:t>
            </w:r>
          </w:p>
        </w:tc>
        <w:tc>
          <w:tcPr>
            <w:tcW w:type="dxa" w:w="2356"/>
            <w:tcMar>
              <w:top w:w="55" w:type="dxa"/>
              <w:start w:w="70" w:type="dxa"/>
              <w:bottom w:w="55" w:type="dxa"/>
              <w:end w:w="70" w:type="dxa"/>
            </w:tcMar>
            <w:vAlign w:val="top"/>
          </w:tcPr>
          <w:p>
            <w:pPr>
              <w:pStyle w:val="TableSmall"/>
            </w:pPr>
            <w:r>
              <w:rPr>
                <w:sz w:val="13"/>
              </w:rPr>
              <w:t>Essential. [U04]</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Gown</w:t>
            </w:r>
          </w:p>
        </w:tc>
        <w:tc>
          <w:tcPr>
            <w:tcW w:type="dxa" w:w="3958"/>
            <w:shd w:fill="F5F7F8"/>
            <w:tcMar>
              <w:top w:w="55" w:type="dxa"/>
              <w:start w:w="70" w:type="dxa"/>
              <w:bottom w:w="55" w:type="dxa"/>
              <w:end w:w="70" w:type="dxa"/>
            </w:tcMar>
            <w:vAlign w:val="top"/>
          </w:tcPr>
          <w:p>
            <w:pPr>
              <w:pStyle w:val="TableSmall"/>
            </w:pPr>
            <w:r>
              <w:rPr>
                <w:sz w:val="13"/>
              </w:rPr>
              <w:t>Academic dress worn for specified College/University occasions.</w:t>
            </w:r>
          </w:p>
        </w:tc>
        <w:tc>
          <w:tcPr>
            <w:tcW w:type="dxa" w:w="2120"/>
            <w:shd w:fill="F5F7F8"/>
            <w:tcMar>
              <w:top w:w="55" w:type="dxa"/>
              <w:start w:w="70" w:type="dxa"/>
              <w:bottom w:w="55" w:type="dxa"/>
              <w:end w:w="70" w:type="dxa"/>
            </w:tcMar>
            <w:vAlign w:val="top"/>
          </w:tcPr>
          <w:p>
            <w:pPr>
              <w:pStyle w:val="TableSmall"/>
            </w:pPr>
            <w:r>
              <w:rPr>
                <w:sz w:val="13"/>
              </w:rPr>
              <w:t>“Bring your gown to matriculation.”</w:t>
            </w:r>
          </w:p>
        </w:tc>
        <w:tc>
          <w:tcPr>
            <w:tcW w:type="dxa" w:w="2356"/>
            <w:shd w:fill="F5F7F8"/>
            <w:tcMar>
              <w:top w:w="55" w:type="dxa"/>
              <w:start w:w="70" w:type="dxa"/>
              <w:bottom w:w="55" w:type="dxa"/>
              <w:end w:w="70" w:type="dxa"/>
            </w:tcMar>
            <w:vAlign w:val="top"/>
          </w:tcPr>
          <w:p>
            <w:pPr>
              <w:pStyle w:val="TableSmall"/>
            </w:pPr>
            <w:r>
              <w:rPr>
                <w:sz w:val="13"/>
              </w:rPr>
              <w:t>Yes; verify your College type and occasion.</w:t>
            </w:r>
          </w:p>
        </w:tc>
      </w:tr>
      <w:tr>
        <w:trPr>
          <w:cantSplit w:val="true"/>
        </w:trPr>
        <w:tc>
          <w:tcPr>
            <w:tcW w:type="dxa" w:w="1602"/>
            <w:tcMar>
              <w:top w:w="55" w:type="dxa"/>
              <w:start w:w="70" w:type="dxa"/>
              <w:bottom w:w="55" w:type="dxa"/>
              <w:end w:w="70" w:type="dxa"/>
            </w:tcMar>
            <w:vAlign w:val="top"/>
          </w:tcPr>
          <w:p>
            <w:pPr>
              <w:pStyle w:val="TableSmall"/>
            </w:pPr>
            <w:r>
              <w:rPr>
                <w:sz w:val="13"/>
              </w:rPr>
              <w:t>Grace</w:t>
            </w:r>
          </w:p>
        </w:tc>
        <w:tc>
          <w:tcPr>
            <w:tcW w:type="dxa" w:w="3958"/>
            <w:tcMar>
              <w:top w:w="55" w:type="dxa"/>
              <w:start w:w="70" w:type="dxa"/>
              <w:bottom w:w="55" w:type="dxa"/>
              <w:end w:w="70" w:type="dxa"/>
            </w:tcMar>
            <w:vAlign w:val="top"/>
          </w:tcPr>
          <w:p>
            <w:pPr>
              <w:pStyle w:val="TableSmall"/>
            </w:pPr>
            <w:r>
              <w:rPr>
                <w:sz w:val="13"/>
              </w:rPr>
              <w:t>At dinner, a blessing; in University governance, a formal proposal/decision.</w:t>
            </w:r>
          </w:p>
        </w:tc>
        <w:tc>
          <w:tcPr>
            <w:tcW w:type="dxa" w:w="2120"/>
            <w:tcMar>
              <w:top w:w="55" w:type="dxa"/>
              <w:start w:w="70" w:type="dxa"/>
              <w:bottom w:w="55" w:type="dxa"/>
              <w:end w:w="70" w:type="dxa"/>
            </w:tcMar>
            <w:vAlign w:val="top"/>
          </w:tcPr>
          <w:p>
            <w:pPr>
              <w:pStyle w:val="TableSmall"/>
            </w:pPr>
            <w:r>
              <w:rPr>
                <w:sz w:val="13"/>
              </w:rPr>
              <w:t>“They said grace before Hall.”</w:t>
            </w:r>
          </w:p>
        </w:tc>
        <w:tc>
          <w:tcPr>
            <w:tcW w:type="dxa" w:w="2356"/>
            <w:tcMar>
              <w:top w:w="55" w:type="dxa"/>
              <w:start w:w="70" w:type="dxa"/>
              <w:bottom w:w="55" w:type="dxa"/>
              <w:end w:w="70" w:type="dxa"/>
            </w:tcMar>
            <w:vAlign w:val="top"/>
          </w:tcPr>
          <w:p>
            <w:pPr>
              <w:pStyle w:val="TableSmall"/>
            </w:pPr>
            <w:r>
              <w:rPr>
                <w:sz w:val="13"/>
              </w:rPr>
              <w:t>Useful; context decides meaning.</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Gyp room</w:t>
            </w:r>
          </w:p>
        </w:tc>
        <w:tc>
          <w:tcPr>
            <w:tcW w:type="dxa" w:w="3958"/>
            <w:shd w:fill="F5F7F8"/>
            <w:tcMar>
              <w:top w:w="55" w:type="dxa"/>
              <w:start w:w="70" w:type="dxa"/>
              <w:bottom w:w="55" w:type="dxa"/>
              <w:end w:w="70" w:type="dxa"/>
            </w:tcMar>
            <w:vAlign w:val="top"/>
          </w:tcPr>
          <w:p>
            <w:pPr>
              <w:pStyle w:val="TableSmall"/>
            </w:pPr>
            <w:r>
              <w:rPr>
                <w:sz w:val="13"/>
              </w:rPr>
              <w:t>Small shared student kitchen, often intended for light cooking. The origin is dated and potentially offensive; use “kitchen” where possible.</w:t>
            </w:r>
          </w:p>
        </w:tc>
        <w:tc>
          <w:tcPr>
            <w:tcW w:type="dxa" w:w="2120"/>
            <w:shd w:fill="F5F7F8"/>
            <w:tcMar>
              <w:top w:w="55" w:type="dxa"/>
              <w:start w:w="70" w:type="dxa"/>
              <w:bottom w:w="55" w:type="dxa"/>
              <w:end w:w="70" w:type="dxa"/>
            </w:tcMar>
            <w:vAlign w:val="top"/>
          </w:tcPr>
          <w:p>
            <w:pPr>
              <w:pStyle w:val="TableSmall"/>
            </w:pPr>
            <w:r>
              <w:rPr>
                <w:sz w:val="13"/>
              </w:rPr>
              <w:t>“The gyp room has a hob but no oven.”</w:t>
            </w:r>
          </w:p>
        </w:tc>
        <w:tc>
          <w:tcPr>
            <w:tcW w:type="dxa" w:w="2356"/>
            <w:shd w:fill="F5F7F8"/>
            <w:tcMar>
              <w:top w:w="55" w:type="dxa"/>
              <w:start w:w="70" w:type="dxa"/>
              <w:bottom w:w="55" w:type="dxa"/>
              <w:end w:w="70" w:type="dxa"/>
            </w:tcMar>
            <w:vAlign w:val="top"/>
          </w:tcPr>
          <w:p>
            <w:pPr>
              <w:pStyle w:val="TableSmall"/>
            </w:pPr>
            <w:r>
              <w:rPr>
                <w:sz w:val="13"/>
              </w:rPr>
              <w:t>Practical housing term; wording varies.</w:t>
            </w:r>
          </w:p>
        </w:tc>
      </w:tr>
      <w:tr>
        <w:trPr>
          <w:cantSplit w:val="true"/>
        </w:trPr>
        <w:tc>
          <w:tcPr>
            <w:tcW w:type="dxa" w:w="1602"/>
            <w:tcMar>
              <w:top w:w="55" w:type="dxa"/>
              <w:start w:w="70" w:type="dxa"/>
              <w:bottom w:w="55" w:type="dxa"/>
              <w:end w:w="70" w:type="dxa"/>
            </w:tcMar>
            <w:vAlign w:val="top"/>
          </w:tcPr>
          <w:p>
            <w:pPr>
              <w:pStyle w:val="TableSmall"/>
            </w:pPr>
            <w:r>
              <w:rPr>
                <w:sz w:val="13"/>
              </w:rPr>
              <w:t>Headship</w:t>
            </w:r>
          </w:p>
        </w:tc>
        <w:tc>
          <w:tcPr>
            <w:tcW w:type="dxa" w:w="3958"/>
            <w:tcMar>
              <w:top w:w="55" w:type="dxa"/>
              <w:start w:w="70" w:type="dxa"/>
              <w:bottom w:w="55" w:type="dxa"/>
              <w:end w:w="70" w:type="dxa"/>
            </w:tcMar>
            <w:vAlign w:val="top"/>
          </w:tcPr>
          <w:p>
            <w:pPr>
              <w:pStyle w:val="TableSmall"/>
            </w:pPr>
            <w:r>
              <w:rPr>
                <w:sz w:val="13"/>
              </w:rPr>
              <w:t>Top position in a Bumps division, especially first division.</w:t>
            </w:r>
          </w:p>
        </w:tc>
        <w:tc>
          <w:tcPr>
            <w:tcW w:type="dxa" w:w="2120"/>
            <w:tcMar>
              <w:top w:w="55" w:type="dxa"/>
              <w:start w:w="70" w:type="dxa"/>
              <w:bottom w:w="55" w:type="dxa"/>
              <w:end w:w="70" w:type="dxa"/>
            </w:tcMar>
            <w:vAlign w:val="top"/>
          </w:tcPr>
          <w:p>
            <w:pPr>
              <w:pStyle w:val="TableSmall"/>
            </w:pPr>
            <w:r>
              <w:rPr>
                <w:sz w:val="13"/>
              </w:rPr>
              <w:t>“The crew retained the headship.”</w:t>
            </w:r>
          </w:p>
        </w:tc>
        <w:tc>
          <w:tcPr>
            <w:tcW w:type="dxa" w:w="2356"/>
            <w:tcMar>
              <w:top w:w="55" w:type="dxa"/>
              <w:start w:w="70" w:type="dxa"/>
              <w:bottom w:w="55" w:type="dxa"/>
              <w:end w:w="70" w:type="dxa"/>
            </w:tcMar>
            <w:vAlign w:val="top"/>
          </w:tcPr>
          <w:p>
            <w:pPr>
              <w:pStyle w:val="TableSmall"/>
            </w:pPr>
            <w:r>
              <w:rPr>
                <w:sz w:val="13"/>
              </w:rPr>
              <w:t>Rowing term.</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High Table</w:t>
            </w:r>
          </w:p>
        </w:tc>
        <w:tc>
          <w:tcPr>
            <w:tcW w:type="dxa" w:w="3958"/>
            <w:shd w:fill="F5F7F8"/>
            <w:tcMar>
              <w:top w:w="55" w:type="dxa"/>
              <w:start w:w="70" w:type="dxa"/>
              <w:bottom w:w="55" w:type="dxa"/>
              <w:end w:w="70" w:type="dxa"/>
            </w:tcMar>
            <w:vAlign w:val="top"/>
          </w:tcPr>
          <w:p>
            <w:pPr>
              <w:pStyle w:val="TableSmall"/>
            </w:pPr>
            <w:r>
              <w:rPr>
                <w:sz w:val="13"/>
              </w:rPr>
              <w:t>Table, often raised, where Fellows and guests dine at traditional Formals. Not present or separated in the same way everywhere.</w:t>
            </w:r>
          </w:p>
        </w:tc>
        <w:tc>
          <w:tcPr>
            <w:tcW w:type="dxa" w:w="2120"/>
            <w:shd w:fill="F5F7F8"/>
            <w:tcMar>
              <w:top w:w="55" w:type="dxa"/>
              <w:start w:w="70" w:type="dxa"/>
              <w:bottom w:w="55" w:type="dxa"/>
              <w:end w:w="70" w:type="dxa"/>
            </w:tcMar>
            <w:vAlign w:val="top"/>
          </w:tcPr>
          <w:p>
            <w:pPr>
              <w:pStyle w:val="TableSmall"/>
            </w:pPr>
            <w:r>
              <w:rPr>
                <w:sz w:val="13"/>
              </w:rPr>
              <w:t>“The speaker sat at High Table.”</w:t>
            </w:r>
          </w:p>
        </w:tc>
        <w:tc>
          <w:tcPr>
            <w:tcW w:type="dxa" w:w="2356"/>
            <w:shd w:fill="F5F7F8"/>
            <w:tcMar>
              <w:top w:w="55" w:type="dxa"/>
              <w:start w:w="70" w:type="dxa"/>
              <w:bottom w:w="55" w:type="dxa"/>
              <w:end w:w="70" w:type="dxa"/>
            </w:tcMar>
            <w:vAlign w:val="top"/>
          </w:tcPr>
          <w:p>
            <w:pPr>
              <w:pStyle w:val="TableSmall"/>
            </w:pPr>
            <w:r>
              <w:rPr>
                <w:sz w:val="13"/>
              </w:rPr>
              <w:t>Useful for formals.</w:t>
            </w:r>
          </w:p>
        </w:tc>
      </w:tr>
      <w:tr>
        <w:trPr>
          <w:cantSplit w:val="true"/>
        </w:trPr>
        <w:tc>
          <w:tcPr>
            <w:tcW w:type="dxa" w:w="1602"/>
            <w:tcMar>
              <w:top w:w="55" w:type="dxa"/>
              <w:start w:w="70" w:type="dxa"/>
              <w:bottom w:w="55" w:type="dxa"/>
              <w:end w:w="70" w:type="dxa"/>
            </w:tcMar>
            <w:vAlign w:val="top"/>
          </w:tcPr>
          <w:p>
            <w:pPr>
              <w:pStyle w:val="TableSmall"/>
            </w:pPr>
            <w:r>
              <w:rPr>
                <w:sz w:val="13"/>
              </w:rPr>
              <w:t>Intermission</w:t>
            </w:r>
          </w:p>
        </w:tc>
        <w:tc>
          <w:tcPr>
            <w:tcW w:type="dxa" w:w="3958"/>
            <w:tcMar>
              <w:top w:w="55" w:type="dxa"/>
              <w:start w:w="70" w:type="dxa"/>
              <w:bottom w:w="55" w:type="dxa"/>
              <w:end w:w="70" w:type="dxa"/>
            </w:tcMar>
            <w:vAlign w:val="top"/>
          </w:tcPr>
          <w:p>
            <w:pPr>
              <w:pStyle w:val="TableSmall"/>
            </w:pPr>
            <w:r>
              <w:rPr>
                <w:sz w:val="13"/>
              </w:rPr>
              <w:t>Authorised temporary break from study, with formal conditions for absence and return.</w:t>
            </w:r>
          </w:p>
        </w:tc>
        <w:tc>
          <w:tcPr>
            <w:tcW w:type="dxa" w:w="2120"/>
            <w:tcMar>
              <w:top w:w="55" w:type="dxa"/>
              <w:start w:w="70" w:type="dxa"/>
              <w:bottom w:w="55" w:type="dxa"/>
              <w:end w:w="70" w:type="dxa"/>
            </w:tcMar>
            <w:vAlign w:val="top"/>
          </w:tcPr>
          <w:p>
            <w:pPr>
              <w:pStyle w:val="TableSmall"/>
            </w:pPr>
            <w:r>
              <w:rPr>
                <w:sz w:val="13"/>
              </w:rPr>
              <w:t>“I discussed intermission with my Tutor.”</w:t>
            </w:r>
          </w:p>
        </w:tc>
        <w:tc>
          <w:tcPr>
            <w:tcW w:type="dxa" w:w="2356"/>
            <w:tcMar>
              <w:top w:w="55" w:type="dxa"/>
              <w:start w:w="70" w:type="dxa"/>
              <w:bottom w:w="55" w:type="dxa"/>
              <w:end w:w="70" w:type="dxa"/>
            </w:tcMar>
            <w:vAlign w:val="top"/>
          </w:tcPr>
          <w:p>
            <w:pPr>
              <w:pStyle w:val="TableSmall"/>
            </w:pPr>
            <w:r>
              <w:rPr>
                <w:sz w:val="13"/>
              </w:rPr>
              <w:t>Essential when seriously unwell or unable to study. [U14]</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JCR</w:t>
            </w:r>
          </w:p>
        </w:tc>
        <w:tc>
          <w:tcPr>
            <w:tcW w:type="dxa" w:w="3958"/>
            <w:shd w:fill="F5F7F8"/>
            <w:tcMar>
              <w:top w:w="55" w:type="dxa"/>
              <w:start w:w="70" w:type="dxa"/>
              <w:bottom w:w="55" w:type="dxa"/>
              <w:end w:w="70" w:type="dxa"/>
            </w:tcMar>
            <w:vAlign w:val="top"/>
          </w:tcPr>
          <w:p>
            <w:pPr>
              <w:pStyle w:val="TableSmall"/>
            </w:pPr>
            <w:r>
              <w:rPr>
                <w:sz w:val="13"/>
              </w:rPr>
              <w:t>Junior Common Room: usually the undergraduate student body/committee and sometimes its room.</w:t>
            </w:r>
          </w:p>
        </w:tc>
        <w:tc>
          <w:tcPr>
            <w:tcW w:type="dxa" w:w="2120"/>
            <w:shd w:fill="F5F7F8"/>
            <w:tcMar>
              <w:top w:w="55" w:type="dxa"/>
              <w:start w:w="70" w:type="dxa"/>
              <w:bottom w:w="55" w:type="dxa"/>
              <w:end w:w="70" w:type="dxa"/>
            </w:tcMar>
            <w:vAlign w:val="top"/>
          </w:tcPr>
          <w:p>
            <w:pPr>
              <w:pStyle w:val="TableSmall"/>
            </w:pPr>
            <w:r>
              <w:rPr>
                <w:sz w:val="13"/>
              </w:rPr>
              <w:t>“Ask the JCR accommodation officer.”</w:t>
            </w:r>
          </w:p>
        </w:tc>
        <w:tc>
          <w:tcPr>
            <w:tcW w:type="dxa" w:w="2356"/>
            <w:shd w:fill="F5F7F8"/>
            <w:tcMar>
              <w:top w:w="55" w:type="dxa"/>
              <w:start w:w="70" w:type="dxa"/>
              <w:bottom w:w="55" w:type="dxa"/>
              <w:end w:w="70" w:type="dxa"/>
            </w:tcMar>
            <w:vAlign w:val="top"/>
          </w:tcPr>
          <w:p>
            <w:pPr>
              <w:pStyle w:val="TableSmall"/>
            </w:pPr>
            <w:r>
              <w:rPr>
                <w:sz w:val="13"/>
              </w:rPr>
              <w:t>Yes; College definition varies.</w:t>
            </w:r>
          </w:p>
        </w:tc>
      </w:tr>
      <w:tr>
        <w:trPr>
          <w:cantSplit w:val="true"/>
        </w:trPr>
        <w:tc>
          <w:tcPr>
            <w:tcW w:type="dxa" w:w="1602"/>
            <w:tcMar>
              <w:top w:w="55" w:type="dxa"/>
              <w:start w:w="70" w:type="dxa"/>
              <w:bottom w:w="55" w:type="dxa"/>
              <w:end w:w="70" w:type="dxa"/>
            </w:tcMar>
            <w:vAlign w:val="top"/>
          </w:tcPr>
          <w:p>
            <w:pPr>
              <w:pStyle w:val="TableSmall"/>
            </w:pPr>
            <w:r>
              <w:rPr>
                <w:sz w:val="13"/>
              </w:rPr>
              <w:t>June Event</w:t>
            </w:r>
          </w:p>
        </w:tc>
        <w:tc>
          <w:tcPr>
            <w:tcW w:type="dxa" w:w="3958"/>
            <w:tcMar>
              <w:top w:w="55" w:type="dxa"/>
              <w:start w:w="70" w:type="dxa"/>
              <w:bottom w:w="55" w:type="dxa"/>
              <w:end w:w="70" w:type="dxa"/>
            </w:tcMar>
            <w:vAlign w:val="top"/>
          </w:tcPr>
          <w:p>
            <w:pPr>
              <w:pStyle w:val="TableSmall"/>
            </w:pPr>
            <w:r>
              <w:rPr>
                <w:sz w:val="13"/>
              </w:rPr>
              <w:t>May-Week event usually cheaper/less formal than a May Ball, though still ticketed and substantial.</w:t>
            </w:r>
          </w:p>
        </w:tc>
        <w:tc>
          <w:tcPr>
            <w:tcW w:type="dxa" w:w="2120"/>
            <w:tcMar>
              <w:top w:w="55" w:type="dxa"/>
              <w:start w:w="70" w:type="dxa"/>
              <w:bottom w:w="55" w:type="dxa"/>
              <w:end w:w="70" w:type="dxa"/>
            </w:tcMar>
            <w:vAlign w:val="top"/>
          </w:tcPr>
          <w:p>
            <w:pPr>
              <w:pStyle w:val="TableSmall"/>
            </w:pPr>
            <w:r>
              <w:rPr>
                <w:sz w:val="13"/>
              </w:rPr>
              <w:t>“Churchill runs a June Event.”</w:t>
            </w:r>
          </w:p>
        </w:tc>
        <w:tc>
          <w:tcPr>
            <w:tcW w:type="dxa" w:w="2356"/>
            <w:tcMar>
              <w:top w:w="55" w:type="dxa"/>
              <w:start w:w="70" w:type="dxa"/>
              <w:bottom w:w="55" w:type="dxa"/>
              <w:end w:w="70" w:type="dxa"/>
            </w:tcMar>
            <w:vAlign w:val="top"/>
          </w:tcPr>
          <w:p>
            <w:pPr>
              <w:pStyle w:val="TableSmall"/>
            </w:pPr>
            <w:r>
              <w:rPr>
                <w:sz w:val="13"/>
              </w:rPr>
              <w:t>Useful for event planning.</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Keeping term</w:t>
            </w:r>
          </w:p>
        </w:tc>
        <w:tc>
          <w:tcPr>
            <w:tcW w:type="dxa" w:w="3958"/>
            <w:shd w:fill="F5F7F8"/>
            <w:tcMar>
              <w:top w:w="55" w:type="dxa"/>
              <w:start w:w="70" w:type="dxa"/>
              <w:bottom w:w="55" w:type="dxa"/>
              <w:end w:w="70" w:type="dxa"/>
            </w:tcMar>
            <w:vAlign w:val="top"/>
          </w:tcPr>
          <w:p>
            <w:pPr>
              <w:pStyle w:val="TableSmall"/>
            </w:pPr>
            <w:r>
              <w:rPr>
                <w:sz w:val="13"/>
              </w:rPr>
              <w:t>Meeting residence or attendance conditions attached to a term and degree; obtain current College/University interpretation.</w:t>
            </w:r>
          </w:p>
        </w:tc>
        <w:tc>
          <w:tcPr>
            <w:tcW w:type="dxa" w:w="2120"/>
            <w:shd w:fill="F5F7F8"/>
            <w:tcMar>
              <w:top w:w="55" w:type="dxa"/>
              <w:start w:w="70" w:type="dxa"/>
              <w:bottom w:w="55" w:type="dxa"/>
              <w:end w:w="70" w:type="dxa"/>
            </w:tcMar>
            <w:vAlign w:val="top"/>
          </w:tcPr>
          <w:p>
            <w:pPr>
              <w:pStyle w:val="TableSmall"/>
            </w:pPr>
            <w:r>
              <w:rPr>
                <w:sz w:val="13"/>
              </w:rPr>
              <w:t>“Check whether commuting affects keeping term.”</w:t>
            </w:r>
          </w:p>
        </w:tc>
        <w:tc>
          <w:tcPr>
            <w:tcW w:type="dxa" w:w="2356"/>
            <w:shd w:fill="F5F7F8"/>
            <w:tcMar>
              <w:top w:w="55" w:type="dxa"/>
              <w:start w:w="70" w:type="dxa"/>
              <w:bottom w:w="55" w:type="dxa"/>
              <w:end w:w="70" w:type="dxa"/>
            </w:tcMar>
            <w:vAlign w:val="top"/>
          </w:tcPr>
          <w:p>
            <w:pPr>
              <w:pStyle w:val="TableSmall"/>
            </w:pPr>
            <w:r>
              <w:rPr>
                <w:sz w:val="13"/>
              </w:rPr>
              <w:t>Important if living out or absent.</w:t>
            </w:r>
          </w:p>
        </w:tc>
      </w:tr>
      <w:tr>
        <w:trPr>
          <w:cantSplit w:val="true"/>
        </w:trPr>
        <w:tc>
          <w:tcPr>
            <w:tcW w:type="dxa" w:w="1602"/>
            <w:tcMar>
              <w:top w:w="55" w:type="dxa"/>
              <w:start w:w="70" w:type="dxa"/>
              <w:bottom w:w="55" w:type="dxa"/>
              <w:end w:w="70" w:type="dxa"/>
            </w:tcMar>
            <w:vAlign w:val="top"/>
          </w:tcPr>
          <w:p>
            <w:pPr>
              <w:pStyle w:val="TableSmall"/>
            </w:pPr>
            <w:r>
              <w:rPr>
                <w:sz w:val="13"/>
              </w:rPr>
              <w:t>Lent</w:t>
            </w:r>
          </w:p>
        </w:tc>
        <w:tc>
          <w:tcPr>
            <w:tcW w:type="dxa" w:w="3958"/>
            <w:tcMar>
              <w:top w:w="55" w:type="dxa"/>
              <w:start w:w="70" w:type="dxa"/>
              <w:bottom w:w="55" w:type="dxa"/>
              <w:end w:w="70" w:type="dxa"/>
            </w:tcMar>
            <w:vAlign w:val="top"/>
          </w:tcPr>
          <w:p>
            <w:pPr>
              <w:pStyle w:val="TableSmall"/>
            </w:pPr>
            <w:r>
              <w:rPr>
                <w:sz w:val="13"/>
              </w:rPr>
              <w:t>Second Cambridge term, roughly January to March.</w:t>
            </w:r>
          </w:p>
        </w:tc>
        <w:tc>
          <w:tcPr>
            <w:tcW w:type="dxa" w:w="2120"/>
            <w:tcMar>
              <w:top w:w="55" w:type="dxa"/>
              <w:start w:w="70" w:type="dxa"/>
              <w:bottom w:w="55" w:type="dxa"/>
              <w:end w:w="70" w:type="dxa"/>
            </w:tcMar>
            <w:vAlign w:val="top"/>
          </w:tcPr>
          <w:p>
            <w:pPr>
              <w:pStyle w:val="TableSmall"/>
            </w:pPr>
            <w:r>
              <w:rPr>
                <w:sz w:val="13"/>
              </w:rPr>
              <w:t>“Exams start being planned in Lent.”</w:t>
            </w:r>
          </w:p>
        </w:tc>
        <w:tc>
          <w:tcPr>
            <w:tcW w:type="dxa" w:w="2356"/>
            <w:tcMar>
              <w:top w:w="55" w:type="dxa"/>
              <w:start w:w="70" w:type="dxa"/>
              <w:bottom w:w="55" w:type="dxa"/>
              <w:end w:w="70" w:type="dxa"/>
            </w:tcMar>
            <w:vAlign w:val="top"/>
          </w:tcPr>
          <w:p>
            <w:pPr>
              <w:pStyle w:val="TableSmall"/>
            </w:pPr>
            <w:r>
              <w:rPr>
                <w:sz w:val="13"/>
              </w:rPr>
              <w:t>Essential.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Long vacation</w:t>
            </w:r>
          </w:p>
        </w:tc>
        <w:tc>
          <w:tcPr>
            <w:tcW w:type="dxa" w:w="3958"/>
            <w:shd w:fill="F5F7F8"/>
            <w:tcMar>
              <w:top w:w="55" w:type="dxa"/>
              <w:start w:w="70" w:type="dxa"/>
              <w:bottom w:w="55" w:type="dxa"/>
              <w:end w:w="70" w:type="dxa"/>
            </w:tcMar>
            <w:vAlign w:val="top"/>
          </w:tcPr>
          <w:p>
            <w:pPr>
              <w:pStyle w:val="TableSmall"/>
            </w:pPr>
            <w:r>
              <w:rPr>
                <w:sz w:val="13"/>
              </w:rPr>
              <w:t>The summer period between Easter Term and the next Michaelmas; often contains study, placements or work.</w:t>
            </w:r>
          </w:p>
        </w:tc>
        <w:tc>
          <w:tcPr>
            <w:tcW w:type="dxa" w:w="2120"/>
            <w:shd w:fill="F5F7F8"/>
            <w:tcMar>
              <w:top w:w="55" w:type="dxa"/>
              <w:start w:w="70" w:type="dxa"/>
              <w:bottom w:w="55" w:type="dxa"/>
              <w:end w:w="70" w:type="dxa"/>
            </w:tcMar>
            <w:vAlign w:val="top"/>
          </w:tcPr>
          <w:p>
            <w:pPr>
              <w:pStyle w:val="TableSmall"/>
            </w:pPr>
            <w:r>
              <w:rPr>
                <w:sz w:val="13"/>
              </w:rPr>
              <w:t>“The library has reduced hours in the Long Vac.”</w:t>
            </w:r>
          </w:p>
        </w:tc>
        <w:tc>
          <w:tcPr>
            <w:tcW w:type="dxa" w:w="2356"/>
            <w:shd w:fill="F5F7F8"/>
            <w:tcMar>
              <w:top w:w="55" w:type="dxa"/>
              <w:start w:w="70" w:type="dxa"/>
              <w:bottom w:w="55" w:type="dxa"/>
              <w:end w:w="70" w:type="dxa"/>
            </w:tcMar>
            <w:vAlign w:val="top"/>
          </w:tcPr>
          <w:p>
            <w:pPr>
              <w:pStyle w:val="TableSmall"/>
            </w:pPr>
            <w:r>
              <w:rPr>
                <w:sz w:val="13"/>
              </w:rPr>
              <w:t>Yes.</w:t>
            </w:r>
          </w:p>
        </w:tc>
      </w:tr>
      <w:tr>
        <w:trPr>
          <w:cantSplit w:val="true"/>
        </w:trPr>
        <w:tc>
          <w:tcPr>
            <w:tcW w:type="dxa" w:w="1602"/>
            <w:tcMar>
              <w:top w:w="55" w:type="dxa"/>
              <w:start w:w="70" w:type="dxa"/>
              <w:bottom w:w="55" w:type="dxa"/>
              <w:end w:w="70" w:type="dxa"/>
            </w:tcMar>
            <w:vAlign w:val="top"/>
          </w:tcPr>
          <w:p>
            <w:pPr>
              <w:pStyle w:val="TableSmall"/>
            </w:pPr>
            <w:r>
              <w:rPr>
                <w:sz w:val="13"/>
              </w:rPr>
              <w:t>May Ball</w:t>
            </w:r>
          </w:p>
        </w:tc>
        <w:tc>
          <w:tcPr>
            <w:tcW w:type="dxa" w:w="3958"/>
            <w:tcMar>
              <w:top w:w="55" w:type="dxa"/>
              <w:start w:w="70" w:type="dxa"/>
              <w:bottom w:w="55" w:type="dxa"/>
              <w:end w:w="70" w:type="dxa"/>
            </w:tcMar>
            <w:vAlign w:val="top"/>
          </w:tcPr>
          <w:p>
            <w:pPr>
              <w:pStyle w:val="TableSmall"/>
            </w:pPr>
            <w:r>
              <w:rPr>
                <w:sz w:val="13"/>
              </w:rPr>
              <w:t>Large formal post-exam event, usually in June despite the name.</w:t>
            </w:r>
          </w:p>
        </w:tc>
        <w:tc>
          <w:tcPr>
            <w:tcW w:type="dxa" w:w="2120"/>
            <w:tcMar>
              <w:top w:w="55" w:type="dxa"/>
              <w:start w:w="70" w:type="dxa"/>
              <w:bottom w:w="55" w:type="dxa"/>
              <w:end w:w="70" w:type="dxa"/>
            </w:tcMar>
            <w:vAlign w:val="top"/>
          </w:tcPr>
          <w:p>
            <w:pPr>
              <w:pStyle w:val="TableSmall"/>
            </w:pPr>
            <w:r>
              <w:rPr>
                <w:sz w:val="13"/>
              </w:rPr>
              <w:t>“Tickets for the May Ball open in February.”</w:t>
            </w:r>
          </w:p>
        </w:tc>
        <w:tc>
          <w:tcPr>
            <w:tcW w:type="dxa" w:w="2356"/>
            <w:tcMar>
              <w:top w:w="55" w:type="dxa"/>
              <w:start w:w="70" w:type="dxa"/>
              <w:bottom w:w="55" w:type="dxa"/>
              <w:end w:w="70" w:type="dxa"/>
            </w:tcMar>
            <w:vAlign w:val="top"/>
          </w:tcPr>
          <w:p>
            <w:pPr>
              <w:pStyle w:val="TableSmall"/>
            </w:pPr>
            <w:r>
              <w:rPr>
                <w:sz w:val="13"/>
              </w:rPr>
              <w:t>Optional; budget carefully.</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May Week</w:t>
            </w:r>
          </w:p>
        </w:tc>
        <w:tc>
          <w:tcPr>
            <w:tcW w:type="dxa" w:w="3958"/>
            <w:shd w:fill="F5F7F8"/>
            <w:tcMar>
              <w:top w:w="55" w:type="dxa"/>
              <w:start w:w="70" w:type="dxa"/>
              <w:bottom w:w="55" w:type="dxa"/>
              <w:end w:w="70" w:type="dxa"/>
            </w:tcMar>
            <w:vAlign w:val="top"/>
          </w:tcPr>
          <w:p>
            <w:pPr>
              <w:pStyle w:val="TableSmall"/>
            </w:pPr>
            <w:r>
              <w:rPr>
                <w:sz w:val="13"/>
              </w:rPr>
              <w:t>Post-exam celebration period held mainly in June.</w:t>
            </w:r>
          </w:p>
        </w:tc>
        <w:tc>
          <w:tcPr>
            <w:tcW w:type="dxa" w:w="2120"/>
            <w:shd w:fill="F5F7F8"/>
            <w:tcMar>
              <w:top w:w="55" w:type="dxa"/>
              <w:start w:w="70" w:type="dxa"/>
              <w:bottom w:w="55" w:type="dxa"/>
              <w:end w:w="70" w:type="dxa"/>
            </w:tcMar>
            <w:vAlign w:val="top"/>
          </w:tcPr>
          <w:p>
            <w:pPr>
              <w:pStyle w:val="TableSmall"/>
            </w:pPr>
            <w:r>
              <w:rPr>
                <w:sz w:val="13"/>
              </w:rPr>
              <w:t>“Bumps and Balls fill May Week.”</w:t>
            </w:r>
          </w:p>
        </w:tc>
        <w:tc>
          <w:tcPr>
            <w:tcW w:type="dxa" w:w="2356"/>
            <w:shd w:fill="F5F7F8"/>
            <w:tcMar>
              <w:top w:w="55" w:type="dxa"/>
              <w:start w:w="70" w:type="dxa"/>
              <w:bottom w:w="55" w:type="dxa"/>
              <w:end w:w="70" w:type="dxa"/>
            </w:tcMar>
            <w:vAlign w:val="top"/>
          </w:tcPr>
          <w:p>
            <w:pPr>
              <w:pStyle w:val="TableSmall"/>
            </w:pPr>
            <w:r>
              <w:rPr>
                <w:sz w:val="13"/>
              </w:rPr>
              <w:t>Useful.</w:t>
            </w:r>
          </w:p>
        </w:tc>
      </w:tr>
      <w:tr>
        <w:trPr>
          <w:cantSplit w:val="true"/>
        </w:trPr>
        <w:tc>
          <w:tcPr>
            <w:tcW w:type="dxa" w:w="1602"/>
            <w:tcMar>
              <w:top w:w="55" w:type="dxa"/>
              <w:start w:w="70" w:type="dxa"/>
              <w:bottom w:w="55" w:type="dxa"/>
              <w:end w:w="70" w:type="dxa"/>
            </w:tcMar>
            <w:vAlign w:val="top"/>
          </w:tcPr>
          <w:p>
            <w:pPr>
              <w:pStyle w:val="TableSmall"/>
            </w:pPr>
            <w:r>
              <w:rPr>
                <w:sz w:val="13"/>
              </w:rPr>
              <w:t>MCR</w:t>
            </w:r>
          </w:p>
        </w:tc>
        <w:tc>
          <w:tcPr>
            <w:tcW w:type="dxa" w:w="3958"/>
            <w:tcMar>
              <w:top w:w="55" w:type="dxa"/>
              <w:start w:w="70" w:type="dxa"/>
              <w:bottom w:w="55" w:type="dxa"/>
              <w:end w:w="70" w:type="dxa"/>
            </w:tcMar>
            <w:vAlign w:val="top"/>
          </w:tcPr>
          <w:p>
            <w:pPr>
              <w:pStyle w:val="TableSmall"/>
            </w:pPr>
            <w:r>
              <w:rPr>
                <w:sz w:val="13"/>
              </w:rPr>
              <w:t>Middle Common Room: usually postgraduate student body/space; some mature/fourth-year undergraduates may be included by College practice.</w:t>
            </w:r>
          </w:p>
        </w:tc>
        <w:tc>
          <w:tcPr>
            <w:tcW w:type="dxa" w:w="2120"/>
            <w:tcMar>
              <w:top w:w="55" w:type="dxa"/>
              <w:start w:w="70" w:type="dxa"/>
              <w:bottom w:w="55" w:type="dxa"/>
              <w:end w:w="70" w:type="dxa"/>
            </w:tcMar>
            <w:vAlign w:val="top"/>
          </w:tcPr>
          <w:p>
            <w:pPr>
              <w:pStyle w:val="TableSmall"/>
            </w:pPr>
            <w:r>
              <w:rPr>
                <w:sz w:val="13"/>
              </w:rPr>
              <w:t>“Ask whether mature undergraduates can join MCR events.”</w:t>
            </w:r>
          </w:p>
        </w:tc>
        <w:tc>
          <w:tcPr>
            <w:tcW w:type="dxa" w:w="2356"/>
            <w:tcMar>
              <w:top w:w="55" w:type="dxa"/>
              <w:start w:w="70" w:type="dxa"/>
              <w:bottom w:w="55" w:type="dxa"/>
              <w:end w:w="70" w:type="dxa"/>
            </w:tcMar>
            <w:vAlign w:val="top"/>
          </w:tcPr>
          <w:p>
            <w:pPr>
              <w:pStyle w:val="TableSmall"/>
            </w:pPr>
            <w:r>
              <w:rPr>
                <w:sz w:val="13"/>
              </w:rPr>
              <w:t>Relevant at mature Colleges.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Mess</w:t>
            </w:r>
          </w:p>
        </w:tc>
        <w:tc>
          <w:tcPr>
            <w:tcW w:type="dxa" w:w="3958"/>
            <w:shd w:fill="F5F7F8"/>
            <w:tcMar>
              <w:top w:w="55" w:type="dxa"/>
              <w:start w:w="70" w:type="dxa"/>
              <w:bottom w:w="55" w:type="dxa"/>
              <w:end w:w="70" w:type="dxa"/>
            </w:tcMar>
            <w:vAlign w:val="top"/>
          </w:tcPr>
          <w:p>
            <w:pPr>
              <w:pStyle w:val="TableSmall"/>
            </w:pPr>
            <w:r>
              <w:rPr>
                <w:sz w:val="13"/>
              </w:rPr>
              <w:t>Not a reliable universal Cambridge slang term. It may mean ordinary disorder, a military/shared dining group, or a local team/club meal.</w:t>
            </w:r>
          </w:p>
        </w:tc>
        <w:tc>
          <w:tcPr>
            <w:tcW w:type="dxa" w:w="2120"/>
            <w:shd w:fill="F5F7F8"/>
            <w:tcMar>
              <w:top w:w="55" w:type="dxa"/>
              <w:start w:w="70" w:type="dxa"/>
              <w:bottom w:w="55" w:type="dxa"/>
              <w:end w:w="70" w:type="dxa"/>
            </w:tcMar>
            <w:vAlign w:val="top"/>
          </w:tcPr>
          <w:p>
            <w:pPr>
              <w:pStyle w:val="TableSmall"/>
            </w:pPr>
            <w:r>
              <w:rPr>
                <w:sz w:val="13"/>
              </w:rPr>
              <w:t>“Meet at the mess” requires a follow-up: which place or group?</w:t>
            </w:r>
          </w:p>
        </w:tc>
        <w:tc>
          <w:tcPr>
            <w:tcW w:type="dxa" w:w="2356"/>
            <w:shd w:fill="F5F7F8"/>
            <w:tcMar>
              <w:top w:w="55" w:type="dxa"/>
              <w:start w:w="70" w:type="dxa"/>
              <w:bottom w:w="55" w:type="dxa"/>
              <w:end w:w="70" w:type="dxa"/>
            </w:tcMar>
            <w:vAlign w:val="top"/>
          </w:tcPr>
          <w:p>
            <w:pPr>
              <w:pStyle w:val="TableSmall"/>
            </w:pPr>
            <w:r>
              <w:rPr>
                <w:sz w:val="13"/>
              </w:rPr>
              <w:t>Do not assume; ask the speaker.</w:t>
            </w:r>
          </w:p>
        </w:tc>
      </w:tr>
      <w:tr>
        <w:trPr>
          <w:cantSplit w:val="true"/>
        </w:trPr>
        <w:tc>
          <w:tcPr>
            <w:tcW w:type="dxa" w:w="1602"/>
            <w:tcMar>
              <w:top w:w="55" w:type="dxa"/>
              <w:start w:w="70" w:type="dxa"/>
              <w:bottom w:w="55" w:type="dxa"/>
              <w:end w:w="70" w:type="dxa"/>
            </w:tcMar>
            <w:vAlign w:val="top"/>
          </w:tcPr>
          <w:p>
            <w:pPr>
              <w:pStyle w:val="TableSmall"/>
            </w:pPr>
            <w:r>
              <w:rPr>
                <w:sz w:val="13"/>
              </w:rPr>
              <w:t>Michaelmas</w:t>
            </w:r>
          </w:p>
        </w:tc>
        <w:tc>
          <w:tcPr>
            <w:tcW w:type="dxa" w:w="3958"/>
            <w:tcMar>
              <w:top w:w="55" w:type="dxa"/>
              <w:start w:w="70" w:type="dxa"/>
              <w:bottom w:w="55" w:type="dxa"/>
              <w:end w:w="70" w:type="dxa"/>
            </w:tcMar>
            <w:vAlign w:val="top"/>
          </w:tcPr>
          <w:p>
            <w:pPr>
              <w:pStyle w:val="TableSmall"/>
            </w:pPr>
            <w:r>
              <w:rPr>
                <w:sz w:val="13"/>
              </w:rPr>
              <w:t>First Cambridge term, roughly October to December.</w:t>
            </w:r>
          </w:p>
        </w:tc>
        <w:tc>
          <w:tcPr>
            <w:tcW w:type="dxa" w:w="2120"/>
            <w:tcMar>
              <w:top w:w="55" w:type="dxa"/>
              <w:start w:w="70" w:type="dxa"/>
              <w:bottom w:w="55" w:type="dxa"/>
              <w:end w:w="70" w:type="dxa"/>
            </w:tcMar>
            <w:vAlign w:val="top"/>
          </w:tcPr>
          <w:p>
            <w:pPr>
              <w:pStyle w:val="TableSmall"/>
            </w:pPr>
            <w:r>
              <w:rPr>
                <w:sz w:val="13"/>
              </w:rPr>
              <w:t>“Freshers arrive before Michaelmas Full Term.”</w:t>
            </w:r>
          </w:p>
        </w:tc>
        <w:tc>
          <w:tcPr>
            <w:tcW w:type="dxa" w:w="2356"/>
            <w:tcMar>
              <w:top w:w="55" w:type="dxa"/>
              <w:start w:w="70" w:type="dxa"/>
              <w:bottom w:w="55" w:type="dxa"/>
              <w:end w:w="70" w:type="dxa"/>
            </w:tcMar>
            <w:vAlign w:val="top"/>
          </w:tcPr>
          <w:p>
            <w:pPr>
              <w:pStyle w:val="TableSmall"/>
            </w:pPr>
            <w:r>
              <w:rPr>
                <w:sz w:val="13"/>
              </w:rPr>
              <w:t>Essential.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Moodle</w:t>
            </w:r>
          </w:p>
        </w:tc>
        <w:tc>
          <w:tcPr>
            <w:tcW w:type="dxa" w:w="3958"/>
            <w:shd w:fill="F5F7F8"/>
            <w:tcMar>
              <w:top w:w="55" w:type="dxa"/>
              <w:start w:w="70" w:type="dxa"/>
              <w:bottom w:w="55" w:type="dxa"/>
              <w:end w:w="70" w:type="dxa"/>
            </w:tcMar>
            <w:vAlign w:val="top"/>
          </w:tcPr>
          <w:p>
            <w:pPr>
              <w:pStyle w:val="TableSmall"/>
            </w:pPr>
            <w:r>
              <w:rPr>
                <w:sz w:val="13"/>
              </w:rPr>
              <w:t>Common virtual learning environment for course material and submissions.</w:t>
            </w:r>
          </w:p>
        </w:tc>
        <w:tc>
          <w:tcPr>
            <w:tcW w:type="dxa" w:w="2120"/>
            <w:shd w:fill="F5F7F8"/>
            <w:tcMar>
              <w:top w:w="55" w:type="dxa"/>
              <w:start w:w="70" w:type="dxa"/>
              <w:bottom w:w="55" w:type="dxa"/>
              <w:end w:w="70" w:type="dxa"/>
            </w:tcMar>
            <w:vAlign w:val="top"/>
          </w:tcPr>
          <w:p>
            <w:pPr>
              <w:pStyle w:val="TableSmall"/>
            </w:pPr>
            <w:r>
              <w:rPr>
                <w:sz w:val="13"/>
              </w:rPr>
              <w:t>“The reading list is on Moodle.”</w:t>
            </w:r>
          </w:p>
        </w:tc>
        <w:tc>
          <w:tcPr>
            <w:tcW w:type="dxa" w:w="2356"/>
            <w:shd w:fill="F5F7F8"/>
            <w:tcMar>
              <w:top w:w="55" w:type="dxa"/>
              <w:start w:w="70" w:type="dxa"/>
              <w:bottom w:w="55" w:type="dxa"/>
              <w:end w:w="70" w:type="dxa"/>
            </w:tcMar>
            <w:vAlign w:val="top"/>
          </w:tcPr>
          <w:p>
            <w:pPr>
              <w:pStyle w:val="TableSmall"/>
            </w:pPr>
            <w:r>
              <w:rPr>
                <w:sz w:val="13"/>
              </w:rPr>
              <w:t>Essential where your course uses it.</w:t>
            </w:r>
          </w:p>
        </w:tc>
      </w:tr>
      <w:tr>
        <w:trPr>
          <w:cantSplit w:val="true"/>
        </w:trPr>
        <w:tc>
          <w:tcPr>
            <w:tcW w:type="dxa" w:w="1602"/>
            <w:tcMar>
              <w:top w:w="55" w:type="dxa"/>
              <w:start w:w="70" w:type="dxa"/>
              <w:bottom w:w="55" w:type="dxa"/>
              <w:end w:w="70" w:type="dxa"/>
            </w:tcMar>
            <w:vAlign w:val="top"/>
          </w:tcPr>
          <w:p>
            <w:pPr>
              <w:pStyle w:val="TableSmall"/>
            </w:pPr>
            <w:r>
              <w:rPr>
                <w:sz w:val="13"/>
              </w:rPr>
              <w:t>Night climbing</w:t>
            </w:r>
          </w:p>
        </w:tc>
        <w:tc>
          <w:tcPr>
            <w:tcW w:type="dxa" w:w="3958"/>
            <w:tcMar>
              <w:top w:w="55" w:type="dxa"/>
              <w:start w:w="70" w:type="dxa"/>
              <w:bottom w:w="55" w:type="dxa"/>
              <w:end w:w="70" w:type="dxa"/>
            </w:tcMar>
            <w:vAlign w:val="top"/>
          </w:tcPr>
          <w:p>
            <w:pPr>
              <w:pStyle w:val="TableSmall"/>
            </w:pPr>
            <w:r>
              <w:rPr>
                <w:sz w:val="13"/>
              </w:rPr>
              <w:t>Unauthorised climbing of buildings, surrounded by folklore but unsafe and potentially disciplinary/criminal.</w:t>
            </w:r>
          </w:p>
        </w:tc>
        <w:tc>
          <w:tcPr>
            <w:tcW w:type="dxa" w:w="2120"/>
            <w:tcMar>
              <w:top w:w="55" w:type="dxa"/>
              <w:start w:w="70" w:type="dxa"/>
              <w:bottom w:w="55" w:type="dxa"/>
              <w:end w:w="70" w:type="dxa"/>
            </w:tcMar>
            <w:vAlign w:val="top"/>
          </w:tcPr>
          <w:p>
            <w:pPr>
              <w:pStyle w:val="TableSmall"/>
            </w:pPr>
            <w:r>
              <w:rPr>
                <w:sz w:val="13"/>
              </w:rPr>
              <w:t>“Night climbing is not a required tradition.”</w:t>
            </w:r>
          </w:p>
        </w:tc>
        <w:tc>
          <w:tcPr>
            <w:tcW w:type="dxa" w:w="2356"/>
            <w:tcMar>
              <w:top w:w="55" w:type="dxa"/>
              <w:start w:w="70" w:type="dxa"/>
              <w:bottom w:w="55" w:type="dxa"/>
              <w:end w:w="70" w:type="dxa"/>
            </w:tcMar>
            <w:vAlign w:val="top"/>
          </w:tcPr>
          <w:p>
            <w:pPr>
              <w:pStyle w:val="TableSmall"/>
            </w:pPr>
            <w:r>
              <w:rPr>
                <w:sz w:val="13"/>
              </w:rPr>
              <w:t>Know to decline.</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Paper</w:t>
            </w:r>
          </w:p>
        </w:tc>
        <w:tc>
          <w:tcPr>
            <w:tcW w:type="dxa" w:w="3958"/>
            <w:shd w:fill="F5F7F8"/>
            <w:tcMar>
              <w:top w:w="55" w:type="dxa"/>
              <w:start w:w="70" w:type="dxa"/>
              <w:bottom w:w="55" w:type="dxa"/>
              <w:end w:w="70" w:type="dxa"/>
            </w:tcMar>
            <w:vAlign w:val="top"/>
          </w:tcPr>
          <w:p>
            <w:pPr>
              <w:pStyle w:val="TableSmall"/>
            </w:pPr>
            <w:r>
              <w:rPr>
                <w:sz w:val="13"/>
              </w:rPr>
              <w:t>An examinable subject/module or an examination paper, depending on context.</w:t>
            </w:r>
          </w:p>
        </w:tc>
        <w:tc>
          <w:tcPr>
            <w:tcW w:type="dxa" w:w="2120"/>
            <w:shd w:fill="F5F7F8"/>
            <w:tcMar>
              <w:top w:w="55" w:type="dxa"/>
              <w:start w:w="70" w:type="dxa"/>
              <w:bottom w:w="55" w:type="dxa"/>
              <w:end w:w="70" w:type="dxa"/>
            </w:tcMar>
            <w:vAlign w:val="top"/>
          </w:tcPr>
          <w:p>
            <w:pPr>
              <w:pStyle w:val="TableSmall"/>
            </w:pPr>
            <w:r>
              <w:rPr>
                <w:sz w:val="13"/>
              </w:rPr>
              <w:t>“I am choosing the gender-history paper.”</w:t>
            </w:r>
          </w:p>
        </w:tc>
        <w:tc>
          <w:tcPr>
            <w:tcW w:type="dxa" w:w="2356"/>
            <w:shd w:fill="F5F7F8"/>
            <w:tcMar>
              <w:top w:w="55" w:type="dxa"/>
              <w:start w:w="70" w:type="dxa"/>
              <w:bottom w:w="55" w:type="dxa"/>
              <w:end w:w="70" w:type="dxa"/>
            </w:tcMar>
            <w:vAlign w:val="top"/>
          </w:tcPr>
          <w:p>
            <w:pPr>
              <w:pStyle w:val="TableSmall"/>
            </w:pPr>
            <w:r>
              <w:rPr>
                <w:sz w:val="13"/>
              </w:rPr>
              <w:t>Essential; not literally only paper.</w:t>
            </w:r>
          </w:p>
        </w:tc>
      </w:tr>
      <w:tr>
        <w:trPr>
          <w:cantSplit w:val="true"/>
        </w:trPr>
        <w:tc>
          <w:tcPr>
            <w:tcW w:type="dxa" w:w="1602"/>
            <w:tcMar>
              <w:top w:w="55" w:type="dxa"/>
              <w:start w:w="70" w:type="dxa"/>
              <w:bottom w:w="55" w:type="dxa"/>
              <w:end w:w="70" w:type="dxa"/>
            </w:tcMar>
            <w:vAlign w:val="top"/>
          </w:tcPr>
          <w:p>
            <w:pPr>
              <w:pStyle w:val="TableSmall"/>
            </w:pPr>
            <w:r>
              <w:rPr>
                <w:sz w:val="13"/>
              </w:rPr>
              <w:t>Part I / Part II / Part III</w:t>
            </w:r>
          </w:p>
        </w:tc>
        <w:tc>
          <w:tcPr>
            <w:tcW w:type="dxa" w:w="3958"/>
            <w:tcMar>
              <w:top w:w="55" w:type="dxa"/>
              <w:start w:w="70" w:type="dxa"/>
              <w:bottom w:w="55" w:type="dxa"/>
              <w:end w:w="70" w:type="dxa"/>
            </w:tcMar>
            <w:vAlign w:val="top"/>
          </w:tcPr>
          <w:p>
            <w:pPr>
              <w:pStyle w:val="TableSmall"/>
            </w:pPr>
            <w:r>
              <w:rPr>
                <w:sz w:val="13"/>
              </w:rPr>
              <w:t>Stages of a Tripos, not necessarily calendar years in a simple universal pattern. Part III can be an advanced fourth-year course in some subjects.</w:t>
            </w:r>
          </w:p>
        </w:tc>
        <w:tc>
          <w:tcPr>
            <w:tcW w:type="dxa" w:w="2120"/>
            <w:tcMar>
              <w:top w:w="55" w:type="dxa"/>
              <w:start w:w="70" w:type="dxa"/>
              <w:bottom w:w="55" w:type="dxa"/>
              <w:end w:w="70" w:type="dxa"/>
            </w:tcMar>
            <w:vAlign w:val="top"/>
          </w:tcPr>
          <w:p>
            <w:pPr>
              <w:pStyle w:val="TableSmall"/>
            </w:pPr>
            <w:r>
              <w:rPr>
                <w:sz w:val="13"/>
              </w:rPr>
              <w:t>“I take Part IIA next year.”</w:t>
            </w:r>
          </w:p>
        </w:tc>
        <w:tc>
          <w:tcPr>
            <w:tcW w:type="dxa" w:w="2356"/>
            <w:tcMar>
              <w:top w:w="55" w:type="dxa"/>
              <w:start w:w="70" w:type="dxa"/>
              <w:bottom w:w="55" w:type="dxa"/>
              <w:end w:w="70" w:type="dxa"/>
            </w:tcMar>
            <w:vAlign w:val="top"/>
          </w:tcPr>
          <w:p>
            <w:pPr>
              <w:pStyle w:val="TableSmall"/>
            </w:pPr>
            <w:r>
              <w:rPr>
                <w:sz w:val="13"/>
              </w:rPr>
              <w:t>Course-specific and essential.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Pennying</w:t>
            </w:r>
          </w:p>
        </w:tc>
        <w:tc>
          <w:tcPr>
            <w:tcW w:type="dxa" w:w="3958"/>
            <w:shd w:fill="F5F7F8"/>
            <w:tcMar>
              <w:top w:w="55" w:type="dxa"/>
              <w:start w:w="70" w:type="dxa"/>
              <w:bottom w:w="55" w:type="dxa"/>
              <w:end w:w="70" w:type="dxa"/>
            </w:tcMar>
            <w:vAlign w:val="top"/>
          </w:tcPr>
          <w:p>
            <w:pPr>
              <w:pStyle w:val="TableSmall"/>
            </w:pPr>
            <w:r>
              <w:rPr>
                <w:sz w:val="13"/>
              </w:rPr>
              <w:t>Drinking-game tradition involving a coin dropped into a drink; rules vary.</w:t>
            </w:r>
          </w:p>
        </w:tc>
        <w:tc>
          <w:tcPr>
            <w:tcW w:type="dxa" w:w="2120"/>
            <w:shd w:fill="F5F7F8"/>
            <w:tcMar>
              <w:top w:w="55" w:type="dxa"/>
              <w:start w:w="70" w:type="dxa"/>
              <w:bottom w:w="55" w:type="dxa"/>
              <w:end w:w="70" w:type="dxa"/>
            </w:tcMar>
            <w:vAlign w:val="top"/>
          </w:tcPr>
          <w:p>
            <w:pPr>
              <w:pStyle w:val="TableSmall"/>
            </w:pPr>
            <w:r>
              <w:rPr>
                <w:sz w:val="13"/>
              </w:rPr>
              <w:t>“I do not play pennying.”</w:t>
            </w:r>
          </w:p>
        </w:tc>
        <w:tc>
          <w:tcPr>
            <w:tcW w:type="dxa" w:w="2356"/>
            <w:shd w:fill="F5F7F8"/>
            <w:tcMar>
              <w:top w:w="55" w:type="dxa"/>
              <w:start w:w="70" w:type="dxa"/>
              <w:bottom w:w="55" w:type="dxa"/>
              <w:end w:w="70" w:type="dxa"/>
            </w:tcMar>
            <w:vAlign w:val="top"/>
          </w:tcPr>
          <w:p>
            <w:pPr>
              <w:pStyle w:val="TableSmall"/>
            </w:pPr>
            <w:r>
              <w:rPr>
                <w:sz w:val="13"/>
              </w:rPr>
              <w:t>Optional; decline without explanation.</w:t>
            </w:r>
          </w:p>
        </w:tc>
      </w:tr>
      <w:tr>
        <w:trPr>
          <w:cantSplit w:val="true"/>
        </w:trPr>
        <w:tc>
          <w:tcPr>
            <w:tcW w:type="dxa" w:w="1602"/>
            <w:tcMar>
              <w:top w:w="55" w:type="dxa"/>
              <w:start w:w="70" w:type="dxa"/>
              <w:bottom w:w="55" w:type="dxa"/>
              <w:end w:w="70" w:type="dxa"/>
            </w:tcMar>
            <w:vAlign w:val="top"/>
          </w:tcPr>
          <w:p>
            <w:pPr>
              <w:pStyle w:val="TableSmall"/>
            </w:pPr>
            <w:r>
              <w:rPr>
                <w:sz w:val="13"/>
              </w:rPr>
              <w:t>Pidge / pigeonhole</w:t>
            </w:r>
          </w:p>
        </w:tc>
        <w:tc>
          <w:tcPr>
            <w:tcW w:type="dxa" w:w="3958"/>
            <w:tcMar>
              <w:top w:w="55" w:type="dxa"/>
              <w:start w:w="70" w:type="dxa"/>
              <w:bottom w:w="55" w:type="dxa"/>
              <w:end w:w="70" w:type="dxa"/>
            </w:tcMar>
            <w:vAlign w:val="top"/>
          </w:tcPr>
          <w:p>
            <w:pPr>
              <w:pStyle w:val="TableSmall"/>
            </w:pPr>
            <w:r>
              <w:rPr>
                <w:sz w:val="13"/>
              </w:rPr>
              <w:t>College mail slot for post, tickets and notices.</w:t>
            </w:r>
          </w:p>
        </w:tc>
        <w:tc>
          <w:tcPr>
            <w:tcW w:type="dxa" w:w="2120"/>
            <w:tcMar>
              <w:top w:w="55" w:type="dxa"/>
              <w:start w:w="70" w:type="dxa"/>
              <w:bottom w:w="55" w:type="dxa"/>
              <w:end w:w="70" w:type="dxa"/>
            </w:tcMar>
            <w:vAlign w:val="top"/>
          </w:tcPr>
          <w:p>
            <w:pPr>
              <w:pStyle w:val="TableSmall"/>
            </w:pPr>
            <w:r>
              <w:rPr>
                <w:sz w:val="13"/>
              </w:rPr>
              <w:t>“Your ticket is in your pidge.”</w:t>
            </w:r>
          </w:p>
        </w:tc>
        <w:tc>
          <w:tcPr>
            <w:tcW w:type="dxa" w:w="2356"/>
            <w:tcMar>
              <w:top w:w="55" w:type="dxa"/>
              <w:start w:w="70" w:type="dxa"/>
              <w:bottom w:w="55" w:type="dxa"/>
              <w:end w:w="70" w:type="dxa"/>
            </w:tcMar>
            <w:vAlign w:val="top"/>
          </w:tcPr>
          <w:p>
            <w:pPr>
              <w:pStyle w:val="TableSmall"/>
            </w:pPr>
            <w:r>
              <w:rPr>
                <w:sz w:val="13"/>
              </w:rPr>
              <w:t>Useful; check it.</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Plodge</w:t>
            </w:r>
          </w:p>
        </w:tc>
        <w:tc>
          <w:tcPr>
            <w:tcW w:type="dxa" w:w="3958"/>
            <w:shd w:fill="F5F7F8"/>
            <w:tcMar>
              <w:top w:w="55" w:type="dxa"/>
              <w:start w:w="70" w:type="dxa"/>
              <w:bottom w:w="55" w:type="dxa"/>
              <w:end w:w="70" w:type="dxa"/>
            </w:tcMar>
            <w:vAlign w:val="top"/>
          </w:tcPr>
          <w:p>
            <w:pPr>
              <w:pStyle w:val="TableSmall"/>
            </w:pPr>
            <w:r>
              <w:rPr>
                <w:sz w:val="13"/>
              </w:rPr>
              <w:t>Informal contraction of Porters’ Lodge.</w:t>
            </w:r>
          </w:p>
        </w:tc>
        <w:tc>
          <w:tcPr>
            <w:tcW w:type="dxa" w:w="2120"/>
            <w:shd w:fill="F5F7F8"/>
            <w:tcMar>
              <w:top w:w="55" w:type="dxa"/>
              <w:start w:w="70" w:type="dxa"/>
              <w:bottom w:w="55" w:type="dxa"/>
              <w:end w:w="70" w:type="dxa"/>
            </w:tcMar>
            <w:vAlign w:val="top"/>
          </w:tcPr>
          <w:p>
            <w:pPr>
              <w:pStyle w:val="TableSmall"/>
            </w:pPr>
            <w:r>
              <w:rPr>
                <w:sz w:val="13"/>
              </w:rPr>
              <w:t>“Leave the key at the plodge.”</w:t>
            </w:r>
          </w:p>
        </w:tc>
        <w:tc>
          <w:tcPr>
            <w:tcW w:type="dxa" w:w="2356"/>
            <w:shd w:fill="F5F7F8"/>
            <w:tcMar>
              <w:top w:w="55" w:type="dxa"/>
              <w:start w:w="70" w:type="dxa"/>
              <w:bottom w:w="55" w:type="dxa"/>
              <w:end w:w="70" w:type="dxa"/>
            </w:tcMar>
            <w:vAlign w:val="top"/>
          </w:tcPr>
          <w:p>
            <w:pPr>
              <w:pStyle w:val="TableSmall"/>
            </w:pPr>
            <w:r>
              <w:rPr>
                <w:sz w:val="13"/>
              </w:rPr>
              <w:t>Common and useful.</w:t>
            </w:r>
          </w:p>
        </w:tc>
      </w:tr>
      <w:tr>
        <w:trPr>
          <w:cantSplit w:val="true"/>
        </w:trPr>
        <w:tc>
          <w:tcPr>
            <w:tcW w:type="dxa" w:w="1602"/>
            <w:tcMar>
              <w:top w:w="55" w:type="dxa"/>
              <w:start w:w="70" w:type="dxa"/>
              <w:bottom w:w="55" w:type="dxa"/>
              <w:end w:w="70" w:type="dxa"/>
            </w:tcMar>
            <w:vAlign w:val="top"/>
          </w:tcPr>
          <w:p>
            <w:pPr>
              <w:pStyle w:val="TableSmall"/>
            </w:pPr>
            <w:r>
              <w:rPr>
                <w:sz w:val="13"/>
              </w:rPr>
              <w:t>Porter</w:t>
            </w:r>
          </w:p>
        </w:tc>
        <w:tc>
          <w:tcPr>
            <w:tcW w:type="dxa" w:w="3958"/>
            <w:tcMar>
              <w:top w:w="55" w:type="dxa"/>
              <w:start w:w="70" w:type="dxa"/>
              <w:bottom w:w="55" w:type="dxa"/>
              <w:end w:w="70" w:type="dxa"/>
            </w:tcMar>
            <w:vAlign w:val="top"/>
          </w:tcPr>
          <w:p>
            <w:pPr>
              <w:pStyle w:val="TableSmall"/>
            </w:pPr>
            <w:r>
              <w:rPr>
                <w:sz w:val="13"/>
              </w:rPr>
              <w:t>College front-of-house/security/operations staff member, not a personal luggage carrier.</w:t>
            </w:r>
          </w:p>
        </w:tc>
        <w:tc>
          <w:tcPr>
            <w:tcW w:type="dxa" w:w="2120"/>
            <w:tcMar>
              <w:top w:w="55" w:type="dxa"/>
              <w:start w:w="70" w:type="dxa"/>
              <w:bottom w:w="55" w:type="dxa"/>
              <w:end w:w="70" w:type="dxa"/>
            </w:tcMar>
            <w:vAlign w:val="top"/>
          </w:tcPr>
          <w:p>
            <w:pPr>
              <w:pStyle w:val="TableSmall"/>
            </w:pPr>
            <w:r>
              <w:rPr>
                <w:sz w:val="13"/>
              </w:rPr>
              <w:t>“Ask the porter where the accessible entrance is.”</w:t>
            </w:r>
          </w:p>
        </w:tc>
        <w:tc>
          <w:tcPr>
            <w:tcW w:type="dxa" w:w="2356"/>
            <w:tcMar>
              <w:top w:w="55" w:type="dxa"/>
              <w:start w:w="70" w:type="dxa"/>
              <w:bottom w:w="55" w:type="dxa"/>
              <w:end w:w="70" w:type="dxa"/>
            </w:tcMar>
            <w:vAlign w:val="top"/>
          </w:tcPr>
          <w:p>
            <w:pPr>
              <w:pStyle w:val="TableSmall"/>
            </w:pPr>
            <w:r>
              <w:rPr>
                <w:sz w:val="13"/>
              </w:rPr>
              <w:t>Essential.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Raven</w:t>
            </w:r>
          </w:p>
        </w:tc>
        <w:tc>
          <w:tcPr>
            <w:tcW w:type="dxa" w:w="3958"/>
            <w:shd w:fill="F5F7F8"/>
            <w:tcMar>
              <w:top w:w="55" w:type="dxa"/>
              <w:start w:w="70" w:type="dxa"/>
              <w:bottom w:w="55" w:type="dxa"/>
              <w:end w:w="70" w:type="dxa"/>
            </w:tcMar>
            <w:vAlign w:val="top"/>
          </w:tcPr>
          <w:p>
            <w:pPr>
              <w:pStyle w:val="TableSmall"/>
            </w:pPr>
            <w:r>
              <w:rPr>
                <w:sz w:val="13"/>
              </w:rPr>
              <w:t>Cambridge’s authentication/login system for protected services.</w:t>
            </w:r>
          </w:p>
        </w:tc>
        <w:tc>
          <w:tcPr>
            <w:tcW w:type="dxa" w:w="2120"/>
            <w:shd w:fill="F5F7F8"/>
            <w:tcMar>
              <w:top w:w="55" w:type="dxa"/>
              <w:start w:w="70" w:type="dxa"/>
              <w:bottom w:w="55" w:type="dxa"/>
              <w:end w:w="70" w:type="dxa"/>
            </w:tcMar>
            <w:vAlign w:val="top"/>
          </w:tcPr>
          <w:p>
            <w:pPr>
              <w:pStyle w:val="TableSmall"/>
            </w:pPr>
            <w:r>
              <w:rPr>
                <w:sz w:val="13"/>
              </w:rPr>
              <w:t>“The booking page needs Raven.”</w:t>
            </w:r>
          </w:p>
        </w:tc>
        <w:tc>
          <w:tcPr>
            <w:tcW w:type="dxa" w:w="2356"/>
            <w:shd w:fill="F5F7F8"/>
            <w:tcMar>
              <w:top w:w="55" w:type="dxa"/>
              <w:start w:w="70" w:type="dxa"/>
              <w:bottom w:w="55" w:type="dxa"/>
              <w:end w:w="70" w:type="dxa"/>
            </w:tcMar>
            <w:vAlign w:val="top"/>
          </w:tcPr>
          <w:p>
            <w:pPr>
              <w:pStyle w:val="TableSmall"/>
            </w:pPr>
            <w:r>
              <w:rPr>
                <w:sz w:val="13"/>
              </w:rPr>
              <w:t>Essential.</w:t>
            </w:r>
          </w:p>
        </w:tc>
      </w:tr>
      <w:tr>
        <w:trPr>
          <w:cantSplit w:val="true"/>
        </w:trPr>
        <w:tc>
          <w:tcPr>
            <w:tcW w:type="dxa" w:w="1602"/>
            <w:tcMar>
              <w:top w:w="55" w:type="dxa"/>
              <w:start w:w="70" w:type="dxa"/>
              <w:bottom w:w="55" w:type="dxa"/>
              <w:end w:w="70" w:type="dxa"/>
            </w:tcMar>
            <w:vAlign w:val="top"/>
          </w:tcPr>
          <w:p>
            <w:pPr>
              <w:pStyle w:val="TableSmall"/>
            </w:pPr>
            <w:r>
              <w:rPr>
                <w:sz w:val="13"/>
              </w:rPr>
              <w:t>Row over</w:t>
            </w:r>
          </w:p>
        </w:tc>
        <w:tc>
          <w:tcPr>
            <w:tcW w:type="dxa" w:w="3958"/>
            <w:tcMar>
              <w:top w:w="55" w:type="dxa"/>
              <w:start w:w="70" w:type="dxa"/>
              <w:bottom w:w="55" w:type="dxa"/>
              <w:end w:w="70" w:type="dxa"/>
            </w:tcMar>
            <w:vAlign w:val="top"/>
          </w:tcPr>
          <w:p>
            <w:pPr>
              <w:pStyle w:val="TableSmall"/>
            </w:pPr>
            <w:r>
              <w:rPr>
                <w:sz w:val="13"/>
              </w:rPr>
              <w:t>Complete a Bumps course without bumping or being bumped.</w:t>
            </w:r>
          </w:p>
        </w:tc>
        <w:tc>
          <w:tcPr>
            <w:tcW w:type="dxa" w:w="2120"/>
            <w:tcMar>
              <w:top w:w="55" w:type="dxa"/>
              <w:start w:w="70" w:type="dxa"/>
              <w:bottom w:w="55" w:type="dxa"/>
              <w:end w:w="70" w:type="dxa"/>
            </w:tcMar>
            <w:vAlign w:val="top"/>
          </w:tcPr>
          <w:p>
            <w:pPr>
              <w:pStyle w:val="TableSmall"/>
            </w:pPr>
            <w:r>
              <w:rPr>
                <w:sz w:val="13"/>
              </w:rPr>
              <w:t>“They rowed over.”</w:t>
            </w:r>
          </w:p>
        </w:tc>
        <w:tc>
          <w:tcPr>
            <w:tcW w:type="dxa" w:w="2356"/>
            <w:tcMar>
              <w:top w:w="55" w:type="dxa"/>
              <w:start w:w="70" w:type="dxa"/>
              <w:bottom w:w="55" w:type="dxa"/>
              <w:end w:w="70" w:type="dxa"/>
            </w:tcMar>
            <w:vAlign w:val="top"/>
          </w:tcPr>
          <w:p>
            <w:pPr>
              <w:pStyle w:val="TableSmall"/>
            </w:pPr>
            <w:r>
              <w:rPr>
                <w:sz w:val="13"/>
              </w:rPr>
              <w:t>Rowing term.</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Sandwich boat</w:t>
            </w:r>
          </w:p>
        </w:tc>
        <w:tc>
          <w:tcPr>
            <w:tcW w:type="dxa" w:w="3958"/>
            <w:shd w:fill="F5F7F8"/>
            <w:tcMar>
              <w:top w:w="55" w:type="dxa"/>
              <w:start w:w="70" w:type="dxa"/>
              <w:bottom w:w="55" w:type="dxa"/>
              <w:end w:w="70" w:type="dxa"/>
            </w:tcMar>
            <w:vAlign w:val="top"/>
          </w:tcPr>
          <w:p>
            <w:pPr>
              <w:pStyle w:val="TableSmall"/>
            </w:pPr>
            <w:r>
              <w:rPr>
                <w:sz w:val="13"/>
              </w:rPr>
              <w:t>Crew racing at a division boundary, potentially appearing in adjacent divisions.</w:t>
            </w:r>
          </w:p>
        </w:tc>
        <w:tc>
          <w:tcPr>
            <w:tcW w:type="dxa" w:w="2120"/>
            <w:shd w:fill="F5F7F8"/>
            <w:tcMar>
              <w:top w:w="55" w:type="dxa"/>
              <w:start w:w="70" w:type="dxa"/>
              <w:bottom w:w="55" w:type="dxa"/>
              <w:end w:w="70" w:type="dxa"/>
            </w:tcMar>
            <w:vAlign w:val="top"/>
          </w:tcPr>
          <w:p>
            <w:pPr>
              <w:pStyle w:val="TableSmall"/>
            </w:pPr>
            <w:r>
              <w:rPr>
                <w:sz w:val="13"/>
              </w:rPr>
              <w:t>“The sandwich boat races twice.”</w:t>
            </w:r>
          </w:p>
        </w:tc>
        <w:tc>
          <w:tcPr>
            <w:tcW w:type="dxa" w:w="2356"/>
            <w:shd w:fill="F5F7F8"/>
            <w:tcMar>
              <w:top w:w="55" w:type="dxa"/>
              <w:start w:w="70" w:type="dxa"/>
              <w:bottom w:w="55" w:type="dxa"/>
              <w:end w:w="70" w:type="dxa"/>
            </w:tcMar>
            <w:vAlign w:val="top"/>
          </w:tcPr>
          <w:p>
            <w:pPr>
              <w:pStyle w:val="TableSmall"/>
            </w:pPr>
            <w:r>
              <w:rPr>
                <w:sz w:val="13"/>
              </w:rPr>
              <w:t>Rowing term.</w:t>
            </w:r>
          </w:p>
        </w:tc>
      </w:tr>
      <w:tr>
        <w:trPr>
          <w:cantSplit w:val="true"/>
        </w:trPr>
        <w:tc>
          <w:tcPr>
            <w:tcW w:type="dxa" w:w="1602"/>
            <w:tcMar>
              <w:top w:w="55" w:type="dxa"/>
              <w:start w:w="70" w:type="dxa"/>
              <w:bottom w:w="55" w:type="dxa"/>
              <w:end w:w="70" w:type="dxa"/>
            </w:tcMar>
            <w:vAlign w:val="top"/>
          </w:tcPr>
          <w:p>
            <w:pPr>
              <w:pStyle w:val="TableSmall"/>
            </w:pPr>
            <w:r>
              <w:rPr>
                <w:sz w:val="13"/>
              </w:rPr>
              <w:t>SCR</w:t>
            </w:r>
          </w:p>
        </w:tc>
        <w:tc>
          <w:tcPr>
            <w:tcW w:type="dxa" w:w="3958"/>
            <w:tcMar>
              <w:top w:w="55" w:type="dxa"/>
              <w:start w:w="70" w:type="dxa"/>
              <w:bottom w:w="55" w:type="dxa"/>
              <w:end w:w="70" w:type="dxa"/>
            </w:tcMar>
            <w:vAlign w:val="top"/>
          </w:tcPr>
          <w:p>
            <w:pPr>
              <w:pStyle w:val="TableSmall"/>
            </w:pPr>
            <w:r>
              <w:rPr>
                <w:sz w:val="13"/>
              </w:rPr>
              <w:t>Senior Common Room: Fellows/senior members or their room.</w:t>
            </w:r>
          </w:p>
        </w:tc>
        <w:tc>
          <w:tcPr>
            <w:tcW w:type="dxa" w:w="2120"/>
            <w:tcMar>
              <w:top w:w="55" w:type="dxa"/>
              <w:start w:w="70" w:type="dxa"/>
              <w:bottom w:w="55" w:type="dxa"/>
              <w:end w:w="70" w:type="dxa"/>
            </w:tcMar>
            <w:vAlign w:val="top"/>
          </w:tcPr>
          <w:p>
            <w:pPr>
              <w:pStyle w:val="TableSmall"/>
            </w:pPr>
            <w:r>
              <w:rPr>
                <w:sz w:val="13"/>
              </w:rPr>
              <w:t>“The reception is in the SCR.”</w:t>
            </w:r>
          </w:p>
        </w:tc>
        <w:tc>
          <w:tcPr>
            <w:tcW w:type="dxa" w:w="2356"/>
            <w:tcMar>
              <w:top w:w="55" w:type="dxa"/>
              <w:start w:w="70" w:type="dxa"/>
              <w:bottom w:w="55" w:type="dxa"/>
              <w:end w:w="70" w:type="dxa"/>
            </w:tcMar>
            <w:vAlign w:val="top"/>
          </w:tcPr>
          <w:p>
            <w:pPr>
              <w:pStyle w:val="TableSmall"/>
            </w:pPr>
            <w:r>
              <w:rPr>
                <w:sz w:val="13"/>
              </w:rPr>
              <w:t>Useful at invitations.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Sidge</w:t>
            </w:r>
          </w:p>
        </w:tc>
        <w:tc>
          <w:tcPr>
            <w:tcW w:type="dxa" w:w="3958"/>
            <w:shd w:fill="F5F7F8"/>
            <w:tcMar>
              <w:top w:w="55" w:type="dxa"/>
              <w:start w:w="70" w:type="dxa"/>
              <w:bottom w:w="55" w:type="dxa"/>
              <w:end w:w="70" w:type="dxa"/>
            </w:tcMar>
            <w:vAlign w:val="top"/>
          </w:tcPr>
          <w:p>
            <w:pPr>
              <w:pStyle w:val="TableSmall"/>
            </w:pPr>
            <w:r>
              <w:rPr>
                <w:sz w:val="13"/>
              </w:rPr>
              <w:t>Sidgwick Site, major humanities and social-science teaching area.</w:t>
            </w:r>
          </w:p>
        </w:tc>
        <w:tc>
          <w:tcPr>
            <w:tcW w:type="dxa" w:w="2120"/>
            <w:shd w:fill="F5F7F8"/>
            <w:tcMar>
              <w:top w:w="55" w:type="dxa"/>
              <w:start w:w="70" w:type="dxa"/>
              <w:bottom w:w="55" w:type="dxa"/>
              <w:end w:w="70" w:type="dxa"/>
            </w:tcMar>
            <w:vAlign w:val="top"/>
          </w:tcPr>
          <w:p>
            <w:pPr>
              <w:pStyle w:val="TableSmall"/>
            </w:pPr>
            <w:r>
              <w:rPr>
                <w:sz w:val="13"/>
              </w:rPr>
              <w:t>“The lecture is on Sidge.”</w:t>
            </w:r>
          </w:p>
        </w:tc>
        <w:tc>
          <w:tcPr>
            <w:tcW w:type="dxa" w:w="2356"/>
            <w:shd w:fill="F5F7F8"/>
            <w:tcMar>
              <w:top w:w="55" w:type="dxa"/>
              <w:start w:w="70" w:type="dxa"/>
              <w:bottom w:w="55" w:type="dxa"/>
              <w:end w:w="70" w:type="dxa"/>
            </w:tcMar>
            <w:vAlign w:val="top"/>
          </w:tcPr>
          <w:p>
            <w:pPr>
              <w:pStyle w:val="TableSmall"/>
            </w:pPr>
            <w:r>
              <w:rPr>
                <w:sz w:val="13"/>
              </w:rPr>
              <w:t>Essential for many arts/humanities students.</w:t>
            </w:r>
          </w:p>
        </w:tc>
      </w:tr>
      <w:tr>
        <w:trPr>
          <w:cantSplit w:val="true"/>
        </w:trPr>
        <w:tc>
          <w:tcPr>
            <w:tcW w:type="dxa" w:w="1602"/>
            <w:tcMar>
              <w:top w:w="55" w:type="dxa"/>
              <w:start w:w="70" w:type="dxa"/>
              <w:bottom w:w="55" w:type="dxa"/>
              <w:end w:w="70" w:type="dxa"/>
            </w:tcMar>
            <w:vAlign w:val="top"/>
          </w:tcPr>
          <w:p>
            <w:pPr>
              <w:pStyle w:val="TableSmall"/>
            </w:pPr>
            <w:r>
              <w:rPr>
                <w:sz w:val="13"/>
              </w:rPr>
              <w:t>Spoons</w:t>
            </w:r>
          </w:p>
        </w:tc>
        <w:tc>
          <w:tcPr>
            <w:tcW w:type="dxa" w:w="3958"/>
            <w:tcMar>
              <w:top w:w="55" w:type="dxa"/>
              <w:start w:w="70" w:type="dxa"/>
              <w:bottom w:w="55" w:type="dxa"/>
              <w:end w:w="70" w:type="dxa"/>
            </w:tcMar>
            <w:vAlign w:val="top"/>
          </w:tcPr>
          <w:p>
            <w:pPr>
              <w:pStyle w:val="TableSmall"/>
            </w:pPr>
            <w:r>
              <w:rPr>
                <w:sz w:val="13"/>
              </w:rPr>
              <w:t>Humorous rowing recognition for being bumped on every day, subject to convention.</w:t>
            </w:r>
          </w:p>
        </w:tc>
        <w:tc>
          <w:tcPr>
            <w:tcW w:type="dxa" w:w="2120"/>
            <w:tcMar>
              <w:top w:w="55" w:type="dxa"/>
              <w:start w:w="70" w:type="dxa"/>
              <w:bottom w:w="55" w:type="dxa"/>
              <w:end w:w="70" w:type="dxa"/>
            </w:tcMar>
            <w:vAlign w:val="top"/>
          </w:tcPr>
          <w:p>
            <w:pPr>
              <w:pStyle w:val="TableSmall"/>
            </w:pPr>
            <w:r>
              <w:rPr>
                <w:sz w:val="13"/>
              </w:rPr>
              <w:t>“They got spoons.”</w:t>
            </w:r>
          </w:p>
        </w:tc>
        <w:tc>
          <w:tcPr>
            <w:tcW w:type="dxa" w:w="2356"/>
            <w:tcMar>
              <w:top w:w="55" w:type="dxa"/>
              <w:start w:w="70" w:type="dxa"/>
              <w:bottom w:w="55" w:type="dxa"/>
              <w:end w:w="70" w:type="dxa"/>
            </w:tcMar>
            <w:vAlign w:val="top"/>
          </w:tcPr>
          <w:p>
            <w:pPr>
              <w:pStyle w:val="TableSmall"/>
            </w:pPr>
            <w:r>
              <w:rPr>
                <w:sz w:val="13"/>
              </w:rPr>
              <w:t>Rowing term.</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Stash</w:t>
            </w:r>
          </w:p>
        </w:tc>
        <w:tc>
          <w:tcPr>
            <w:tcW w:type="dxa" w:w="3958"/>
            <w:shd w:fill="F5F7F8"/>
            <w:tcMar>
              <w:top w:w="55" w:type="dxa"/>
              <w:start w:w="70" w:type="dxa"/>
              <w:bottom w:w="55" w:type="dxa"/>
              <w:end w:w="70" w:type="dxa"/>
            </w:tcMar>
            <w:vAlign w:val="top"/>
          </w:tcPr>
          <w:p>
            <w:pPr>
              <w:pStyle w:val="TableSmall"/>
            </w:pPr>
            <w:r>
              <w:rPr>
                <w:sz w:val="13"/>
              </w:rPr>
              <w:t>Branded College, society, team or event clothing.</w:t>
            </w:r>
          </w:p>
        </w:tc>
        <w:tc>
          <w:tcPr>
            <w:tcW w:type="dxa" w:w="2120"/>
            <w:shd w:fill="F5F7F8"/>
            <w:tcMar>
              <w:top w:w="55" w:type="dxa"/>
              <w:start w:w="70" w:type="dxa"/>
              <w:bottom w:w="55" w:type="dxa"/>
              <w:end w:w="70" w:type="dxa"/>
            </w:tcMar>
            <w:vAlign w:val="top"/>
          </w:tcPr>
          <w:p>
            <w:pPr>
              <w:pStyle w:val="TableSmall"/>
            </w:pPr>
            <w:r>
              <w:rPr>
                <w:sz w:val="13"/>
              </w:rPr>
              <w:t>“Boat-club stash is optional but costs extra.”</w:t>
            </w:r>
          </w:p>
        </w:tc>
        <w:tc>
          <w:tcPr>
            <w:tcW w:type="dxa" w:w="2356"/>
            <w:shd w:fill="F5F7F8"/>
            <w:tcMar>
              <w:top w:w="55" w:type="dxa"/>
              <w:start w:w="70" w:type="dxa"/>
              <w:bottom w:w="55" w:type="dxa"/>
              <w:end w:w="70" w:type="dxa"/>
            </w:tcMar>
            <w:vAlign w:val="top"/>
          </w:tcPr>
          <w:p>
            <w:pPr>
              <w:pStyle w:val="TableSmall"/>
            </w:pPr>
            <w:r>
              <w:rPr>
                <w:sz w:val="13"/>
              </w:rPr>
              <w:t>Useful budget word.</w:t>
            </w:r>
          </w:p>
        </w:tc>
      </w:tr>
      <w:tr>
        <w:trPr>
          <w:cantSplit w:val="true"/>
        </w:trPr>
        <w:tc>
          <w:tcPr>
            <w:tcW w:type="dxa" w:w="1602"/>
            <w:tcMar>
              <w:top w:w="55" w:type="dxa"/>
              <w:start w:w="70" w:type="dxa"/>
              <w:bottom w:w="55" w:type="dxa"/>
              <w:end w:w="70" w:type="dxa"/>
            </w:tcMar>
            <w:vAlign w:val="top"/>
          </w:tcPr>
          <w:p>
            <w:pPr>
              <w:pStyle w:val="TableSmall"/>
            </w:pPr>
            <w:r>
              <w:rPr>
                <w:sz w:val="13"/>
              </w:rPr>
              <w:t>Supervisor</w:t>
            </w:r>
          </w:p>
        </w:tc>
        <w:tc>
          <w:tcPr>
            <w:tcW w:type="dxa" w:w="3958"/>
            <w:tcMar>
              <w:top w:w="55" w:type="dxa"/>
              <w:start w:w="70" w:type="dxa"/>
              <w:bottom w:w="55" w:type="dxa"/>
              <w:end w:w="70" w:type="dxa"/>
            </w:tcMar>
            <w:vAlign w:val="top"/>
          </w:tcPr>
          <w:p>
            <w:pPr>
              <w:pStyle w:val="TableSmall"/>
            </w:pPr>
            <w:r>
              <w:rPr>
                <w:sz w:val="13"/>
              </w:rPr>
              <w:t>Subject specialist who teaches a particular supervision and comments on the assigned work.</w:t>
            </w:r>
          </w:p>
        </w:tc>
        <w:tc>
          <w:tcPr>
            <w:tcW w:type="dxa" w:w="2120"/>
            <w:tcMar>
              <w:top w:w="55" w:type="dxa"/>
              <w:start w:w="70" w:type="dxa"/>
              <w:bottom w:w="55" w:type="dxa"/>
              <w:end w:w="70" w:type="dxa"/>
            </w:tcMar>
            <w:vAlign w:val="top"/>
          </w:tcPr>
          <w:p>
            <w:pPr>
              <w:pStyle w:val="TableSmall"/>
            </w:pPr>
            <w:r>
              <w:rPr>
                <w:sz w:val="13"/>
              </w:rPr>
              <w:t>“My supervisor returned the essay.”</w:t>
            </w:r>
          </w:p>
        </w:tc>
        <w:tc>
          <w:tcPr>
            <w:tcW w:type="dxa" w:w="2356"/>
            <w:tcMar>
              <w:top w:w="55" w:type="dxa"/>
              <w:start w:w="70" w:type="dxa"/>
              <w:bottom w:w="55" w:type="dxa"/>
              <w:end w:w="70" w:type="dxa"/>
            </w:tcMar>
            <w:vAlign w:val="top"/>
          </w:tcPr>
          <w:p>
            <w:pPr>
              <w:pStyle w:val="TableSmall"/>
            </w:pPr>
            <w:r>
              <w:rPr>
                <w:sz w:val="13"/>
              </w:rPr>
              <w:t>Essential; not your pastoral Tutor.</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Supervision</w:t>
            </w:r>
          </w:p>
        </w:tc>
        <w:tc>
          <w:tcPr>
            <w:tcW w:type="dxa" w:w="3958"/>
            <w:shd w:fill="F5F7F8"/>
            <w:tcMar>
              <w:top w:w="55" w:type="dxa"/>
              <w:start w:w="70" w:type="dxa"/>
              <w:bottom w:w="55" w:type="dxa"/>
              <w:end w:w="70" w:type="dxa"/>
            </w:tcMar>
            <w:vAlign w:val="top"/>
          </w:tcPr>
          <w:p>
            <w:pPr>
              <w:pStyle w:val="TableSmall"/>
            </w:pPr>
            <w:r>
              <w:rPr>
                <w:sz w:val="13"/>
              </w:rPr>
              <w:t>Small-group academic teaching organised mainly through the College.</w:t>
            </w:r>
          </w:p>
        </w:tc>
        <w:tc>
          <w:tcPr>
            <w:tcW w:type="dxa" w:w="2120"/>
            <w:shd w:fill="F5F7F8"/>
            <w:tcMar>
              <w:top w:w="55" w:type="dxa"/>
              <w:start w:w="70" w:type="dxa"/>
              <w:bottom w:w="55" w:type="dxa"/>
              <w:end w:w="70" w:type="dxa"/>
            </w:tcMar>
            <w:vAlign w:val="top"/>
          </w:tcPr>
          <w:p>
            <w:pPr>
              <w:pStyle w:val="TableSmall"/>
            </w:pPr>
            <w:r>
              <w:rPr>
                <w:sz w:val="13"/>
              </w:rPr>
              <w:t>“Prepare the problem sheet for supervision.”</w:t>
            </w:r>
          </w:p>
        </w:tc>
        <w:tc>
          <w:tcPr>
            <w:tcW w:type="dxa" w:w="2356"/>
            <w:shd w:fill="F5F7F8"/>
            <w:tcMar>
              <w:top w:w="55" w:type="dxa"/>
              <w:start w:w="70" w:type="dxa"/>
              <w:bottom w:w="55" w:type="dxa"/>
              <w:end w:w="70" w:type="dxa"/>
            </w:tcMar>
            <w:vAlign w:val="top"/>
          </w:tcPr>
          <w:p>
            <w:pPr>
              <w:pStyle w:val="TableSmall"/>
            </w:pPr>
            <w:r>
              <w:rPr>
                <w:sz w:val="13"/>
              </w:rPr>
              <w:t>Essential. [U03]</w:t>
            </w:r>
          </w:p>
        </w:tc>
      </w:tr>
      <w:tr>
        <w:trPr>
          <w:cantSplit w:val="true"/>
        </w:trPr>
        <w:tc>
          <w:tcPr>
            <w:tcW w:type="dxa" w:w="1602"/>
            <w:tcMar>
              <w:top w:w="55" w:type="dxa"/>
              <w:start w:w="70" w:type="dxa"/>
              <w:bottom w:w="55" w:type="dxa"/>
              <w:end w:w="70" w:type="dxa"/>
            </w:tcMar>
            <w:vAlign w:val="top"/>
          </w:tcPr>
          <w:p>
            <w:pPr>
              <w:pStyle w:val="TableSmall"/>
            </w:pPr>
            <w:r>
              <w:rPr>
                <w:sz w:val="13"/>
              </w:rPr>
              <w:t>Term</w:t>
            </w:r>
          </w:p>
        </w:tc>
        <w:tc>
          <w:tcPr>
            <w:tcW w:type="dxa" w:w="3958"/>
            <w:tcMar>
              <w:top w:w="55" w:type="dxa"/>
              <w:start w:w="70" w:type="dxa"/>
              <w:bottom w:w="55" w:type="dxa"/>
              <w:end w:w="70" w:type="dxa"/>
            </w:tcMar>
            <w:vAlign w:val="top"/>
          </w:tcPr>
          <w:p>
            <w:pPr>
              <w:pStyle w:val="TableSmall"/>
            </w:pPr>
            <w:r>
              <w:rPr>
                <w:sz w:val="13"/>
              </w:rPr>
              <w:t>Michaelmas, Lent or Easter; each is longer than Full Term.</w:t>
            </w:r>
          </w:p>
        </w:tc>
        <w:tc>
          <w:tcPr>
            <w:tcW w:type="dxa" w:w="2120"/>
            <w:tcMar>
              <w:top w:w="55" w:type="dxa"/>
              <w:start w:w="70" w:type="dxa"/>
              <w:bottom w:w="55" w:type="dxa"/>
              <w:end w:w="70" w:type="dxa"/>
            </w:tcMar>
            <w:vAlign w:val="top"/>
          </w:tcPr>
          <w:p>
            <w:pPr>
              <w:pStyle w:val="TableSmall"/>
            </w:pPr>
            <w:r>
              <w:rPr>
                <w:sz w:val="13"/>
              </w:rPr>
              <w:t>“The College licence covers the whole term.”</w:t>
            </w:r>
          </w:p>
        </w:tc>
        <w:tc>
          <w:tcPr>
            <w:tcW w:type="dxa" w:w="2356"/>
            <w:tcMar>
              <w:top w:w="55" w:type="dxa"/>
              <w:start w:w="70" w:type="dxa"/>
              <w:bottom w:w="55" w:type="dxa"/>
              <w:end w:w="70" w:type="dxa"/>
            </w:tcMar>
            <w:vAlign w:val="top"/>
          </w:tcPr>
          <w:p>
            <w:pPr>
              <w:pStyle w:val="TableSmall"/>
            </w:pPr>
            <w:r>
              <w:rPr>
                <w:sz w:val="13"/>
              </w:rPr>
              <w:t>Essential distinction.</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Town and gown</w:t>
            </w:r>
          </w:p>
        </w:tc>
        <w:tc>
          <w:tcPr>
            <w:tcW w:type="dxa" w:w="3958"/>
            <w:shd w:fill="F5F7F8"/>
            <w:tcMar>
              <w:top w:w="55" w:type="dxa"/>
              <w:start w:w="70" w:type="dxa"/>
              <w:bottom w:w="55" w:type="dxa"/>
              <w:end w:w="70" w:type="dxa"/>
            </w:tcMar>
            <w:vAlign w:val="top"/>
          </w:tcPr>
          <w:p>
            <w:pPr>
              <w:pStyle w:val="TableSmall"/>
            </w:pPr>
            <w:r>
              <w:rPr>
                <w:sz w:val="13"/>
              </w:rPr>
              <w:t>Shorthand for relations or differences between Cambridge residents/city institutions and the University.</w:t>
            </w:r>
          </w:p>
        </w:tc>
        <w:tc>
          <w:tcPr>
            <w:tcW w:type="dxa" w:w="2120"/>
            <w:shd w:fill="F5F7F8"/>
            <w:tcMar>
              <w:top w:w="55" w:type="dxa"/>
              <w:start w:w="70" w:type="dxa"/>
              <w:bottom w:w="55" w:type="dxa"/>
              <w:end w:w="70" w:type="dxa"/>
            </w:tcMar>
            <w:vAlign w:val="top"/>
          </w:tcPr>
          <w:p>
            <w:pPr>
              <w:pStyle w:val="TableSmall"/>
            </w:pPr>
            <w:r>
              <w:rPr>
                <w:sz w:val="13"/>
              </w:rPr>
              <w:t>“The dispute became a town-and-gown issue.”</w:t>
            </w:r>
          </w:p>
        </w:tc>
        <w:tc>
          <w:tcPr>
            <w:tcW w:type="dxa" w:w="2356"/>
            <w:shd w:fill="F5F7F8"/>
            <w:tcMar>
              <w:top w:w="55" w:type="dxa"/>
              <w:start w:w="70" w:type="dxa"/>
              <w:bottom w:w="55" w:type="dxa"/>
              <w:end w:w="70" w:type="dxa"/>
            </w:tcMar>
            <w:vAlign w:val="top"/>
          </w:tcPr>
          <w:p>
            <w:pPr>
              <w:pStyle w:val="TableSmall"/>
            </w:pPr>
            <w:r>
              <w:rPr>
                <w:sz w:val="13"/>
              </w:rPr>
              <w:t>Useful cultural phrase.</w:t>
            </w:r>
          </w:p>
        </w:tc>
      </w:tr>
      <w:tr>
        <w:trPr>
          <w:cantSplit w:val="true"/>
        </w:trPr>
        <w:tc>
          <w:tcPr>
            <w:tcW w:type="dxa" w:w="1602"/>
            <w:tcMar>
              <w:top w:w="55" w:type="dxa"/>
              <w:start w:w="70" w:type="dxa"/>
              <w:bottom w:w="55" w:type="dxa"/>
              <w:end w:w="70" w:type="dxa"/>
            </w:tcMar>
            <w:vAlign w:val="top"/>
          </w:tcPr>
          <w:p>
            <w:pPr>
              <w:pStyle w:val="TableSmall"/>
            </w:pPr>
            <w:r>
              <w:rPr>
                <w:sz w:val="13"/>
              </w:rPr>
              <w:t>Tripos</w:t>
            </w:r>
          </w:p>
        </w:tc>
        <w:tc>
          <w:tcPr>
            <w:tcW w:type="dxa" w:w="3958"/>
            <w:tcMar>
              <w:top w:w="55" w:type="dxa"/>
              <w:start w:w="70" w:type="dxa"/>
              <w:bottom w:w="55" w:type="dxa"/>
              <w:end w:w="70" w:type="dxa"/>
            </w:tcMar>
            <w:vAlign w:val="top"/>
          </w:tcPr>
          <w:p>
            <w:pPr>
              <w:pStyle w:val="TableSmall"/>
            </w:pPr>
            <w:r>
              <w:rPr>
                <w:sz w:val="13"/>
              </w:rPr>
              <w:t>Cambridge degree examination/course system in a subject; often divided into Parts and papers.</w:t>
            </w:r>
          </w:p>
        </w:tc>
        <w:tc>
          <w:tcPr>
            <w:tcW w:type="dxa" w:w="2120"/>
            <w:tcMar>
              <w:top w:w="55" w:type="dxa"/>
              <w:start w:w="70" w:type="dxa"/>
              <w:bottom w:w="55" w:type="dxa"/>
              <w:end w:w="70" w:type="dxa"/>
            </w:tcMar>
            <w:vAlign w:val="top"/>
          </w:tcPr>
          <w:p>
            <w:pPr>
              <w:pStyle w:val="TableSmall"/>
            </w:pPr>
            <w:r>
              <w:rPr>
                <w:sz w:val="13"/>
              </w:rPr>
              <w:t>“The History Tripos has several papers.”</w:t>
            </w:r>
          </w:p>
        </w:tc>
        <w:tc>
          <w:tcPr>
            <w:tcW w:type="dxa" w:w="2356"/>
            <w:tcMar>
              <w:top w:w="55" w:type="dxa"/>
              <w:start w:w="70" w:type="dxa"/>
              <w:bottom w:w="55" w:type="dxa"/>
              <w:end w:w="70" w:type="dxa"/>
            </w:tcMar>
            <w:vAlign w:val="top"/>
          </w:tcPr>
          <w:p>
            <w:pPr>
              <w:pStyle w:val="TableSmall"/>
            </w:pPr>
            <w:r>
              <w:rPr>
                <w:sz w:val="13"/>
              </w:rPr>
              <w:t>Essential.</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Tutor</w:t>
            </w:r>
          </w:p>
        </w:tc>
        <w:tc>
          <w:tcPr>
            <w:tcW w:type="dxa" w:w="3958"/>
            <w:shd w:fill="F5F7F8"/>
            <w:tcMar>
              <w:top w:w="55" w:type="dxa"/>
              <w:start w:w="70" w:type="dxa"/>
              <w:bottom w:w="55" w:type="dxa"/>
              <w:end w:w="70" w:type="dxa"/>
            </w:tcMar>
            <w:vAlign w:val="top"/>
          </w:tcPr>
          <w:p>
            <w:pPr>
              <w:pStyle w:val="TableSmall"/>
            </w:pPr>
            <w:r>
              <w:rPr>
                <w:sz w:val="13"/>
              </w:rPr>
              <w:t>College pastoral officer for an undergraduate. Handles welfare and process, not normally subject teaching.</w:t>
            </w:r>
          </w:p>
        </w:tc>
        <w:tc>
          <w:tcPr>
            <w:tcW w:type="dxa" w:w="2120"/>
            <w:shd w:fill="F5F7F8"/>
            <w:tcMar>
              <w:top w:w="55" w:type="dxa"/>
              <w:start w:w="70" w:type="dxa"/>
              <w:bottom w:w="55" w:type="dxa"/>
              <w:end w:w="70" w:type="dxa"/>
            </w:tcMar>
            <w:vAlign w:val="top"/>
          </w:tcPr>
          <w:p>
            <w:pPr>
              <w:pStyle w:val="TableSmall"/>
            </w:pPr>
            <w:r>
              <w:rPr>
                <w:sz w:val="13"/>
              </w:rPr>
              <w:t>“I told my Tutor the illness affected study.”</w:t>
            </w:r>
          </w:p>
        </w:tc>
        <w:tc>
          <w:tcPr>
            <w:tcW w:type="dxa" w:w="2356"/>
            <w:shd w:fill="F5F7F8"/>
            <w:tcMar>
              <w:top w:w="55" w:type="dxa"/>
              <w:start w:w="70" w:type="dxa"/>
              <w:bottom w:w="55" w:type="dxa"/>
              <w:end w:w="70" w:type="dxa"/>
            </w:tcMar>
            <w:vAlign w:val="top"/>
          </w:tcPr>
          <w:p>
            <w:pPr>
              <w:pStyle w:val="TableSmall"/>
            </w:pPr>
            <w:r>
              <w:rPr>
                <w:sz w:val="13"/>
              </w:rPr>
              <w:t>Essential.</w:t>
            </w:r>
          </w:p>
        </w:tc>
      </w:tr>
      <w:tr>
        <w:trPr>
          <w:cantSplit w:val="true"/>
        </w:trPr>
        <w:tc>
          <w:tcPr>
            <w:tcW w:type="dxa" w:w="1602"/>
            <w:tcMar>
              <w:top w:w="55" w:type="dxa"/>
              <w:start w:w="70" w:type="dxa"/>
              <w:bottom w:w="55" w:type="dxa"/>
              <w:end w:w="70" w:type="dxa"/>
            </w:tcMar>
            <w:vAlign w:val="top"/>
          </w:tcPr>
          <w:p>
            <w:pPr>
              <w:pStyle w:val="TableSmall"/>
            </w:pPr>
            <w:r>
              <w:rPr>
                <w:sz w:val="13"/>
              </w:rPr>
              <w:t>UL</w:t>
            </w:r>
          </w:p>
        </w:tc>
        <w:tc>
          <w:tcPr>
            <w:tcW w:type="dxa" w:w="3958"/>
            <w:tcMar>
              <w:top w:w="55" w:type="dxa"/>
              <w:start w:w="70" w:type="dxa"/>
              <w:bottom w:w="55" w:type="dxa"/>
              <w:end w:w="70" w:type="dxa"/>
            </w:tcMar>
            <w:vAlign w:val="top"/>
          </w:tcPr>
          <w:p>
            <w:pPr>
              <w:pStyle w:val="TableSmall"/>
            </w:pPr>
            <w:r>
              <w:rPr>
                <w:sz w:val="13"/>
              </w:rPr>
              <w:t>University Library, the large legal-deposit research library west of the centre.</w:t>
            </w:r>
          </w:p>
        </w:tc>
        <w:tc>
          <w:tcPr>
            <w:tcW w:type="dxa" w:w="2120"/>
            <w:tcMar>
              <w:top w:w="55" w:type="dxa"/>
              <w:start w:w="70" w:type="dxa"/>
              <w:bottom w:w="55" w:type="dxa"/>
              <w:end w:w="70" w:type="dxa"/>
            </w:tcMar>
            <w:vAlign w:val="top"/>
          </w:tcPr>
          <w:p>
            <w:pPr>
              <w:pStyle w:val="TableSmall"/>
            </w:pPr>
            <w:r>
              <w:rPr>
                <w:sz w:val="13"/>
              </w:rPr>
              <w:t>“The book is available at the UL.”</w:t>
            </w:r>
          </w:p>
        </w:tc>
        <w:tc>
          <w:tcPr>
            <w:tcW w:type="dxa" w:w="2356"/>
            <w:tcMar>
              <w:top w:w="55" w:type="dxa"/>
              <w:start w:w="70" w:type="dxa"/>
              <w:bottom w:w="55" w:type="dxa"/>
              <w:end w:w="70" w:type="dxa"/>
            </w:tcMar>
            <w:vAlign w:val="top"/>
          </w:tcPr>
          <w:p>
            <w:pPr>
              <w:pStyle w:val="TableSmall"/>
            </w:pPr>
            <w:r>
              <w:rPr>
                <w:sz w:val="13"/>
              </w:rPr>
              <w:t>Essential for many courses.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University card</w:t>
            </w:r>
          </w:p>
        </w:tc>
        <w:tc>
          <w:tcPr>
            <w:tcW w:type="dxa" w:w="3958"/>
            <w:shd w:fill="F5F7F8"/>
            <w:tcMar>
              <w:top w:w="55" w:type="dxa"/>
              <w:start w:w="70" w:type="dxa"/>
              <w:bottom w:w="55" w:type="dxa"/>
              <w:end w:w="70" w:type="dxa"/>
            </w:tcMar>
            <w:vAlign w:val="top"/>
          </w:tcPr>
          <w:p>
            <w:pPr>
              <w:pStyle w:val="TableSmall"/>
            </w:pPr>
            <w:r>
              <w:rPr>
                <w:sz w:val="13"/>
              </w:rPr>
              <w:t>Photo ID/access/payment card used across Cambridge systems and buildings.</w:t>
            </w:r>
          </w:p>
        </w:tc>
        <w:tc>
          <w:tcPr>
            <w:tcW w:type="dxa" w:w="2120"/>
            <w:shd w:fill="F5F7F8"/>
            <w:tcMar>
              <w:top w:w="55" w:type="dxa"/>
              <w:start w:w="70" w:type="dxa"/>
              <w:bottom w:w="55" w:type="dxa"/>
              <w:end w:w="70" w:type="dxa"/>
            </w:tcMar>
            <w:vAlign w:val="top"/>
          </w:tcPr>
          <w:p>
            <w:pPr>
              <w:pStyle w:val="TableSmall"/>
            </w:pPr>
            <w:r>
              <w:rPr>
                <w:sz w:val="13"/>
              </w:rPr>
              <w:t>“Swipe your University card in the library.”</w:t>
            </w:r>
          </w:p>
        </w:tc>
        <w:tc>
          <w:tcPr>
            <w:tcW w:type="dxa" w:w="2356"/>
            <w:shd w:fill="F5F7F8"/>
            <w:tcMar>
              <w:top w:w="55" w:type="dxa"/>
              <w:start w:w="70" w:type="dxa"/>
              <w:bottom w:w="55" w:type="dxa"/>
              <w:end w:w="70" w:type="dxa"/>
            </w:tcMar>
            <w:vAlign w:val="top"/>
          </w:tcPr>
          <w:p>
            <w:pPr>
              <w:pStyle w:val="TableSmall"/>
            </w:pPr>
            <w:r>
              <w:rPr>
                <w:sz w:val="13"/>
              </w:rPr>
              <w:t>Essential; report loss quickly.</w:t>
            </w:r>
          </w:p>
        </w:tc>
      </w:tr>
      <w:tr>
        <w:trPr>
          <w:cantSplit w:val="true"/>
        </w:trPr>
        <w:tc>
          <w:tcPr>
            <w:tcW w:type="dxa" w:w="1602"/>
            <w:tcMar>
              <w:top w:w="55" w:type="dxa"/>
              <w:start w:w="70" w:type="dxa"/>
              <w:bottom w:w="55" w:type="dxa"/>
              <w:end w:w="70" w:type="dxa"/>
            </w:tcMar>
            <w:vAlign w:val="top"/>
          </w:tcPr>
          <w:p>
            <w:pPr>
              <w:pStyle w:val="TableSmall"/>
            </w:pPr>
            <w:r>
              <w:rPr>
                <w:sz w:val="13"/>
              </w:rPr>
              <w:t>Varsity</w:t>
            </w:r>
          </w:p>
        </w:tc>
        <w:tc>
          <w:tcPr>
            <w:tcW w:type="dxa" w:w="3958"/>
            <w:tcMar>
              <w:top w:w="55" w:type="dxa"/>
              <w:start w:w="70" w:type="dxa"/>
              <w:bottom w:w="55" w:type="dxa"/>
              <w:end w:w="70" w:type="dxa"/>
            </w:tcMar>
            <w:vAlign w:val="top"/>
          </w:tcPr>
          <w:p>
            <w:pPr>
              <w:pStyle w:val="TableSmall"/>
            </w:pPr>
            <w:r>
              <w:rPr>
                <w:sz w:val="13"/>
              </w:rPr>
              <w:t>Depending on context, University-level competition (Oxford v Cambridge) or the independent Cambridge student newspaper.</w:t>
            </w:r>
          </w:p>
        </w:tc>
        <w:tc>
          <w:tcPr>
            <w:tcW w:type="dxa" w:w="2120"/>
            <w:tcMar>
              <w:top w:w="55" w:type="dxa"/>
              <w:start w:w="70" w:type="dxa"/>
              <w:bottom w:w="55" w:type="dxa"/>
              <w:end w:w="70" w:type="dxa"/>
            </w:tcMar>
            <w:vAlign w:val="top"/>
          </w:tcPr>
          <w:p>
            <w:pPr>
              <w:pStyle w:val="TableSmall"/>
            </w:pPr>
            <w:r>
              <w:rPr>
                <w:sz w:val="13"/>
              </w:rPr>
              <w:t>“The Varsity match” / “Varsity reported…”</w:t>
            </w:r>
          </w:p>
        </w:tc>
        <w:tc>
          <w:tcPr>
            <w:tcW w:type="dxa" w:w="2356"/>
            <w:tcMar>
              <w:top w:w="55" w:type="dxa"/>
              <w:start w:w="70" w:type="dxa"/>
              <w:bottom w:w="55" w:type="dxa"/>
              <w:end w:w="70" w:type="dxa"/>
            </w:tcMar>
            <w:vAlign w:val="top"/>
          </w:tcPr>
          <w:p>
            <w:pPr>
              <w:pStyle w:val="TableSmall"/>
            </w:pPr>
            <w:r>
              <w:rPr>
                <w:sz w:val="13"/>
              </w:rPr>
              <w:t>Useful; context matters.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Week 0</w:t>
            </w:r>
          </w:p>
        </w:tc>
        <w:tc>
          <w:tcPr>
            <w:tcW w:type="dxa" w:w="3958"/>
            <w:shd w:fill="F5F7F8"/>
            <w:tcMar>
              <w:top w:w="55" w:type="dxa"/>
              <w:start w:w="70" w:type="dxa"/>
              <w:bottom w:w="55" w:type="dxa"/>
              <w:end w:w="70" w:type="dxa"/>
            </w:tcMar>
            <w:vAlign w:val="top"/>
          </w:tcPr>
          <w:p>
            <w:pPr>
              <w:pStyle w:val="TableSmall"/>
            </w:pPr>
            <w:r>
              <w:rPr>
                <w:sz w:val="13"/>
              </w:rPr>
              <w:t>Orientation or pre-teaching period before Week 1; activities and numbering vary.</w:t>
            </w:r>
          </w:p>
        </w:tc>
        <w:tc>
          <w:tcPr>
            <w:tcW w:type="dxa" w:w="2120"/>
            <w:shd w:fill="F5F7F8"/>
            <w:tcMar>
              <w:top w:w="55" w:type="dxa"/>
              <w:start w:w="70" w:type="dxa"/>
              <w:bottom w:w="55" w:type="dxa"/>
              <w:end w:w="70" w:type="dxa"/>
            </w:tcMar>
            <w:vAlign w:val="top"/>
          </w:tcPr>
          <w:p>
            <w:pPr>
              <w:pStyle w:val="TableSmall"/>
            </w:pPr>
            <w:r>
              <w:rPr>
                <w:sz w:val="13"/>
              </w:rPr>
              <w:t>“The induction is in Week 0.”</w:t>
            </w:r>
          </w:p>
        </w:tc>
        <w:tc>
          <w:tcPr>
            <w:tcW w:type="dxa" w:w="2356"/>
            <w:shd w:fill="F5F7F8"/>
            <w:tcMar>
              <w:top w:w="55" w:type="dxa"/>
              <w:start w:w="70" w:type="dxa"/>
              <w:bottom w:w="55" w:type="dxa"/>
              <w:end w:w="70" w:type="dxa"/>
            </w:tcMar>
            <w:vAlign w:val="top"/>
          </w:tcPr>
          <w:p>
            <w:pPr>
              <w:pStyle w:val="TableSmall"/>
            </w:pPr>
            <w:r>
              <w:rPr>
                <w:sz w:val="13"/>
              </w:rPr>
              <w:t>Useful; check calendar.</w:t>
            </w:r>
          </w:p>
        </w:tc>
      </w:tr>
      <w:tr>
        <w:trPr>
          <w:cantSplit w:val="true"/>
        </w:trPr>
        <w:tc>
          <w:tcPr>
            <w:tcW w:type="dxa" w:w="1602"/>
            <w:tcMar>
              <w:top w:w="55" w:type="dxa"/>
              <w:start w:w="70" w:type="dxa"/>
              <w:bottom w:w="55" w:type="dxa"/>
              <w:end w:w="70" w:type="dxa"/>
            </w:tcMar>
            <w:vAlign w:val="top"/>
          </w:tcPr>
          <w:p>
            <w:pPr>
              <w:pStyle w:val="TableSmall"/>
            </w:pPr>
            <w:r>
              <w:rPr>
                <w:sz w:val="13"/>
              </w:rPr>
              <w:t>Week Five Blues</w:t>
            </w:r>
          </w:p>
        </w:tc>
        <w:tc>
          <w:tcPr>
            <w:tcW w:type="dxa" w:w="3958"/>
            <w:tcMar>
              <w:top w:w="55" w:type="dxa"/>
              <w:start w:w="70" w:type="dxa"/>
              <w:bottom w:w="55" w:type="dxa"/>
              <w:end w:w="70" w:type="dxa"/>
            </w:tcMar>
            <w:vAlign w:val="top"/>
          </w:tcPr>
          <w:p>
            <w:pPr>
              <w:pStyle w:val="TableSmall"/>
            </w:pPr>
            <w:r>
              <w:rPr>
                <w:sz w:val="13"/>
              </w:rPr>
              <w:t>Informal label for the dip in mood/energy often felt around the middle of a compressed term.</w:t>
            </w:r>
          </w:p>
        </w:tc>
        <w:tc>
          <w:tcPr>
            <w:tcW w:type="dxa" w:w="2120"/>
            <w:tcMar>
              <w:top w:w="55" w:type="dxa"/>
              <w:start w:w="70" w:type="dxa"/>
              <w:bottom w:w="55" w:type="dxa"/>
              <w:end w:w="70" w:type="dxa"/>
            </w:tcMar>
            <w:vAlign w:val="top"/>
          </w:tcPr>
          <w:p>
            <w:pPr>
              <w:pStyle w:val="TableSmall"/>
            </w:pPr>
            <w:r>
              <w:rPr>
                <w:sz w:val="13"/>
              </w:rPr>
              <w:t>“Week Five Blues is not a diagnosis.”</w:t>
            </w:r>
          </w:p>
        </w:tc>
        <w:tc>
          <w:tcPr>
            <w:tcW w:type="dxa" w:w="2356"/>
            <w:tcMar>
              <w:top w:w="55" w:type="dxa"/>
              <w:start w:w="70" w:type="dxa"/>
              <w:bottom w:w="55" w:type="dxa"/>
              <w:end w:w="70" w:type="dxa"/>
            </w:tcMar>
            <w:vAlign w:val="top"/>
          </w:tcPr>
          <w:p>
            <w:pPr>
              <w:pStyle w:val="TableSmall"/>
            </w:pPr>
            <w:r>
              <w:rPr>
                <w:sz w:val="13"/>
              </w:rPr>
              <w:t>Useful warning sign, not an excuse to ignore crisis.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White tie</w:t>
            </w:r>
          </w:p>
        </w:tc>
        <w:tc>
          <w:tcPr>
            <w:tcW w:type="dxa" w:w="3958"/>
            <w:shd w:fill="F5F7F8"/>
            <w:tcMar>
              <w:top w:w="55" w:type="dxa"/>
              <w:start w:w="70" w:type="dxa"/>
              <w:bottom w:w="55" w:type="dxa"/>
              <w:end w:w="70" w:type="dxa"/>
            </w:tcMar>
            <w:vAlign w:val="top"/>
          </w:tcPr>
          <w:p>
            <w:pPr>
              <w:pStyle w:val="TableSmall"/>
            </w:pPr>
            <w:r>
              <w:rPr>
                <w:sz w:val="13"/>
              </w:rPr>
              <w:t>Most formal evening dress: tailcoat system or formal equivalent; required/recommended only at certain events.</w:t>
            </w:r>
          </w:p>
        </w:tc>
        <w:tc>
          <w:tcPr>
            <w:tcW w:type="dxa" w:w="2120"/>
            <w:shd w:fill="F5F7F8"/>
            <w:tcMar>
              <w:top w:w="55" w:type="dxa"/>
              <w:start w:w="70" w:type="dxa"/>
              <w:bottom w:w="55" w:type="dxa"/>
              <w:end w:w="70" w:type="dxa"/>
            </w:tcMar>
            <w:vAlign w:val="top"/>
          </w:tcPr>
          <w:p>
            <w:pPr>
              <w:pStyle w:val="TableSmall"/>
            </w:pPr>
            <w:r>
              <w:rPr>
                <w:sz w:val="13"/>
              </w:rPr>
              <w:t>“The feast invitation says white tie.”</w:t>
            </w:r>
          </w:p>
        </w:tc>
        <w:tc>
          <w:tcPr>
            <w:tcW w:type="dxa" w:w="2356"/>
            <w:shd w:fill="F5F7F8"/>
            <w:tcMar>
              <w:top w:w="55" w:type="dxa"/>
              <w:start w:w="70" w:type="dxa"/>
              <w:bottom w:w="55" w:type="dxa"/>
              <w:end w:w="70" w:type="dxa"/>
            </w:tcMar>
            <w:vAlign w:val="top"/>
          </w:tcPr>
          <w:p>
            <w:pPr>
              <w:pStyle w:val="TableSmall"/>
            </w:pPr>
            <w:r>
              <w:rPr>
                <w:sz w:val="13"/>
              </w:rPr>
              <w:t>Rare; do not buy without checking.</w:t>
            </w:r>
          </w:p>
        </w:tc>
      </w:tr>
      <w:tr>
        <w:trPr>
          <w:cantSplit w:val="true"/>
        </w:trPr>
        <w:tc>
          <w:tcPr>
            <w:tcW w:type="dxa" w:w="1602"/>
            <w:tcMar>
              <w:top w:w="55" w:type="dxa"/>
              <w:start w:w="70" w:type="dxa"/>
              <w:bottom w:w="55" w:type="dxa"/>
              <w:end w:w="70" w:type="dxa"/>
            </w:tcMar>
            <w:vAlign w:val="top"/>
          </w:tcPr>
          <w:p>
            <w:pPr>
              <w:pStyle w:val="TableSmall"/>
            </w:pPr>
            <w:r>
              <w:rPr>
                <w:sz w:val="13"/>
              </w:rPr>
              <w:t>College nicknames</w:t>
            </w:r>
          </w:p>
        </w:tc>
        <w:tc>
          <w:tcPr>
            <w:tcW w:type="dxa" w:w="3958"/>
            <w:tcMar>
              <w:top w:w="55" w:type="dxa"/>
              <w:start w:w="70" w:type="dxa"/>
              <w:bottom w:w="55" w:type="dxa"/>
              <w:end w:w="70" w:type="dxa"/>
            </w:tcMar>
            <w:vAlign w:val="top"/>
          </w:tcPr>
          <w:p>
            <w:pPr>
              <w:pStyle w:val="TableSmall"/>
            </w:pPr>
            <w:r>
              <w:rPr>
                <w:sz w:val="13"/>
              </w:rPr>
              <w:t>Informal short forms: Catz (St Catharine’s), Emma (Emmanuel), Fitz, John’s, Lucy, Medwards, Newnham, Pem, Peterhouse, Robbo, Selwyn, Sidney, St Ed’s, Tit Hall (Trinity Hall; some dislike it), Wolfson.</w:t>
            </w:r>
          </w:p>
        </w:tc>
        <w:tc>
          <w:tcPr>
            <w:tcW w:type="dxa" w:w="2120"/>
            <w:tcMar>
              <w:top w:w="55" w:type="dxa"/>
              <w:start w:w="70" w:type="dxa"/>
              <w:bottom w:w="55" w:type="dxa"/>
              <w:end w:w="70" w:type="dxa"/>
            </w:tcMar>
            <w:vAlign w:val="top"/>
          </w:tcPr>
          <w:p>
            <w:pPr>
              <w:pStyle w:val="TableSmall"/>
            </w:pPr>
            <w:r>
              <w:rPr>
                <w:sz w:val="13"/>
              </w:rPr>
              <w:t>“I’m meeting someone from Catz.”</w:t>
            </w:r>
          </w:p>
        </w:tc>
        <w:tc>
          <w:tcPr>
            <w:tcW w:type="dxa" w:w="2356"/>
            <w:tcMar>
              <w:top w:w="55" w:type="dxa"/>
              <w:start w:w="70" w:type="dxa"/>
              <w:bottom w:w="55" w:type="dxa"/>
              <w:end w:w="70" w:type="dxa"/>
            </w:tcMar>
            <w:vAlign w:val="top"/>
          </w:tcPr>
          <w:p>
            <w:pPr>
              <w:pStyle w:val="TableSmall"/>
            </w:pPr>
            <w:r>
              <w:rPr>
                <w:sz w:val="13"/>
              </w:rPr>
              <w:t>Useful but never force a nickname on members.</w:t>
            </w:r>
          </w:p>
        </w:tc>
      </w:tr>
      <w:tr>
        <w:trPr>
          <w:cantSplit w:val="true"/>
        </w:trPr>
        <w:tc>
          <w:tcPr>
            <w:tcW w:type="dxa" w:w="1602"/>
            <w:shd w:fill="F5F7F8"/>
            <w:tcMar>
              <w:top w:w="55" w:type="dxa"/>
              <w:start w:w="70" w:type="dxa"/>
              <w:bottom w:w="55" w:type="dxa"/>
              <w:end w:w="70" w:type="dxa"/>
            </w:tcMar>
            <w:vAlign w:val="top"/>
          </w:tcPr>
          <w:p>
            <w:pPr>
              <w:pStyle w:val="TableSmall"/>
            </w:pPr>
            <w:r>
              <w:rPr>
                <w:sz w:val="13"/>
              </w:rPr>
              <w:t>Pronunciations</w:t>
            </w:r>
          </w:p>
        </w:tc>
        <w:tc>
          <w:tcPr>
            <w:tcW w:type="dxa" w:w="3958"/>
            <w:shd w:fill="F5F7F8"/>
            <w:tcMar>
              <w:top w:w="55" w:type="dxa"/>
              <w:start w:w="70" w:type="dxa"/>
              <w:bottom w:w="55" w:type="dxa"/>
              <w:end w:w="70" w:type="dxa"/>
            </w:tcMar>
            <w:vAlign w:val="top"/>
          </w:tcPr>
          <w:p>
            <w:pPr>
              <w:pStyle w:val="TableSmall"/>
            </w:pPr>
            <w:r>
              <w:rPr>
                <w:sz w:val="13"/>
              </w:rPr>
              <w:t>Caius = “Keys”; Magdalene = “Maudlin”; St Catharine’s = “Catz” informally; Newnham approximately “NEW-num”; Girton has a hard G; Sidgwick approximately “SID-jwick”.</w:t>
            </w:r>
          </w:p>
        </w:tc>
        <w:tc>
          <w:tcPr>
            <w:tcW w:type="dxa" w:w="2120"/>
            <w:shd w:fill="F5F7F8"/>
            <w:tcMar>
              <w:top w:w="55" w:type="dxa"/>
              <w:start w:w="70" w:type="dxa"/>
              <w:bottom w:w="55" w:type="dxa"/>
              <w:end w:w="70" w:type="dxa"/>
            </w:tcMar>
            <w:vAlign w:val="top"/>
          </w:tcPr>
          <w:p>
            <w:pPr>
              <w:pStyle w:val="TableSmall"/>
            </w:pPr>
            <w:r>
              <w:rPr>
                <w:sz w:val="13"/>
              </w:rPr>
              <w:t>“Caius sounds like Keys.”</w:t>
            </w:r>
          </w:p>
        </w:tc>
        <w:tc>
          <w:tcPr>
            <w:tcW w:type="dxa" w:w="2356"/>
            <w:shd w:fill="F5F7F8"/>
            <w:tcMar>
              <w:top w:w="55" w:type="dxa"/>
              <w:start w:w="70" w:type="dxa"/>
              <w:bottom w:w="55" w:type="dxa"/>
              <w:end w:w="70" w:type="dxa"/>
            </w:tcMar>
            <w:vAlign w:val="top"/>
          </w:tcPr>
          <w:p>
            <w:pPr>
              <w:pStyle w:val="TableSmall"/>
            </w:pPr>
            <w:r>
              <w:rPr>
                <w:sz w:val="13"/>
              </w:rPr>
              <w:t>Useful; mistakes are normal.</w:t>
            </w:r>
          </w:p>
        </w:tc>
      </w:tr>
    </w:tbl>
    <w:p>
      <w:pPr>
        <w:spacing w:after="20"/>
      </w:pPr>
    </w:p>
    <w:p>
      <w:pPr>
        <w:pStyle w:val="Source"/>
      </w:pPr>
      <w:r>
        <w:rPr>
          <w:b/>
        </w:rPr>
        <w:t xml:space="preserve">Sources and status: </w:t>
      </w:r>
      <w:r>
        <w:t>Core institutional terms are cross-checked against the University glossary and service pages. [U22] [U02] [U03] [U04] Rowing terms: [E04]. Informal slang is variable; absence from an official glossary is why “Mess” is labelled non-universal rather than defined confidently.</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Ask what a word means in that College. Fluency is acquired, not a condition of admission.</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Which local words does this College use for canteen, bar, kitchen, welfare and common room? Does “adviser” have formal authority here?</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Pretending to understand a term and acting on the wrong meaning—especially Tutor, supervisor, Full Term, intermission or College bill.</w:t>
            </w:r>
          </w:p>
        </w:tc>
      </w:tr>
    </w:tbl>
    <w:p>
      <w:pPr>
        <w:spacing w:after="40"/>
      </w:pPr>
    </w:p>
    <w:p>
      <w:pPr>
        <w:pStyle w:val="Heading1"/>
        <w:keepNext/>
      </w:pPr>
      <w:r>
        <w:t>16. A concise social history of Cambridge</w:t>
      </w:r>
    </w:p>
    <w:p>
      <w:pPr>
        <w:spacing w:after="160"/>
      </w:pPr>
      <w:r>
        <w:rPr>
          <w:i/>
          <w:color w:val="5F6B73"/>
          <w:sz w:val="20"/>
        </w:rPr>
        <w:t>The old language and architecture make more sense when you know who was once excluded.</w:t>
      </w:r>
    </w:p>
    <w:p>
      <w:pPr>
        <w:pStyle w:val="Heading2"/>
        <w:keepNext/>
      </w:pPr>
      <w:r>
        <w:t>Foundation and the collegiate system</w:t>
      </w:r>
    </w:p>
    <w:p>
      <w:r>
        <w:t>Scholars were teaching in Cambridge by 1209. The medieval University developed as a corporation of masters and scholars, while Colleges emerged as endowed communities providing residence, worship, discipline and support. Peterhouse was founded in 1284. The modern split—University degree structures alongside autonomous College life—is the institutional descendant of that layered growth. [U23]</w:t>
      </w:r>
    </w:p>
    <w:p>
      <w:r>
        <w:t>Religion shaped the curriculum, governance and College foundations for centuries. Reformation conflict, religious tests and clerical expectations determined who could study and hold office. Chapels, graces and terms such as “Fellow” and “foundation” retain that history even for students who are secular or of other faiths.</w:t>
      </w:r>
    </w:p>
    <w:p>
      <w:pPr>
        <w:pStyle w:val="Heading2"/>
        <w:keepNext/>
      </w:pPr>
      <w:r>
        <w:t>Tripos, examinations and teaching</w:t>
      </w:r>
    </w:p>
    <w:p>
      <w:r>
        <w:t>“Tripos” originated in the examination culture associated with the Mathematical Tripos and the three-legged stool used in ceremonial disputation. Over time, written competitive examinations and classified results became central to Cambridge identity. New Triposes reflected changing knowledge: the Natural Sciences Tripos was established in the nineteenth century. Today the term covers subject degree structures far beyond mathematics, but the system remains divided into Parts and papers rather than one universal modular pattern. [U23]</w:t>
      </w:r>
    </w:p>
    <w:p>
      <w:r>
        <w:t>Supervisions developed through College responsibility for close teaching. Their modern small-group form is often presented as timeless, but content, access, assessment and professional teaching norms have changed substantially. The historic system could be paternalistic and exclusionary; its best current use is rigorous dialogue with clear expectations and respect.</w:t>
      </w:r>
    </w:p>
    <w:p>
      <w:pPr>
        <w:pStyle w:val="Heading2"/>
        <w:keepNext/>
      </w:pPr>
      <w:r>
        <w:t>Women and recognition</w:t>
      </w:r>
    </w:p>
    <w:p>
      <w:r>
        <w:t>Girton was founded in 1869 and Newnham in 1871 as pioneering institutions for women’s higher education. Women studied and sat examinations before they received equal University membership and Cambridge degrees. Full membership was finally granted in 1948—later than at Oxford. The women’s Colleges created intellectual communities while operating under restrictions that shaped accommodation, supervision and social life. [H01] [H02] [U23]</w:t>
      </w:r>
    </w:p>
    <w:p>
      <w:r>
        <w:t>That history explains why Newnham, Murray Edwards and the former women-only identity of Lucy Cavendish are not simply demographic quirks. They are products of women building institutions where the older University denied full belonging. Current eligibility policies should be checked on each College’s admissions page rather than inferred from history.</w:t>
      </w:r>
    </w:p>
    <w:p>
      <w:pPr>
        <w:pStyle w:val="Heading2"/>
        <w:keepNext/>
      </w:pPr>
      <w:r>
        <w:t>Adult education and mature access</w:t>
      </w:r>
    </w:p>
    <w:p>
      <w:r>
        <w:t>Cambridge’s extension movement began in the nineteenth century, with University Extension Lectures from 1873 taking teaching beyond resident undergraduates. This tradition developed into adult and continuing education associated with what is now the Institute of Continuing Education. It broadened access while often remaining separate from full membership and degrees—a reminder that “education offered by Cambridge” and “admission as a Cambridge undergraduate” are not the same status. [U24]</w:t>
      </w:r>
    </w:p>
    <w:p>
      <w:r>
        <w:t>Colleges now associated with mature students reflect twentieth-century expansion and changing access. Hughes Hall traces its origins to a women’s teacher-training college; St Edmund’s developed from a Catholic residential foundation; Wolfson emerged as a modern, international and egalitarian College. Lucy Cavendish was founded for women aged 21 and over and has since changed to admit students of all genders and ages. The mature-only undergraduate status of Hughes Hall, St Edmund’s and Wolfson is the current admissions fact. [U01]</w:t>
      </w:r>
    </w:p>
    <w:p>
      <w:pPr>
        <w:pStyle w:val="Heading2"/>
        <w:keepNext/>
      </w:pPr>
      <w:r>
        <w:t>Class, empire and exclusion</w:t>
      </w:r>
    </w:p>
    <w:p>
      <w:r>
        <w:t>For much of its history, Cambridge was accessible to a narrow social group. Wealth, male status, religion, school preparation and national/imperial networks shaped entry and advancement. Scholarship provision, state education, women’s institutions, internationalisation and widening-participation work altered the population without removing classed knowledge, inherited networks or unequal financial risk.</w:t>
      </w:r>
    </w:p>
    <w:p>
      <w:r>
        <w:t>The University’s Legacies of Enslavement inquiry documents financial, intellectual and institutional connections to slavery and colonialism. This history should not be reduced to a morality footnote or used to claim that every current member shares the same experience. It helps explain contested memorials, benefactions, collections and demands for institutional accountability. [U25]</w:t>
      </w:r>
    </w:p>
    <w:p>
      <w:pPr>
        <w:pStyle w:val="Heading2"/>
        <w:keepNext/>
      </w:pPr>
      <w:r>
        <w:t>The University and the city</w:t>
      </w:r>
    </w:p>
    <w:p>
      <w:r>
        <w:t>Town-and-gown tension has included jurisdiction, land, housing, wages, policing, tourism and the University’s economic power. Modern Cambridge is simultaneously a university city, technology cluster, market town and home to residents facing high housing costs. Mature students living privately, using state schools or working locally experience this relationship differently from residents of central courts.</w:t>
      </w:r>
    </w:p>
    <w:p>
      <w:pPr>
        <w:pStyle w:val="Heading2"/>
        <w:keepNext/>
      </w:pPr>
      <w:r>
        <w:t>Timeline</w:t>
      </w:r>
    </w:p>
    <w:tbl>
      <w:tblPr>
        <w:tblW w:type="auto" w:w="0"/>
        <w:jc w:val="center"/>
        <w:tblLayout w:type="fixed"/>
        <w:tblLook w:firstColumn="1" w:firstRow="1" w:lastColumn="0" w:lastRow="0" w:noHBand="0" w:noVBand="1" w:val="04A0"/>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1417"/>
            <w:shd w:fill="17324D" w:val="clear"/>
            <w:vAlign w:val="center"/>
          </w:tcPr>
          <w:p>
            <w:r/>
            <w:r>
              <w:rPr>
                <w:rFonts w:ascii="Lato" w:hAnsi="Lato"/>
                <w:b/>
                <w:color w:val="FFFFFF"/>
                <w:sz w:val="15"/>
              </w:rPr>
              <w:t>Date</w:t>
            </w:r>
          </w:p>
        </w:tc>
        <w:tc>
          <w:tcPr>
            <w:tcW w:type="dxa" w:w="3912"/>
            <w:shd w:fill="17324D" w:val="clear"/>
            <w:vAlign w:val="center"/>
          </w:tcPr>
          <w:p>
            <w:r/>
            <w:r>
              <w:rPr>
                <w:rFonts w:ascii="Lato" w:hAnsi="Lato"/>
                <w:b/>
                <w:color w:val="FFFFFF"/>
                <w:sz w:val="15"/>
              </w:rPr>
              <w:t>Development</w:t>
            </w:r>
          </w:p>
        </w:tc>
        <w:tc>
          <w:tcPr>
            <w:tcW w:type="dxa" w:w="4422"/>
            <w:shd w:fill="17324D" w:val="clear"/>
            <w:vAlign w:val="center"/>
          </w:tcPr>
          <w:p>
            <w:r/>
            <w:r>
              <w:rPr>
                <w:rFonts w:ascii="Lato" w:hAnsi="Lato"/>
                <w:b/>
                <w:color w:val="FFFFFF"/>
                <w:sz w:val="15"/>
              </w:rPr>
              <w:t>Why it matters now</w:t>
            </w:r>
          </w:p>
        </w:tc>
      </w:tr>
      <w:tr>
        <w:trPr>
          <w:cantSplit w:val="true"/>
        </w:trPr>
        <w:tc>
          <w:tcPr>
            <w:tcW w:type="dxa" w:w="1417"/>
            <w:vAlign w:val="top"/>
          </w:tcPr>
          <w:p>
            <w:pPr>
              <w:spacing w:after="20"/>
            </w:pPr>
            <w:r/>
            <w:r>
              <w:rPr>
                <w:rFonts w:ascii="Lato" w:hAnsi="Lato"/>
                <w:color w:val="222222"/>
                <w:sz w:val="14"/>
              </w:rPr>
              <w:t>1209</w:t>
            </w:r>
          </w:p>
        </w:tc>
        <w:tc>
          <w:tcPr>
            <w:tcW w:type="dxa" w:w="3912"/>
            <w:vAlign w:val="top"/>
          </w:tcPr>
          <w:p>
            <w:pPr>
              <w:spacing w:after="20"/>
            </w:pPr>
            <w:r/>
            <w:r>
              <w:rPr>
                <w:rFonts w:ascii="Lato" w:hAnsi="Lato"/>
                <w:color w:val="222222"/>
                <w:sz w:val="14"/>
              </w:rPr>
              <w:t>Scholars established a teaching community in Cambridge.</w:t>
            </w:r>
          </w:p>
        </w:tc>
        <w:tc>
          <w:tcPr>
            <w:tcW w:type="dxa" w:w="4422"/>
            <w:vAlign w:val="top"/>
          </w:tcPr>
          <w:p>
            <w:pPr>
              <w:spacing w:after="20"/>
            </w:pPr>
            <w:r/>
            <w:r>
              <w:rPr>
                <w:rFonts w:ascii="Lato" w:hAnsi="Lato"/>
                <w:color w:val="222222"/>
                <w:sz w:val="14"/>
              </w:rPr>
              <w:t>Explains why the University predates and remains distinct from the Colleges.</w:t>
            </w:r>
          </w:p>
        </w:tc>
      </w:tr>
      <w:tr>
        <w:trPr>
          <w:cantSplit w:val="true"/>
        </w:trPr>
        <w:tc>
          <w:tcPr>
            <w:tcW w:type="dxa" w:w="1417"/>
            <w:vAlign w:val="top"/>
            <w:shd w:fill="F5F7F8" w:val="clear"/>
          </w:tcPr>
          <w:p>
            <w:pPr>
              <w:spacing w:after="20"/>
            </w:pPr>
            <w:r/>
            <w:r>
              <w:rPr>
                <w:rFonts w:ascii="Lato" w:hAnsi="Lato"/>
                <w:color w:val="222222"/>
                <w:sz w:val="14"/>
              </w:rPr>
              <w:t>1284</w:t>
            </w:r>
          </w:p>
        </w:tc>
        <w:tc>
          <w:tcPr>
            <w:tcW w:type="dxa" w:w="3912"/>
            <w:vAlign w:val="top"/>
            <w:shd w:fill="F5F7F8" w:val="clear"/>
          </w:tcPr>
          <w:p>
            <w:pPr>
              <w:spacing w:after="20"/>
            </w:pPr>
            <w:r/>
            <w:r>
              <w:rPr>
                <w:rFonts w:ascii="Lato" w:hAnsi="Lato"/>
                <w:color w:val="222222"/>
                <w:sz w:val="14"/>
              </w:rPr>
              <w:t>Peterhouse founded.</w:t>
            </w:r>
          </w:p>
        </w:tc>
        <w:tc>
          <w:tcPr>
            <w:tcW w:type="dxa" w:w="4422"/>
            <w:vAlign w:val="top"/>
            <w:shd w:fill="F5F7F8" w:val="clear"/>
          </w:tcPr>
          <w:p>
            <w:pPr>
              <w:spacing w:after="20"/>
            </w:pPr>
            <w:r/>
            <w:r>
              <w:rPr>
                <w:rFonts w:ascii="Lato" w:hAnsi="Lato"/>
                <w:color w:val="222222"/>
                <w:sz w:val="14"/>
              </w:rPr>
              <w:t>Beginning of the enduring collegiate model of residence, patronage and teaching.</w:t>
            </w:r>
          </w:p>
        </w:tc>
      </w:tr>
      <w:tr>
        <w:trPr>
          <w:cantSplit w:val="true"/>
        </w:trPr>
        <w:tc>
          <w:tcPr>
            <w:tcW w:type="dxa" w:w="1417"/>
            <w:vAlign w:val="top"/>
          </w:tcPr>
          <w:p>
            <w:pPr>
              <w:spacing w:after="20"/>
            </w:pPr>
            <w:r/>
            <w:r>
              <w:rPr>
                <w:rFonts w:ascii="Lato" w:hAnsi="Lato"/>
                <w:color w:val="222222"/>
                <w:sz w:val="14"/>
              </w:rPr>
              <w:t>16th century</w:t>
            </w:r>
          </w:p>
        </w:tc>
        <w:tc>
          <w:tcPr>
            <w:tcW w:type="dxa" w:w="3912"/>
            <w:vAlign w:val="top"/>
          </w:tcPr>
          <w:p>
            <w:pPr>
              <w:spacing w:after="20"/>
            </w:pPr>
            <w:r/>
            <w:r>
              <w:rPr>
                <w:rFonts w:ascii="Lato" w:hAnsi="Lato"/>
                <w:color w:val="222222"/>
                <w:sz w:val="14"/>
              </w:rPr>
              <w:t>Reformation reshaped religion, governance and curriculum.</w:t>
            </w:r>
          </w:p>
        </w:tc>
        <w:tc>
          <w:tcPr>
            <w:tcW w:type="dxa" w:w="4422"/>
            <w:vAlign w:val="top"/>
          </w:tcPr>
          <w:p>
            <w:pPr>
              <w:spacing w:after="20"/>
            </w:pPr>
            <w:r/>
            <w:r>
              <w:rPr>
                <w:rFonts w:ascii="Lato" w:hAnsi="Lato"/>
                <w:color w:val="222222"/>
                <w:sz w:val="14"/>
              </w:rPr>
              <w:t>Chapels, graces and religious foundations remain visible in present College life.</w:t>
            </w:r>
          </w:p>
        </w:tc>
      </w:tr>
      <w:tr>
        <w:trPr>
          <w:cantSplit w:val="true"/>
        </w:trPr>
        <w:tc>
          <w:tcPr>
            <w:tcW w:type="dxa" w:w="1417"/>
            <w:vAlign w:val="top"/>
            <w:shd w:fill="F5F7F8" w:val="clear"/>
          </w:tcPr>
          <w:p>
            <w:pPr>
              <w:spacing w:after="20"/>
            </w:pPr>
            <w:r/>
            <w:r>
              <w:rPr>
                <w:rFonts w:ascii="Lato" w:hAnsi="Lato"/>
                <w:color w:val="222222"/>
                <w:sz w:val="14"/>
              </w:rPr>
              <w:t>18th–19th centuries</w:t>
            </w:r>
          </w:p>
        </w:tc>
        <w:tc>
          <w:tcPr>
            <w:tcW w:type="dxa" w:w="3912"/>
            <w:vAlign w:val="top"/>
            <w:shd w:fill="F5F7F8" w:val="clear"/>
          </w:tcPr>
          <w:p>
            <w:pPr>
              <w:spacing w:after="20"/>
            </w:pPr>
            <w:r/>
            <w:r>
              <w:rPr>
                <w:rFonts w:ascii="Lato" w:hAnsi="Lato"/>
                <w:color w:val="222222"/>
                <w:sz w:val="14"/>
              </w:rPr>
              <w:t>Written Tripos examinations and ranking culture expanded.</w:t>
            </w:r>
          </w:p>
        </w:tc>
        <w:tc>
          <w:tcPr>
            <w:tcW w:type="dxa" w:w="4422"/>
            <w:vAlign w:val="top"/>
            <w:shd w:fill="F5F7F8" w:val="clear"/>
          </w:tcPr>
          <w:p>
            <w:pPr>
              <w:spacing w:after="20"/>
            </w:pPr>
            <w:r/>
            <w:r>
              <w:rPr>
                <w:rFonts w:ascii="Lato" w:hAnsi="Lato"/>
                <w:color w:val="222222"/>
                <w:sz w:val="14"/>
              </w:rPr>
              <w:t>Parts, papers, classifications and comparison culture still structure degrees.</w:t>
            </w:r>
          </w:p>
        </w:tc>
      </w:tr>
      <w:tr>
        <w:trPr>
          <w:cantSplit w:val="true"/>
        </w:trPr>
        <w:tc>
          <w:tcPr>
            <w:tcW w:type="dxa" w:w="1417"/>
            <w:vAlign w:val="top"/>
          </w:tcPr>
          <w:p>
            <w:pPr>
              <w:spacing w:after="20"/>
            </w:pPr>
            <w:r/>
            <w:r>
              <w:rPr>
                <w:rFonts w:ascii="Lato" w:hAnsi="Lato"/>
                <w:color w:val="222222"/>
                <w:sz w:val="14"/>
              </w:rPr>
              <w:t>1851</w:t>
            </w:r>
          </w:p>
        </w:tc>
        <w:tc>
          <w:tcPr>
            <w:tcW w:type="dxa" w:w="3912"/>
            <w:vAlign w:val="top"/>
          </w:tcPr>
          <w:p>
            <w:pPr>
              <w:spacing w:after="20"/>
            </w:pPr>
            <w:r/>
            <w:r>
              <w:rPr>
                <w:rFonts w:ascii="Lato" w:hAnsi="Lato"/>
                <w:color w:val="222222"/>
                <w:sz w:val="14"/>
              </w:rPr>
              <w:t>Natural Sciences Tripos established.</w:t>
            </w:r>
          </w:p>
        </w:tc>
        <w:tc>
          <w:tcPr>
            <w:tcW w:type="dxa" w:w="4422"/>
            <w:vAlign w:val="top"/>
          </w:tcPr>
          <w:p>
            <w:pPr>
              <w:spacing w:after="20"/>
            </w:pPr>
            <w:r/>
            <w:r>
              <w:rPr>
                <w:rFonts w:ascii="Lato" w:hAnsi="Lato"/>
                <w:color w:val="222222"/>
                <w:sz w:val="14"/>
              </w:rPr>
              <w:t>Part of the expansion beyond the classical and mathematical curriculum. [U23]</w:t>
            </w:r>
          </w:p>
        </w:tc>
      </w:tr>
      <w:tr>
        <w:trPr>
          <w:cantSplit w:val="true"/>
        </w:trPr>
        <w:tc>
          <w:tcPr>
            <w:tcW w:type="dxa" w:w="1417"/>
            <w:vAlign w:val="top"/>
            <w:shd w:fill="F5F7F8" w:val="clear"/>
          </w:tcPr>
          <w:p>
            <w:pPr>
              <w:spacing w:after="20"/>
            </w:pPr>
            <w:r/>
            <w:r>
              <w:rPr>
                <w:rFonts w:ascii="Lato" w:hAnsi="Lato"/>
                <w:color w:val="222222"/>
                <w:sz w:val="14"/>
              </w:rPr>
              <w:t>1869</w:t>
            </w:r>
          </w:p>
        </w:tc>
        <w:tc>
          <w:tcPr>
            <w:tcW w:type="dxa" w:w="3912"/>
            <w:vAlign w:val="top"/>
            <w:shd w:fill="F5F7F8" w:val="clear"/>
          </w:tcPr>
          <w:p>
            <w:pPr>
              <w:spacing w:after="20"/>
            </w:pPr>
            <w:r/>
            <w:r>
              <w:rPr>
                <w:rFonts w:ascii="Lato" w:hAnsi="Lato"/>
                <w:color w:val="222222"/>
                <w:sz w:val="14"/>
              </w:rPr>
              <w:t>Girton founded for women.</w:t>
            </w:r>
          </w:p>
        </w:tc>
        <w:tc>
          <w:tcPr>
            <w:tcW w:type="dxa" w:w="4422"/>
            <w:vAlign w:val="top"/>
            <w:shd w:fill="F5F7F8" w:val="clear"/>
          </w:tcPr>
          <w:p>
            <w:pPr>
              <w:spacing w:after="20"/>
            </w:pPr>
            <w:r/>
            <w:r>
              <w:rPr>
                <w:rFonts w:ascii="Lato" w:hAnsi="Lato"/>
                <w:color w:val="222222"/>
                <w:sz w:val="14"/>
              </w:rPr>
              <w:t>Women built institutions at the edge of a University that excluded them. [H01]</w:t>
            </w:r>
          </w:p>
        </w:tc>
      </w:tr>
      <w:tr>
        <w:trPr>
          <w:cantSplit w:val="true"/>
        </w:trPr>
        <w:tc>
          <w:tcPr>
            <w:tcW w:type="dxa" w:w="1417"/>
            <w:vAlign w:val="top"/>
          </w:tcPr>
          <w:p>
            <w:pPr>
              <w:spacing w:after="20"/>
            </w:pPr>
            <w:r/>
            <w:r>
              <w:rPr>
                <w:rFonts w:ascii="Lato" w:hAnsi="Lato"/>
                <w:color w:val="222222"/>
                <w:sz w:val="14"/>
              </w:rPr>
              <w:t>1871</w:t>
            </w:r>
          </w:p>
        </w:tc>
        <w:tc>
          <w:tcPr>
            <w:tcW w:type="dxa" w:w="3912"/>
            <w:vAlign w:val="top"/>
          </w:tcPr>
          <w:p>
            <w:pPr>
              <w:spacing w:after="20"/>
            </w:pPr>
            <w:r/>
            <w:r>
              <w:rPr>
                <w:rFonts w:ascii="Lato" w:hAnsi="Lato"/>
                <w:color w:val="222222"/>
                <w:sz w:val="14"/>
              </w:rPr>
              <w:t>Religious tests were abolished and Newnham was founded.</w:t>
            </w:r>
          </w:p>
        </w:tc>
        <w:tc>
          <w:tcPr>
            <w:tcW w:type="dxa" w:w="4422"/>
            <w:vAlign w:val="top"/>
          </w:tcPr>
          <w:p>
            <w:pPr>
              <w:spacing w:after="20"/>
            </w:pPr>
            <w:r/>
            <w:r>
              <w:rPr>
                <w:rFonts w:ascii="Lato" w:hAnsi="Lato"/>
                <w:color w:val="222222"/>
                <w:sz w:val="14"/>
              </w:rPr>
              <w:t>Formal barriers based on religion weakened; women’s higher education expanded. [H02]</w:t>
            </w:r>
          </w:p>
        </w:tc>
      </w:tr>
      <w:tr>
        <w:trPr>
          <w:cantSplit w:val="true"/>
        </w:trPr>
        <w:tc>
          <w:tcPr>
            <w:tcW w:type="dxa" w:w="1417"/>
            <w:vAlign w:val="top"/>
            <w:shd w:fill="F5F7F8" w:val="clear"/>
          </w:tcPr>
          <w:p>
            <w:pPr>
              <w:spacing w:after="20"/>
            </w:pPr>
            <w:r/>
            <w:r>
              <w:rPr>
                <w:rFonts w:ascii="Lato" w:hAnsi="Lato"/>
                <w:color w:val="222222"/>
                <w:sz w:val="14"/>
              </w:rPr>
              <w:t>1873</w:t>
            </w:r>
          </w:p>
        </w:tc>
        <w:tc>
          <w:tcPr>
            <w:tcW w:type="dxa" w:w="3912"/>
            <w:vAlign w:val="top"/>
            <w:shd w:fill="F5F7F8" w:val="clear"/>
          </w:tcPr>
          <w:p>
            <w:pPr>
              <w:spacing w:after="20"/>
            </w:pPr>
            <w:r/>
            <w:r>
              <w:rPr>
                <w:rFonts w:ascii="Lato" w:hAnsi="Lato"/>
                <w:color w:val="222222"/>
                <w:sz w:val="14"/>
              </w:rPr>
              <w:t>University Extension Lectures began.</w:t>
            </w:r>
          </w:p>
        </w:tc>
        <w:tc>
          <w:tcPr>
            <w:tcW w:type="dxa" w:w="4422"/>
            <w:vAlign w:val="top"/>
            <w:shd w:fill="F5F7F8" w:val="clear"/>
          </w:tcPr>
          <w:p>
            <w:pPr>
              <w:spacing w:after="20"/>
            </w:pPr>
            <w:r/>
            <w:r>
              <w:rPr>
                <w:rFonts w:ascii="Lato" w:hAnsi="Lato"/>
                <w:color w:val="222222"/>
                <w:sz w:val="14"/>
              </w:rPr>
              <w:t>A major root of organised adult and continuing education. [U24]</w:t>
            </w:r>
          </w:p>
        </w:tc>
      </w:tr>
      <w:tr>
        <w:trPr>
          <w:cantSplit w:val="true"/>
        </w:trPr>
        <w:tc>
          <w:tcPr>
            <w:tcW w:type="dxa" w:w="1417"/>
            <w:vAlign w:val="top"/>
          </w:tcPr>
          <w:p>
            <w:pPr>
              <w:spacing w:after="20"/>
            </w:pPr>
            <w:r/>
            <w:r>
              <w:rPr>
                <w:rFonts w:ascii="Lato" w:hAnsi="Lato"/>
                <w:color w:val="222222"/>
                <w:sz w:val="14"/>
              </w:rPr>
              <w:t>1885</w:t>
            </w:r>
          </w:p>
        </w:tc>
        <w:tc>
          <w:tcPr>
            <w:tcW w:type="dxa" w:w="3912"/>
            <w:vAlign w:val="top"/>
          </w:tcPr>
          <w:p>
            <w:pPr>
              <w:spacing w:after="20"/>
            </w:pPr>
            <w:r/>
            <w:r>
              <w:rPr>
                <w:rFonts w:ascii="Lato" w:hAnsi="Lato"/>
                <w:color w:val="222222"/>
                <w:sz w:val="14"/>
              </w:rPr>
              <w:t>The institution that became Hughes Hall was founded for women teacher trainees.</w:t>
            </w:r>
          </w:p>
        </w:tc>
        <w:tc>
          <w:tcPr>
            <w:tcW w:type="dxa" w:w="4422"/>
            <w:vAlign w:val="top"/>
          </w:tcPr>
          <w:p>
            <w:pPr>
              <w:spacing w:after="20"/>
            </w:pPr>
            <w:r/>
            <w:r>
              <w:rPr>
                <w:rFonts w:ascii="Lato" w:hAnsi="Lato"/>
                <w:color w:val="222222"/>
                <w:sz w:val="14"/>
              </w:rPr>
              <w:t>The oldest of today’s mature Colleges grew from professional adult education.</w:t>
            </w:r>
          </w:p>
        </w:tc>
      </w:tr>
      <w:tr>
        <w:trPr>
          <w:cantSplit w:val="true"/>
        </w:trPr>
        <w:tc>
          <w:tcPr>
            <w:tcW w:type="dxa" w:w="1417"/>
            <w:vAlign w:val="top"/>
            <w:shd w:fill="F5F7F8" w:val="clear"/>
          </w:tcPr>
          <w:p>
            <w:pPr>
              <w:spacing w:after="20"/>
            </w:pPr>
            <w:r/>
            <w:r>
              <w:rPr>
                <w:rFonts w:ascii="Lato" w:hAnsi="Lato"/>
                <w:color w:val="222222"/>
                <w:sz w:val="14"/>
              </w:rPr>
              <w:t>1896</w:t>
            </w:r>
          </w:p>
        </w:tc>
        <w:tc>
          <w:tcPr>
            <w:tcW w:type="dxa" w:w="3912"/>
            <w:vAlign w:val="top"/>
            <w:shd w:fill="F5F7F8" w:val="clear"/>
          </w:tcPr>
          <w:p>
            <w:pPr>
              <w:spacing w:after="20"/>
            </w:pPr>
            <w:r/>
            <w:r>
              <w:rPr>
                <w:rFonts w:ascii="Lato" w:hAnsi="Lato"/>
                <w:color w:val="222222"/>
                <w:sz w:val="14"/>
              </w:rPr>
              <w:t>St Edmund’s was founded with a Catholic connection.</w:t>
            </w:r>
          </w:p>
        </w:tc>
        <w:tc>
          <w:tcPr>
            <w:tcW w:type="dxa" w:w="4422"/>
            <w:vAlign w:val="top"/>
            <w:shd w:fill="F5F7F8" w:val="clear"/>
          </w:tcPr>
          <w:p>
            <w:pPr>
              <w:spacing w:after="20"/>
            </w:pPr>
            <w:r/>
            <w:r>
              <w:rPr>
                <w:rFonts w:ascii="Lato" w:hAnsi="Lato"/>
                <w:color w:val="222222"/>
                <w:sz w:val="14"/>
              </w:rPr>
              <w:t>Shows how religious exclusion and later reintegration shaped College identities.</w:t>
            </w:r>
          </w:p>
        </w:tc>
      </w:tr>
      <w:tr>
        <w:trPr>
          <w:cantSplit w:val="true"/>
        </w:trPr>
        <w:tc>
          <w:tcPr>
            <w:tcW w:type="dxa" w:w="1417"/>
            <w:vAlign w:val="top"/>
          </w:tcPr>
          <w:p>
            <w:pPr>
              <w:spacing w:after="20"/>
            </w:pPr>
            <w:r/>
            <w:r>
              <w:rPr>
                <w:rFonts w:ascii="Lato" w:hAnsi="Lato"/>
                <w:color w:val="222222"/>
                <w:sz w:val="14"/>
              </w:rPr>
              <w:t>1948</w:t>
            </w:r>
          </w:p>
        </w:tc>
        <w:tc>
          <w:tcPr>
            <w:tcW w:type="dxa" w:w="3912"/>
            <w:vAlign w:val="top"/>
          </w:tcPr>
          <w:p>
            <w:pPr>
              <w:spacing w:after="20"/>
            </w:pPr>
            <w:r/>
            <w:r>
              <w:rPr>
                <w:rFonts w:ascii="Lato" w:hAnsi="Lato"/>
                <w:color w:val="222222"/>
                <w:sz w:val="14"/>
              </w:rPr>
              <w:t>Women were admitted to full University membership and degrees.</w:t>
            </w:r>
          </w:p>
        </w:tc>
        <w:tc>
          <w:tcPr>
            <w:tcW w:type="dxa" w:w="4422"/>
            <w:vAlign w:val="top"/>
          </w:tcPr>
          <w:p>
            <w:pPr>
              <w:spacing w:after="20"/>
            </w:pPr>
            <w:r/>
            <w:r>
              <w:rPr>
                <w:rFonts w:ascii="Lato" w:hAnsi="Lato"/>
                <w:color w:val="222222"/>
                <w:sz w:val="14"/>
              </w:rPr>
              <w:t>Formal equality came extraordinarily late. [U23]</w:t>
            </w:r>
          </w:p>
        </w:tc>
      </w:tr>
      <w:tr>
        <w:trPr>
          <w:cantSplit w:val="true"/>
        </w:trPr>
        <w:tc>
          <w:tcPr>
            <w:tcW w:type="dxa" w:w="1417"/>
            <w:vAlign w:val="top"/>
            <w:shd w:fill="F5F7F8" w:val="clear"/>
          </w:tcPr>
          <w:p>
            <w:pPr>
              <w:spacing w:after="20"/>
            </w:pPr>
            <w:r/>
            <w:r>
              <w:rPr>
                <w:rFonts w:ascii="Lato" w:hAnsi="Lato"/>
                <w:color w:val="222222"/>
                <w:sz w:val="14"/>
              </w:rPr>
              <w:t>1965</w:t>
            </w:r>
          </w:p>
        </w:tc>
        <w:tc>
          <w:tcPr>
            <w:tcW w:type="dxa" w:w="3912"/>
            <w:vAlign w:val="top"/>
            <w:shd w:fill="F5F7F8" w:val="clear"/>
          </w:tcPr>
          <w:p>
            <w:pPr>
              <w:spacing w:after="20"/>
            </w:pPr>
            <w:r/>
            <w:r>
              <w:rPr>
                <w:rFonts w:ascii="Lato" w:hAnsi="Lato"/>
                <w:color w:val="222222"/>
                <w:sz w:val="14"/>
              </w:rPr>
              <w:t>Wolfson and Lucy Cavendish were founded in the era of post-war expansion.</w:t>
            </w:r>
          </w:p>
        </w:tc>
        <w:tc>
          <w:tcPr>
            <w:tcW w:type="dxa" w:w="4422"/>
            <w:vAlign w:val="top"/>
            <w:shd w:fill="F5F7F8" w:val="clear"/>
          </w:tcPr>
          <w:p>
            <w:pPr>
              <w:spacing w:after="20"/>
            </w:pPr>
            <w:r/>
            <w:r>
              <w:rPr>
                <w:rFonts w:ascii="Lato" w:hAnsi="Lato"/>
                <w:color w:val="222222"/>
                <w:sz w:val="14"/>
              </w:rPr>
              <w:t>Modern Colleges created new space for older, graduate and non-traditional students.</w:t>
            </w:r>
          </w:p>
        </w:tc>
      </w:tr>
      <w:tr>
        <w:trPr>
          <w:cantSplit w:val="true"/>
        </w:trPr>
        <w:tc>
          <w:tcPr>
            <w:tcW w:type="dxa" w:w="1417"/>
            <w:vAlign w:val="top"/>
          </w:tcPr>
          <w:p>
            <w:pPr>
              <w:spacing w:after="20"/>
            </w:pPr>
            <w:r/>
            <w:r>
              <w:rPr>
                <w:rFonts w:ascii="Lato" w:hAnsi="Lato"/>
                <w:color w:val="222222"/>
                <w:sz w:val="14"/>
              </w:rPr>
              <w:t>2021</w:t>
            </w:r>
          </w:p>
        </w:tc>
        <w:tc>
          <w:tcPr>
            <w:tcW w:type="dxa" w:w="3912"/>
            <w:vAlign w:val="top"/>
          </w:tcPr>
          <w:p>
            <w:pPr>
              <w:spacing w:after="20"/>
            </w:pPr>
            <w:r/>
            <w:r>
              <w:rPr>
                <w:rFonts w:ascii="Lato" w:hAnsi="Lato"/>
                <w:color w:val="222222"/>
                <w:sz w:val="14"/>
              </w:rPr>
              <w:t>Lucy Cavendish opened to all ages and genders; public class-list display ended.</w:t>
            </w:r>
          </w:p>
        </w:tc>
        <w:tc>
          <w:tcPr>
            <w:tcW w:type="dxa" w:w="4422"/>
            <w:vAlign w:val="top"/>
          </w:tcPr>
          <w:p>
            <w:pPr>
              <w:spacing w:after="20"/>
            </w:pPr>
            <w:r/>
            <w:r>
              <w:rPr>
                <w:rFonts w:ascii="Lato" w:hAnsi="Lato"/>
                <w:color w:val="222222"/>
                <w:sz w:val="14"/>
              </w:rPr>
              <w:t>The mature-College landscape and the old culture of public comparison both changed.</w:t>
            </w:r>
          </w:p>
        </w:tc>
      </w:tr>
      <w:tr>
        <w:trPr>
          <w:cantSplit w:val="true"/>
        </w:trPr>
        <w:tc>
          <w:tcPr>
            <w:tcW w:type="dxa" w:w="1417"/>
            <w:vAlign w:val="top"/>
            <w:shd w:fill="F5F7F8" w:val="clear"/>
          </w:tcPr>
          <w:p>
            <w:pPr>
              <w:spacing w:after="20"/>
            </w:pPr>
            <w:r/>
            <w:r>
              <w:rPr>
                <w:rFonts w:ascii="Lato" w:hAnsi="Lato"/>
                <w:color w:val="222222"/>
                <w:sz w:val="14"/>
              </w:rPr>
              <w:t>2022</w:t>
            </w:r>
          </w:p>
        </w:tc>
        <w:tc>
          <w:tcPr>
            <w:tcW w:type="dxa" w:w="3912"/>
            <w:vAlign w:val="top"/>
            <w:shd w:fill="F5F7F8" w:val="clear"/>
          </w:tcPr>
          <w:p>
            <w:pPr>
              <w:spacing w:after="20"/>
            </w:pPr>
            <w:r/>
            <w:r>
              <w:rPr>
                <w:rFonts w:ascii="Lato" w:hAnsi="Lato"/>
                <w:color w:val="222222"/>
                <w:sz w:val="14"/>
              </w:rPr>
              <w:t>The first Foundation Year cohort began.</w:t>
            </w:r>
          </w:p>
        </w:tc>
        <w:tc>
          <w:tcPr>
            <w:tcW w:type="dxa" w:w="4422"/>
            <w:vAlign w:val="top"/>
            <w:shd w:fill="F5F7F8" w:val="clear"/>
          </w:tcPr>
          <w:p>
            <w:pPr>
              <w:spacing w:after="20"/>
            </w:pPr>
            <w:r/>
            <w:r>
              <w:rPr>
                <w:rFonts w:ascii="Lato" w:hAnsi="Lato"/>
                <w:color w:val="222222"/>
                <w:sz w:val="14"/>
              </w:rPr>
              <w:t>A free current route for eligible UK applicants whose education was disrupted. [U09]</w:t>
            </w:r>
          </w:p>
        </w:tc>
      </w:tr>
      <w:tr>
        <w:trPr>
          <w:cantSplit w:val="true"/>
        </w:trPr>
        <w:tc>
          <w:tcPr>
            <w:tcW w:type="dxa" w:w="1417"/>
            <w:vAlign w:val="top"/>
          </w:tcPr>
          <w:p>
            <w:pPr>
              <w:spacing w:after="20"/>
            </w:pPr>
            <w:r/>
            <w:r>
              <w:rPr>
                <w:rFonts w:ascii="Lato" w:hAnsi="Lato"/>
                <w:color w:val="222222"/>
                <w:sz w:val="14"/>
              </w:rPr>
              <w:t>2025</w:t>
            </w:r>
          </w:p>
        </w:tc>
        <w:tc>
          <w:tcPr>
            <w:tcW w:type="dxa" w:w="3912"/>
            <w:vAlign w:val="top"/>
          </w:tcPr>
          <w:p>
            <w:pPr>
              <w:spacing w:after="20"/>
            </w:pPr>
            <w:r/>
            <w:r>
              <w:rPr>
                <w:rFonts w:ascii="Lato" w:hAnsi="Lato"/>
                <w:color w:val="222222"/>
                <w:sz w:val="14"/>
              </w:rPr>
              <w:t>A teaching review addressed overwork, rankings and teaching-hour boundaries. [R01]</w:t>
            </w:r>
          </w:p>
        </w:tc>
        <w:tc>
          <w:tcPr>
            <w:tcW w:type="dxa" w:w="4422"/>
            <w:vAlign w:val="top"/>
          </w:tcPr>
          <w:p>
            <w:pPr>
              <w:spacing w:after="20"/>
            </w:pPr>
            <w:r/>
            <w:r>
              <w:rPr>
                <w:rFonts w:ascii="Lato" w:hAnsi="Lato"/>
                <w:color w:val="222222"/>
                <w:sz w:val="14"/>
              </w:rPr>
              <w:t>Cambridge’s workload culture is not merely student folklore; reform remains in implementation.</w:t>
            </w:r>
          </w:p>
        </w:tc>
      </w:tr>
      <w:tr>
        <w:trPr>
          <w:cantSplit w:val="true"/>
        </w:trPr>
        <w:tc>
          <w:tcPr>
            <w:tcW w:type="dxa" w:w="1417"/>
            <w:vAlign w:val="top"/>
            <w:shd w:fill="F5F7F8" w:val="clear"/>
          </w:tcPr>
          <w:p>
            <w:pPr>
              <w:spacing w:after="20"/>
            </w:pPr>
            <w:r/>
            <w:r>
              <w:rPr>
                <w:rFonts w:ascii="Lato" w:hAnsi="Lato"/>
                <w:color w:val="222222"/>
                <w:sz w:val="14"/>
              </w:rPr>
              <w:t>Present</w:t>
            </w:r>
          </w:p>
        </w:tc>
        <w:tc>
          <w:tcPr>
            <w:tcW w:type="dxa" w:w="3912"/>
            <w:vAlign w:val="top"/>
            <w:shd w:fill="F5F7F8" w:val="clear"/>
          </w:tcPr>
          <w:p>
            <w:pPr>
              <w:spacing w:after="20"/>
            </w:pPr>
            <w:r/>
            <w:r>
              <w:rPr>
                <w:rFonts w:ascii="Lato" w:hAnsi="Lato"/>
                <w:color w:val="222222"/>
                <w:sz w:val="14"/>
              </w:rPr>
              <w:t>Mature applicants may choose mature-only or other undergraduate Colleges.</w:t>
            </w:r>
          </w:p>
        </w:tc>
        <w:tc>
          <w:tcPr>
            <w:tcW w:type="dxa" w:w="4422"/>
            <w:vAlign w:val="top"/>
            <w:shd w:fill="F5F7F8" w:val="clear"/>
          </w:tcPr>
          <w:p>
            <w:pPr>
              <w:spacing w:after="20"/>
            </w:pPr>
            <w:r/>
            <w:r>
              <w:rPr>
                <w:rFonts w:ascii="Lato" w:hAnsi="Lato"/>
                <w:color w:val="222222"/>
                <w:sz w:val="14"/>
              </w:rPr>
              <w:t>Access is broader, while housing, money and culture still differ by College. [U01]</w:t>
            </w:r>
          </w:p>
        </w:tc>
      </w:tr>
    </w:tbl>
    <w:p>
      <w:pPr>
        <w:spacing w:after="20"/>
      </w:pP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Tradition is historical evidence, not proof that a practice is fair, necessary or ancient.</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How does this College’s history shape current access, memorials, gender policy, adult community and financial support?</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Treating all customs as medieval—or treating institutional history as irrelevant to current power and belonging.</w:t>
            </w:r>
          </w:p>
        </w:tc>
      </w:tr>
    </w:tbl>
    <w:p>
      <w:pPr>
        <w:spacing w:after="40"/>
      </w:pPr>
    </w:p>
    <w:p>
      <w:pPr>
        <w:pStyle w:val="Heading1"/>
        <w:keepNext/>
      </w:pPr>
      <w:r>
        <w:t>17. Your first year: a survival timeline</w:t>
      </w:r>
    </w:p>
    <w:p>
      <w:pPr>
        <w:spacing w:after="160"/>
      </w:pPr>
      <w:r>
        <w:rPr>
          <w:i/>
          <w:color w:val="5F6B73"/>
          <w:sz w:val="20"/>
        </w:rPr>
        <w:t>The useful question is not “Am I coping?” but “What needs doing next?”</w:t>
      </w:r>
    </w:p>
    <w:p>
      <w:pPr>
        <w:pStyle w:val="Heading2"/>
        <w:keepNext/>
      </w:pPr>
      <w:r>
        <w:t>2026–27 calendar to put in your phone now</w:t>
      </w:r>
    </w:p>
    <w:tbl>
      <w:tblPr>
        <w:tblW w:type="auto" w:w="0"/>
        <w:jc w:val="center"/>
        <w:tblLayout w:type="fixed"/>
        <w:tblLook w:firstColumn="1" w:firstRow="1" w:lastColumn="0" w:lastRow="0" w:noHBand="0" w:noVBand="1" w:val="04A0"/>
        <w:tblLayout w:type="fixed"/>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Pr>
      <w:tblGrid>
        <w:gridCol w:w="3345"/>
        <w:gridCol w:w="3345"/>
        <w:gridCol w:w="3345"/>
      </w:tblGrid>
      <w:tr>
        <w:trPr>
          <w:tblHeader w:val="true"/>
          <w:cantSplit w:val="true"/>
        </w:trPr>
        <w:tc>
          <w:tcPr>
            <w:tcW w:type="dxa" w:w="1800"/>
            <w:shd w:fill="17324D" w:val="clear"/>
            <w:vAlign w:val="center"/>
          </w:tcPr>
          <w:p>
            <w:pPr>
              <w:spacing w:after="20"/>
              <w:jc w:val="left"/>
            </w:pPr>
            <w:r>
              <w:rPr>
                <w:rFonts w:ascii="Lato" w:hAnsi="Lato"/>
                <w:b/>
                <w:color w:val="FFFFFF"/>
                <w:sz w:val="15"/>
              </w:rPr>
              <w:t>Period</w:t>
            </w:r>
          </w:p>
        </w:tc>
        <w:tc>
          <w:tcPr>
            <w:tcW w:type="dxa" w:w="3650"/>
            <w:shd w:fill="17324D" w:val="clear"/>
            <w:vAlign w:val="center"/>
          </w:tcPr>
          <w:p>
            <w:pPr>
              <w:spacing w:after="20"/>
              <w:jc w:val="left"/>
            </w:pPr>
            <w:r>
              <w:rPr>
                <w:rFonts w:ascii="Lato" w:hAnsi="Lato"/>
                <w:b/>
                <w:color w:val="FFFFFF"/>
                <w:sz w:val="15"/>
              </w:rPr>
              <w:t>Term dates</w:t>
            </w:r>
          </w:p>
        </w:tc>
        <w:tc>
          <w:tcPr>
            <w:tcW w:type="dxa" w:w="4586"/>
            <w:shd w:fill="17324D" w:val="clear"/>
            <w:vAlign w:val="center"/>
          </w:tcPr>
          <w:p>
            <w:pPr>
              <w:spacing w:after="20"/>
              <w:jc w:val="left"/>
            </w:pPr>
            <w:r>
              <w:rPr>
                <w:rFonts w:ascii="Lato" w:hAnsi="Lato"/>
                <w:b/>
                <w:color w:val="FFFFFF"/>
                <w:sz w:val="15"/>
              </w:rPr>
              <w:t>Full Term / practical meaning</w:t>
            </w:r>
          </w:p>
        </w:tc>
      </w:tr>
      <w:tr>
        <w:trPr>
          <w:cantSplit w:val="true"/>
        </w:trPr>
        <w:tc>
          <w:tcPr>
            <w:tcW w:type="dxa" w:w="1800"/>
            <w:vAlign w:val="top"/>
          </w:tcPr>
          <w:p>
            <w:pPr>
              <w:spacing w:after="24" w:line="240" w:lineRule="auto"/>
            </w:pPr>
            <w:r/>
            <w:r>
              <w:rPr>
                <w:rFonts w:ascii="Lato" w:hAnsi="Lato"/>
                <w:color w:val="222222"/>
                <w:sz w:val="15"/>
              </w:rPr>
              <w:t>Michaelmas 2026</w:t>
            </w:r>
          </w:p>
        </w:tc>
        <w:tc>
          <w:tcPr>
            <w:tcW w:type="dxa" w:w="3650"/>
            <w:vAlign w:val="top"/>
          </w:tcPr>
          <w:p>
            <w:pPr>
              <w:spacing w:after="24" w:line="240" w:lineRule="auto"/>
            </w:pPr>
            <w:r/>
            <w:r>
              <w:rPr>
                <w:rFonts w:ascii="Lato" w:hAnsi="Lato"/>
                <w:color w:val="222222"/>
                <w:sz w:val="15"/>
              </w:rPr>
              <w:t>Term: 1 Oct–19 Dec 2026; Full Term: 6 Oct–4 Dec. [U04]</w:t>
            </w:r>
          </w:p>
        </w:tc>
        <w:tc>
          <w:tcPr>
            <w:tcW w:type="dxa" w:w="4586"/>
            <w:vAlign w:val="top"/>
          </w:tcPr>
          <w:p>
            <w:pPr>
              <w:spacing w:after="24" w:line="240" w:lineRule="auto"/>
            </w:pPr>
            <w:r/>
            <w:r>
              <w:rPr>
                <w:rFonts w:ascii="Lato" w:hAnsi="Lato"/>
                <w:color w:val="222222"/>
                <w:sz w:val="15"/>
              </w:rPr>
              <w:t>Arrival and induction happen before/around teaching; verify your College arrival date.</w:t>
            </w:r>
          </w:p>
        </w:tc>
      </w:tr>
      <w:tr>
        <w:trPr>
          <w:cantSplit w:val="true"/>
        </w:trPr>
        <w:tc>
          <w:tcPr>
            <w:tcW w:type="dxa" w:w="1800"/>
            <w:shd w:fill="F5F7F8" w:val="clear"/>
            <w:vAlign w:val="top"/>
          </w:tcPr>
          <w:p>
            <w:pPr>
              <w:spacing w:after="24" w:line="240" w:lineRule="auto"/>
            </w:pPr>
            <w:r/>
            <w:r>
              <w:rPr>
                <w:rFonts w:ascii="Lato" w:hAnsi="Lato"/>
                <w:color w:val="222222"/>
                <w:sz w:val="15"/>
              </w:rPr>
              <w:t>Lent 2027</w:t>
            </w:r>
          </w:p>
        </w:tc>
        <w:tc>
          <w:tcPr>
            <w:tcW w:type="dxa" w:w="3650"/>
            <w:shd w:fill="F5F7F8" w:val="clear"/>
            <w:vAlign w:val="top"/>
          </w:tcPr>
          <w:p>
            <w:pPr>
              <w:spacing w:after="24" w:line="240" w:lineRule="auto"/>
            </w:pPr>
            <w:r/>
            <w:r>
              <w:rPr>
                <w:rFonts w:ascii="Lato" w:hAnsi="Lato"/>
                <w:color w:val="222222"/>
                <w:sz w:val="15"/>
              </w:rPr>
              <w:t>Term: 5 Jan–25 Mar; Full Term: 19 Jan–19 Mar. [U04]</w:t>
            </w:r>
          </w:p>
        </w:tc>
        <w:tc>
          <w:tcPr>
            <w:tcW w:type="dxa" w:w="4586"/>
            <w:shd w:fill="F5F7F8" w:val="clear"/>
            <w:vAlign w:val="top"/>
          </w:tcPr>
          <w:p>
            <w:pPr>
              <w:spacing w:after="24" w:line="240" w:lineRule="auto"/>
            </w:pPr>
            <w:r/>
            <w:r>
              <w:rPr>
                <w:rFonts w:ascii="Lato" w:hAnsi="Lato"/>
                <w:color w:val="222222"/>
                <w:sz w:val="15"/>
              </w:rPr>
              <w:t>Housing ballots, funding review and early exam preparation often appear here.</w:t>
            </w:r>
          </w:p>
        </w:tc>
      </w:tr>
      <w:tr>
        <w:trPr>
          <w:cantSplit w:val="true"/>
        </w:trPr>
        <w:tc>
          <w:tcPr>
            <w:tcW w:type="dxa" w:w="1800"/>
            <w:vAlign w:val="top"/>
          </w:tcPr>
          <w:p>
            <w:pPr>
              <w:spacing w:after="24" w:line="240" w:lineRule="auto"/>
            </w:pPr>
            <w:r/>
            <w:r>
              <w:rPr>
                <w:rFonts w:ascii="Lato" w:hAnsi="Lato"/>
                <w:color w:val="222222"/>
                <w:sz w:val="15"/>
              </w:rPr>
              <w:t>Easter 2027</w:t>
            </w:r>
          </w:p>
        </w:tc>
        <w:tc>
          <w:tcPr>
            <w:tcW w:type="dxa" w:w="3650"/>
            <w:vAlign w:val="top"/>
          </w:tcPr>
          <w:p>
            <w:pPr>
              <w:spacing w:after="24" w:line="240" w:lineRule="auto"/>
            </w:pPr>
            <w:r/>
            <w:r>
              <w:rPr>
                <w:rFonts w:ascii="Lato" w:hAnsi="Lato"/>
                <w:color w:val="222222"/>
                <w:sz w:val="15"/>
              </w:rPr>
              <w:t>Term: 17 Apr–25 Jun; Full Term: 27 Apr–18 Jun. [U04]</w:t>
            </w:r>
          </w:p>
        </w:tc>
        <w:tc>
          <w:tcPr>
            <w:tcW w:type="dxa" w:w="4586"/>
            <w:vAlign w:val="top"/>
          </w:tcPr>
          <w:p>
            <w:pPr>
              <w:spacing w:after="24" w:line="240" w:lineRule="auto"/>
            </w:pPr>
            <w:r/>
            <w:r>
              <w:rPr>
                <w:rFonts w:ascii="Lato" w:hAnsi="Lato"/>
                <w:color w:val="222222"/>
                <w:sz w:val="15"/>
              </w:rPr>
              <w:t>Revision, exams, results and May Week; subject exam dates are separate.</w:t>
            </w:r>
          </w:p>
        </w:tc>
      </w:tr>
    </w:tbl>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17324D" w:val="clear"/>
          </w:tcPr>
          <w:p/>
        </w:tc>
        <w:tc>
          <w:tcPr>
            <w:tcW w:type="dxa" w:w="9877"/>
            <w:tcMar>
              <w:top w:w="80" w:type="dxa"/>
              <w:start w:w="100" w:type="dxa"/>
              <w:bottom w:w="80" w:type="dxa"/>
              <w:end w:w="100" w:type="dxa"/>
            </w:tcMar>
            <w:shd w:fill="EEF3F8" w:val="clear"/>
            <w:vAlign w:val="center"/>
          </w:tcPr>
          <w:p>
            <w:pPr>
              <w:spacing w:after="0"/>
            </w:pPr>
            <w:r>
              <w:rPr>
                <w:rFonts w:ascii="Lato" w:hAnsi="Lato"/>
                <w:b/>
                <w:color w:val="17324D"/>
                <w:sz w:val="16"/>
              </w:rPr>
              <w:t>A DATE IS NOT AN ARRIVAL INSTRUCTION</w:t>
            </w:r>
            <w:r>
              <w:rPr>
                <w:rFonts w:ascii="Lato" w:hAnsi="Lato"/>
                <w:color w:val="222222"/>
                <w:sz w:val="16"/>
              </w:rPr>
              <w:br/>
              <w:t>The University term page explicitly tells new students to follow their College, Faculty or Department information about when to arrive. Do not book a non-refundable journey from the Full Term table alone. [U04]</w:t>
            </w:r>
          </w:p>
        </w:tc>
      </w:tr>
    </w:tbl>
    <w:p>
      <w:pPr>
        <w:pStyle w:val="Heading2"/>
        <w:keepNext/>
      </w:pPr>
      <w:r>
        <w:t>A. After receiving an offer</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807"/>
        <w:gridCol w:w="2346"/>
        <w:gridCol w:w="2346"/>
        <w:gridCol w:w="2538"/>
      </w:tblGrid>
      <w:tr>
        <w:trPr>
          <w:tblHeader w:val="true"/>
          <w:cantSplit w:val="true"/>
        </w:trPr>
        <w:tc>
          <w:tcPr>
            <w:tcW w:type="dxa" w:w="2807"/>
            <w:shd w:fill="17324D"/>
            <w:tcMar>
              <w:top w:w="70" w:type="dxa"/>
              <w:start w:w="80" w:type="dxa"/>
              <w:bottom w:w="70" w:type="dxa"/>
              <w:end w:w="80" w:type="dxa"/>
            </w:tcMar>
            <w:vAlign w:val="center"/>
          </w:tcPr>
          <w:p>
            <w:pPr>
              <w:pStyle w:val="TableSmall"/>
              <w:jc w:val="left"/>
            </w:pPr>
            <w:r>
              <w:rPr>
                <w:b/>
                <w:color w:val="FFFFFF"/>
                <w:sz w:val="13"/>
              </w:rPr>
              <w:t>Essential actions</w:t>
            </w:r>
          </w:p>
        </w:tc>
        <w:tc>
          <w:tcPr>
            <w:tcW w:type="dxa" w:w="2345"/>
            <w:shd w:fill="17324D"/>
            <w:tcMar>
              <w:top w:w="70" w:type="dxa"/>
              <w:start w:w="80" w:type="dxa"/>
              <w:bottom w:w="70" w:type="dxa"/>
              <w:end w:w="80" w:type="dxa"/>
            </w:tcMar>
            <w:vAlign w:val="center"/>
          </w:tcPr>
          <w:p>
            <w:pPr>
              <w:pStyle w:val="TableSmall"/>
              <w:jc w:val="left"/>
            </w:pPr>
            <w:r>
              <w:rPr>
                <w:b/>
                <w:color w:val="FFFFFF"/>
                <w:sz w:val="13"/>
              </w:rPr>
              <w:t>Optional / useful</w:t>
            </w:r>
          </w:p>
        </w:tc>
        <w:tc>
          <w:tcPr>
            <w:tcW w:type="dxa" w:w="2345"/>
            <w:shd w:fill="17324D"/>
            <w:tcMar>
              <w:top w:w="70" w:type="dxa"/>
              <w:start w:w="80" w:type="dxa"/>
              <w:bottom w:w="70" w:type="dxa"/>
              <w:end w:w="80" w:type="dxa"/>
            </w:tcMar>
            <w:vAlign w:val="center"/>
          </w:tcPr>
          <w:p>
            <w:pPr>
              <w:pStyle w:val="TableSmall"/>
              <w:jc w:val="left"/>
            </w:pPr>
            <w:r>
              <w:rPr>
                <w:b/>
                <w:color w:val="FFFFFF"/>
                <w:sz w:val="13"/>
              </w:rPr>
              <w:t>Common mistake</w:t>
            </w:r>
          </w:p>
        </w:tc>
        <w:tc>
          <w:tcPr>
            <w:tcW w:type="dxa" w:w="2538"/>
            <w:shd w:fill="17324D"/>
            <w:tcMar>
              <w:top w:w="70" w:type="dxa"/>
              <w:start w:w="80" w:type="dxa"/>
              <w:bottom w:w="70" w:type="dxa"/>
              <w:end w:w="80" w:type="dxa"/>
            </w:tcMar>
            <w:vAlign w:val="center"/>
          </w:tcPr>
          <w:p>
            <w:pPr>
              <w:pStyle w:val="TableSmall"/>
              <w:jc w:val="left"/>
            </w:pPr>
            <w:r>
              <w:rPr>
                <w:b/>
                <w:color w:val="FFFFFF"/>
                <w:sz w:val="13"/>
              </w:rPr>
              <w:t>Warning sign and contact</w:t>
            </w:r>
          </w:p>
        </w:tc>
      </w:tr>
      <w:tr>
        <w:trPr>
          <w:cantSplit w:val="true"/>
        </w:trPr>
        <w:tc>
          <w:tcPr>
            <w:tcW w:type="dxa" w:w="2807"/>
            <w:tcMar>
              <w:top w:w="55" w:type="dxa"/>
              <w:start w:w="70" w:type="dxa"/>
              <w:bottom w:w="55" w:type="dxa"/>
              <w:end w:w="70" w:type="dxa"/>
            </w:tcMar>
            <w:vAlign w:val="top"/>
          </w:tcPr>
          <w:p>
            <w:pPr>
              <w:pStyle w:val="TableSmall"/>
            </w:pPr>
            <w:r>
              <w:rPr>
                <w:sz w:val="13"/>
              </w:rPr>
              <w:t>Read every condition; confirm qualification, English, finance and document deadlines. Model twelve-month cash flow. Ask the College for accommodation licence, family and vacation rules. Contact ADRC and childcare early.</w:t>
            </w:r>
          </w:p>
        </w:tc>
        <w:tc>
          <w:tcPr>
            <w:tcW w:type="dxa" w:w="2345"/>
            <w:tcMar>
              <w:top w:w="55" w:type="dxa"/>
              <w:start w:w="70" w:type="dxa"/>
              <w:bottom w:w="55" w:type="dxa"/>
              <w:end w:w="70" w:type="dxa"/>
            </w:tcMar>
            <w:vAlign w:val="top"/>
          </w:tcPr>
          <w:p>
            <w:pPr>
              <w:pStyle w:val="TableSmall"/>
            </w:pPr>
            <w:r>
              <w:rPr>
                <w:sz w:val="13"/>
              </w:rPr>
              <w:t>Visit at a normal weekday; test routes; meet a mature-student representative; join one offer-holder group without treating it as official.</w:t>
            </w:r>
          </w:p>
        </w:tc>
        <w:tc>
          <w:tcPr>
            <w:tcW w:type="dxa" w:w="2345"/>
            <w:tcMar>
              <w:top w:w="55" w:type="dxa"/>
              <w:start w:w="70" w:type="dxa"/>
              <w:bottom w:w="55" w:type="dxa"/>
              <w:end w:w="70" w:type="dxa"/>
            </w:tcMar>
            <w:vAlign w:val="top"/>
          </w:tcPr>
          <w:p>
            <w:pPr>
              <w:pStyle w:val="TableSmall"/>
            </w:pPr>
            <w:r>
              <w:rPr>
                <w:sz w:val="13"/>
              </w:rPr>
              <w:t>Celebrating the offer as if logistics are solved, or resigning before finance/visa/conditions are secure.</w:t>
            </w:r>
          </w:p>
        </w:tc>
        <w:tc>
          <w:tcPr>
            <w:tcW w:type="dxa" w:w="2538"/>
            <w:tcMar>
              <w:top w:w="55" w:type="dxa"/>
              <w:start w:w="70" w:type="dxa"/>
              <w:bottom w:w="55" w:type="dxa"/>
              <w:end w:w="70" w:type="dxa"/>
            </w:tcMar>
            <w:vAlign w:val="top"/>
          </w:tcPr>
          <w:p>
            <w:pPr>
              <w:pStyle w:val="TableSmall"/>
            </w:pPr>
            <w:r>
              <w:rPr>
                <w:sz w:val="13"/>
              </w:rPr>
              <w:t>Unclear fee status, no housing after summer, no childcare application, missing disability evidence: contact admissions, accommodation, ADRC/Childcare Services now.</w:t>
            </w:r>
          </w:p>
        </w:tc>
      </w:tr>
    </w:tbl>
    <w:p>
      <w:pPr>
        <w:spacing w:after="20"/>
      </w:pPr>
    </w:p>
    <w:p>
      <w:pPr>
        <w:pStyle w:val="ListBullet"/>
        <w:spacing w:after="30" w:line="247" w:lineRule="auto"/>
        <w:ind w:left="312" w:hanging="142"/>
      </w:pPr>
      <w:r>
        <w:t>Create one folder for offer letters, finance, accommodation, disability evidence, passport/visa, qualifications and important emails.</w:t>
      </w:r>
    </w:p>
    <w:p>
      <w:pPr>
        <w:pStyle w:val="ListBullet"/>
        <w:spacing w:after="30" w:line="247" w:lineRule="auto"/>
        <w:ind w:left="312" w:hanging="142"/>
      </w:pPr>
      <w:r>
        <w:t>Ask admissions which conditions must arrive from you and which are sent by the awarding body.</w:t>
      </w:r>
    </w:p>
    <w:p>
      <w:pPr>
        <w:pStyle w:val="ListBullet"/>
        <w:spacing w:after="30" w:line="247" w:lineRule="auto"/>
        <w:ind w:left="312" w:hanging="142"/>
      </w:pPr>
      <w:r>
        <w:t>If estranged, care-experienced or without a UK guarantor, raise that early with finance and accommodation; do not wait for a generic form to ask.</w:t>
      </w:r>
    </w:p>
    <w:p>
      <w:pPr>
        <w:pStyle w:val="ListBullet"/>
        <w:spacing w:after="30" w:line="247" w:lineRule="auto"/>
        <w:ind w:left="312" w:hanging="142"/>
      </w:pPr>
      <w:r>
        <w:t>If bringing a family, build the school/nursery application and housing decisions together.</w:t>
      </w:r>
    </w:p>
    <w:p>
      <w:pPr>
        <w:pStyle w:val="Heading2"/>
        <w:keepNext/>
      </w:pPr>
      <w:r>
        <w:t>B. The month before arrival</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4762"/>
        <w:gridCol w:w="4989"/>
      </w:tblGrid>
      <w:tr>
        <w:trPr>
          <w:tblHeader w:val="true"/>
          <w:cantSplit w:val="true"/>
        </w:trPr>
        <w:tc>
          <w:tcPr>
            <w:tcW w:type="dxa" w:w="4762"/>
            <w:shd w:fill="17324D"/>
            <w:tcMar>
              <w:top w:w="70" w:type="dxa"/>
              <w:start w:w="80" w:type="dxa"/>
              <w:bottom w:w="70" w:type="dxa"/>
              <w:end w:w="80" w:type="dxa"/>
            </w:tcMar>
            <w:vAlign w:val="center"/>
          </w:tcPr>
          <w:p>
            <w:pPr>
              <w:pStyle w:val="TableText"/>
              <w:jc w:val="left"/>
            </w:pPr>
            <w:r>
              <w:rPr>
                <w:b/>
                <w:color w:val="FFFFFF"/>
                <w:sz w:val="15"/>
              </w:rPr>
              <w:t>Do</w:t>
            </w:r>
          </w:p>
        </w:tc>
        <w:tc>
          <w:tcPr>
            <w:tcW w:type="dxa" w:w="4989"/>
            <w:shd w:fill="17324D"/>
            <w:tcMar>
              <w:top w:w="70" w:type="dxa"/>
              <w:start w:w="80" w:type="dxa"/>
              <w:bottom w:w="70" w:type="dxa"/>
              <w:end w:w="80" w:type="dxa"/>
            </w:tcMar>
            <w:vAlign w:val="center"/>
          </w:tcPr>
          <w:p>
            <w:pPr>
              <w:pStyle w:val="TableText"/>
              <w:jc w:val="left"/>
            </w:pPr>
            <w:r>
              <w:rPr>
                <w:b/>
                <w:color w:val="FFFFFF"/>
                <w:sz w:val="15"/>
              </w:rPr>
              <w:t>Do not</w:t>
            </w:r>
          </w:p>
        </w:tc>
      </w:tr>
      <w:tr>
        <w:trPr>
          <w:cantSplit w:val="true"/>
        </w:trPr>
        <w:tc>
          <w:tcPr>
            <w:tcW w:type="dxa" w:w="4762"/>
            <w:tcMar>
              <w:top w:w="55" w:type="dxa"/>
              <w:start w:w="70" w:type="dxa"/>
              <w:bottom w:w="55" w:type="dxa"/>
              <w:end w:w="70" w:type="dxa"/>
            </w:tcMar>
            <w:vAlign w:val="top"/>
          </w:tcPr>
          <w:p>
            <w:pPr>
              <w:pStyle w:val="TableText"/>
            </w:pPr>
            <w:r>
              <w:t>Set up a budget with exact bill dates; keep an arrival reserve.</w:t>
            </w:r>
          </w:p>
        </w:tc>
        <w:tc>
          <w:tcPr>
            <w:tcW w:type="dxa" w:w="4989"/>
            <w:tcMar>
              <w:top w:w="55" w:type="dxa"/>
              <w:start w:w="70" w:type="dxa"/>
              <w:bottom w:w="55" w:type="dxa"/>
              <w:end w:w="70" w:type="dxa"/>
            </w:tcMar>
            <w:vAlign w:val="top"/>
          </w:tcPr>
          <w:p>
            <w:pPr>
              <w:pStyle w:val="TableText"/>
            </w:pPr>
            <w:r>
              <w:t>Spend the reserve on gowns, stash or a bicycle before seeing what is actually needed.</w:t>
            </w:r>
          </w:p>
        </w:tc>
      </w:tr>
      <w:tr>
        <w:trPr>
          <w:cantSplit w:val="true"/>
        </w:trPr>
        <w:tc>
          <w:tcPr>
            <w:tcW w:type="dxa" w:w="4762"/>
            <w:shd w:fill="F5F7F8"/>
            <w:tcMar>
              <w:top w:w="55" w:type="dxa"/>
              <w:start w:w="70" w:type="dxa"/>
              <w:bottom w:w="55" w:type="dxa"/>
              <w:end w:w="70" w:type="dxa"/>
            </w:tcMar>
            <w:vAlign w:val="top"/>
          </w:tcPr>
          <w:p>
            <w:pPr>
              <w:pStyle w:val="TableText"/>
            </w:pPr>
            <w:r>
              <w:t>Practise Raven/email/calendar/file backup when credentials arrive.</w:t>
            </w:r>
          </w:p>
        </w:tc>
        <w:tc>
          <w:tcPr>
            <w:tcW w:type="dxa" w:w="4989"/>
            <w:shd w:fill="F5F7F8"/>
            <w:tcMar>
              <w:top w:w="55" w:type="dxa"/>
              <w:start w:w="70" w:type="dxa"/>
              <w:bottom w:w="55" w:type="dxa"/>
              <w:end w:w="70" w:type="dxa"/>
            </w:tcMar>
            <w:vAlign w:val="top"/>
          </w:tcPr>
          <w:p>
            <w:pPr>
              <w:pStyle w:val="TableText"/>
            </w:pPr>
            <w:r>
              <w:t>Forward confidential University mail to an insecure shared account.</w:t>
            </w:r>
          </w:p>
        </w:tc>
      </w:tr>
      <w:tr>
        <w:trPr>
          <w:cantSplit w:val="true"/>
        </w:trPr>
        <w:tc>
          <w:tcPr>
            <w:tcW w:type="dxa" w:w="4762"/>
            <w:tcMar>
              <w:top w:w="55" w:type="dxa"/>
              <w:start w:w="70" w:type="dxa"/>
              <w:bottom w:w="55" w:type="dxa"/>
              <w:end w:w="70" w:type="dxa"/>
            </w:tcMar>
            <w:vAlign w:val="top"/>
          </w:tcPr>
          <w:p>
            <w:pPr>
              <w:pStyle w:val="TableText"/>
            </w:pPr>
            <w:r>
              <w:t>Read the course handbook and one introductory item; refresh prerequisites.</w:t>
            </w:r>
          </w:p>
        </w:tc>
        <w:tc>
          <w:tcPr>
            <w:tcW w:type="dxa" w:w="4989"/>
            <w:tcMar>
              <w:top w:w="55" w:type="dxa"/>
              <w:start w:w="70" w:type="dxa"/>
              <w:bottom w:w="55" w:type="dxa"/>
              <w:end w:w="70" w:type="dxa"/>
            </w:tcMar>
            <w:vAlign w:val="top"/>
          </w:tcPr>
          <w:p>
            <w:pPr>
              <w:pStyle w:val="TableText"/>
            </w:pPr>
            <w:r>
              <w:t>Attempt the entire reading list or arrive exhausted from “getting ahead”.</w:t>
            </w:r>
          </w:p>
        </w:tc>
      </w:tr>
      <w:tr>
        <w:trPr>
          <w:cantSplit w:val="true"/>
        </w:trPr>
        <w:tc>
          <w:tcPr>
            <w:tcW w:type="dxa" w:w="4762"/>
            <w:shd w:fill="F5F7F8"/>
            <w:tcMar>
              <w:top w:w="55" w:type="dxa"/>
              <w:start w:w="70" w:type="dxa"/>
              <w:bottom w:w="55" w:type="dxa"/>
              <w:end w:w="70" w:type="dxa"/>
            </w:tcMar>
            <w:vAlign w:val="top"/>
          </w:tcPr>
          <w:p>
            <w:pPr>
              <w:pStyle w:val="TableText"/>
            </w:pPr>
            <w:r>
              <w:t>Register or prepare to register with a GP; move prescriptions and medical letters.</w:t>
            </w:r>
          </w:p>
        </w:tc>
        <w:tc>
          <w:tcPr>
            <w:tcW w:type="dxa" w:w="4989"/>
            <w:shd w:fill="F5F7F8"/>
            <w:tcMar>
              <w:top w:w="55" w:type="dxa"/>
              <w:start w:w="70" w:type="dxa"/>
              <w:bottom w:w="55" w:type="dxa"/>
              <w:end w:w="70" w:type="dxa"/>
            </w:tcMar>
            <w:vAlign w:val="top"/>
          </w:tcPr>
          <w:p>
            <w:pPr>
              <w:pStyle w:val="TableText"/>
            </w:pPr>
            <w:r>
              <w:t>Assume a home GP can manage urgent Cambridge care remotely.</w:t>
            </w:r>
          </w:p>
        </w:tc>
      </w:tr>
      <w:tr>
        <w:trPr>
          <w:cantSplit w:val="true"/>
        </w:trPr>
        <w:tc>
          <w:tcPr>
            <w:tcW w:type="dxa" w:w="4762"/>
            <w:tcMar>
              <w:top w:w="55" w:type="dxa"/>
              <w:start w:w="70" w:type="dxa"/>
              <w:bottom w:w="55" w:type="dxa"/>
              <w:end w:w="70" w:type="dxa"/>
            </w:tcMar>
            <w:vAlign w:val="top"/>
          </w:tcPr>
          <w:p>
            <w:pPr>
              <w:pStyle w:val="TableText"/>
            </w:pPr>
            <w:r>
              <w:t>Confirm move-in time, parking, key collection, bedding, kitchen equipment and accessibility.</w:t>
            </w:r>
          </w:p>
        </w:tc>
        <w:tc>
          <w:tcPr>
            <w:tcW w:type="dxa" w:w="4989"/>
            <w:tcMar>
              <w:top w:w="55" w:type="dxa"/>
              <w:start w:w="70" w:type="dxa"/>
              <w:bottom w:w="55" w:type="dxa"/>
              <w:end w:w="70" w:type="dxa"/>
            </w:tcMar>
            <w:vAlign w:val="top"/>
          </w:tcPr>
          <w:p>
            <w:pPr>
              <w:pStyle w:val="TableText"/>
            </w:pPr>
            <w:r>
              <w:t>Arrive with a van at a gate that does not admit vehicles.</w:t>
            </w:r>
          </w:p>
        </w:tc>
      </w:tr>
      <w:tr>
        <w:trPr>
          <w:cantSplit w:val="true"/>
        </w:trPr>
        <w:tc>
          <w:tcPr>
            <w:tcW w:type="dxa" w:w="4762"/>
            <w:shd w:fill="F5F7F8"/>
            <w:tcMar>
              <w:top w:w="55" w:type="dxa"/>
              <w:start w:w="70" w:type="dxa"/>
              <w:bottom w:w="55" w:type="dxa"/>
              <w:end w:w="70" w:type="dxa"/>
            </w:tcMar>
            <w:vAlign w:val="top"/>
          </w:tcPr>
          <w:p>
            <w:pPr>
              <w:pStyle w:val="TableText"/>
            </w:pPr>
            <w:r>
              <w:t>Agree family contact and childcare backup during Week 1.</w:t>
            </w:r>
          </w:p>
        </w:tc>
        <w:tc>
          <w:tcPr>
            <w:tcW w:type="dxa" w:w="4989"/>
            <w:shd w:fill="F5F7F8"/>
            <w:tcMar>
              <w:top w:w="55" w:type="dxa"/>
              <w:start w:w="70" w:type="dxa"/>
              <w:bottom w:w="55" w:type="dxa"/>
              <w:end w:w="70" w:type="dxa"/>
            </w:tcMar>
            <w:vAlign w:val="top"/>
          </w:tcPr>
          <w:p>
            <w:pPr>
              <w:pStyle w:val="TableText"/>
            </w:pPr>
            <w:r>
              <w:t>Promise relatives that the first week will be a holiday visit.</w:t>
            </w:r>
          </w:p>
        </w:tc>
      </w:tr>
      <w:tr>
        <w:trPr>
          <w:cantSplit w:val="true"/>
        </w:trPr>
        <w:tc>
          <w:tcPr>
            <w:tcW w:type="dxa" w:w="4762"/>
            <w:tcMar>
              <w:top w:w="55" w:type="dxa"/>
              <w:start w:w="70" w:type="dxa"/>
              <w:bottom w:w="55" w:type="dxa"/>
              <w:end w:w="70" w:type="dxa"/>
            </w:tcMar>
            <w:vAlign w:val="top"/>
          </w:tcPr>
          <w:p>
            <w:pPr>
              <w:pStyle w:val="TableText"/>
            </w:pPr>
            <w:r>
              <w:t>Pack formal clothing you already own and comfortable everyday layers.</w:t>
            </w:r>
          </w:p>
        </w:tc>
        <w:tc>
          <w:tcPr>
            <w:tcW w:type="dxa" w:w="4989"/>
            <w:tcMar>
              <w:top w:w="55" w:type="dxa"/>
              <w:start w:w="70" w:type="dxa"/>
              <w:bottom w:w="55" w:type="dxa"/>
              <w:end w:w="70" w:type="dxa"/>
            </w:tcMar>
            <w:vAlign w:val="top"/>
          </w:tcPr>
          <w:p>
            <w:pPr>
              <w:pStyle w:val="TableText"/>
            </w:pPr>
            <w:r>
              <w:t>Buy white tie or a Ball outfit speculatively.</w:t>
            </w:r>
          </w:p>
        </w:tc>
      </w:tr>
    </w:tbl>
    <w:p>
      <w:pPr>
        <w:spacing w:after="20"/>
      </w:pPr>
    </w:p>
    <w:p>
      <w:pPr>
        <w:pStyle w:val="Heading2"/>
        <w:keepNext/>
      </w:pPr>
      <w:r>
        <w:t>C. Arrival day and the first 72 hours</w:t>
      </w:r>
    </w:p>
    <w:p>
      <w:pPr>
        <w:spacing w:after="40"/>
        <w:ind w:left="351" w:hanging="272"/>
      </w:pPr>
      <w:r>
        <w:rPr>
          <w:b/>
        </w:rPr>
        <w:t xml:space="preserve">1.  </w:t>
      </w:r>
      <w:r>
        <w:t>Collect keys and ask the Porters’ Lodge how to reach them at night, report a security issue and receive urgent deliveries.</w:t>
      </w:r>
    </w:p>
    <w:p>
      <w:pPr>
        <w:spacing w:after="40"/>
        <w:ind w:left="351" w:hanging="272"/>
      </w:pPr>
      <w:r>
        <w:rPr>
          <w:b/>
        </w:rPr>
        <w:t xml:space="preserve">2.  </w:t>
      </w:r>
      <w:r>
        <w:t>Photograph the room, inventory and any damage. Test lock, heating, hot water, window, alarms, internet, lift and accessible route.</w:t>
      </w:r>
    </w:p>
    <w:p>
      <w:pPr>
        <w:spacing w:after="40"/>
        <w:ind w:left="351" w:hanging="272"/>
      </w:pPr>
      <w:r>
        <w:rPr>
          <w:b/>
        </w:rPr>
        <w:t xml:space="preserve">3.  </w:t>
      </w:r>
      <w:r>
        <w:t>Find food for the first two days before attending optional events. Locate kitchen, drinking water, laundry and pharmacy.</w:t>
      </w:r>
    </w:p>
    <w:p>
      <w:pPr>
        <w:spacing w:after="40"/>
        <w:ind w:left="351" w:hanging="272"/>
      </w:pPr>
      <w:r>
        <w:rPr>
          <w:b/>
        </w:rPr>
        <w:t xml:space="preserve">4.  </w:t>
      </w:r>
      <w:r>
        <w:t>Complete registration, University card and immigration/right-to-study steps by their deadlines.</w:t>
      </w:r>
    </w:p>
    <w:p>
      <w:pPr>
        <w:spacing w:after="40"/>
        <w:ind w:left="351" w:hanging="272"/>
      </w:pPr>
      <w:r>
        <w:rPr>
          <w:b/>
        </w:rPr>
        <w:t xml:space="preserve">5.  </w:t>
      </w:r>
      <w:r>
        <w:t>Meet or schedule the Tutor and DoS. Put names, office hours and emergency numbers in your phone.</w:t>
      </w:r>
    </w:p>
    <w:p>
      <w:pPr>
        <w:spacing w:after="40"/>
        <w:ind w:left="351" w:hanging="272"/>
      </w:pPr>
      <w:r>
        <w:rPr>
          <w:b/>
        </w:rPr>
        <w:t xml:space="preserve">6.  </w:t>
      </w:r>
      <w:r>
        <w:t>Walk the route to the first lecture/lab at the time you will travel. Identify a quiet study place and a toilet you can use.</w:t>
      </w:r>
    </w:p>
    <w:p>
      <w:pPr>
        <w:spacing w:after="40"/>
        <w:ind w:left="351" w:hanging="272"/>
      </w:pPr>
      <w:r>
        <w:rPr>
          <w:b/>
        </w:rPr>
        <w:t xml:space="preserve">7.  </w:t>
      </w:r>
      <w:r>
        <w:t>Message the person who needs to know you arrived safely. Then sleep.</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ARRIVAL-DAY PRIORITY</w:t>
            </w:r>
          </w:p>
          <w:p>
            <w:pPr>
              <w:spacing w:after="0"/>
            </w:pPr>
            <w:r>
              <w:t>Keys, safety, food, medication, internet and tomorrow’s location come before decorating the room or attending every social event.</w:t>
            </w:r>
          </w:p>
        </w:tc>
      </w:tr>
    </w:tbl>
    <w:p>
      <w:pPr>
        <w:spacing w:after="20"/>
      </w:pPr>
    </w:p>
    <w:p>
      <w:pPr>
        <w:pStyle w:val="Heading2"/>
        <w:keepNext/>
      </w:pPr>
      <w:r>
        <w:t>D. Freshers’ period</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4917"/>
        <w:gridCol w:w="5119"/>
      </w:tblGrid>
      <w:tr>
        <w:trPr>
          <w:tblHeader w:val="true"/>
          <w:cantSplit w:val="true"/>
        </w:trPr>
        <w:tc>
          <w:tcPr>
            <w:tcW w:type="dxa" w:w="4917"/>
            <w:shd w:fill="17324D"/>
            <w:tcMar>
              <w:top w:w="70" w:type="dxa"/>
              <w:start w:w="80" w:type="dxa"/>
              <w:bottom w:w="70" w:type="dxa"/>
              <w:end w:w="80" w:type="dxa"/>
            </w:tcMar>
            <w:vAlign w:val="center"/>
          </w:tcPr>
          <w:p>
            <w:pPr>
              <w:pStyle w:val="TableText"/>
              <w:jc w:val="left"/>
            </w:pPr>
            <w:r>
              <w:rPr>
                <w:b/>
                <w:color w:val="FFFFFF"/>
                <w:sz w:val="15"/>
              </w:rPr>
              <w:t>Usually essential</w:t>
            </w:r>
          </w:p>
        </w:tc>
        <w:tc>
          <w:tcPr>
            <w:tcW w:type="dxa" w:w="5119"/>
            <w:shd w:fill="17324D"/>
            <w:tcMar>
              <w:top w:w="70" w:type="dxa"/>
              <w:start w:w="80" w:type="dxa"/>
              <w:bottom w:w="70" w:type="dxa"/>
              <w:end w:w="80" w:type="dxa"/>
            </w:tcMar>
            <w:vAlign w:val="center"/>
          </w:tcPr>
          <w:p>
            <w:pPr>
              <w:pStyle w:val="TableText"/>
              <w:jc w:val="left"/>
            </w:pPr>
            <w:r>
              <w:rPr>
                <w:b/>
                <w:color w:val="FFFFFF"/>
                <w:sz w:val="15"/>
              </w:rPr>
              <w:t>Usually optional</w:t>
            </w:r>
          </w:p>
        </w:tc>
      </w:tr>
      <w:tr>
        <w:trPr>
          <w:cantSplit w:val="true"/>
        </w:trPr>
        <w:tc>
          <w:tcPr>
            <w:tcW w:type="dxa" w:w="4917"/>
            <w:tcMar>
              <w:top w:w="55" w:type="dxa"/>
              <w:start w:w="70" w:type="dxa"/>
              <w:bottom w:w="55" w:type="dxa"/>
              <w:end w:w="70" w:type="dxa"/>
            </w:tcMar>
            <w:vAlign w:val="top"/>
          </w:tcPr>
          <w:p>
            <w:pPr>
              <w:pStyle w:val="TableText"/>
            </w:pPr>
            <w:r>
              <w:t>Course/Faculty induction; College registration; Tutor and DoS meetings; library and IT access; safety/consent information; visa attendance; disability implementation.</w:t>
            </w:r>
          </w:p>
        </w:tc>
        <w:tc>
          <w:tcPr>
            <w:tcW w:type="dxa" w:w="5119"/>
            <w:tcMar>
              <w:top w:w="55" w:type="dxa"/>
              <w:start w:w="70" w:type="dxa"/>
              <w:bottom w:w="55" w:type="dxa"/>
              <w:end w:w="70" w:type="dxa"/>
            </w:tcMar>
            <w:vAlign w:val="top"/>
          </w:tcPr>
          <w:p>
            <w:pPr>
              <w:pStyle w:val="TableText"/>
            </w:pPr>
            <w:r>
              <w:t>Most club nights; repeated commercial fairs; every welcome meal; buying society membership before trying it; drinking games; formal-photo extras.</w:t>
            </w:r>
          </w:p>
        </w:tc>
      </w:tr>
    </w:tbl>
    <w:p>
      <w:pPr>
        <w:spacing w:after="20"/>
      </w:pPr>
    </w:p>
    <w:p>
      <w:r>
        <w:t>Choose one evening event, one daytime event and one practical task each day. Mature students often overcorrect in opposite directions: attend nothing because it looks young, or attend everything to prove openness. Both remove recovery time. Ask a mature representative which event actually helps people meet rather than merely queue.</w:t>
      </w:r>
    </w:p>
    <w:p>
      <w:pPr>
        <w:pStyle w:val="Heading2"/>
        <w:keepNext/>
      </w:pPr>
      <w:r>
        <w:t>E. Michaelmas Term</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905"/>
        <w:gridCol w:w="2879"/>
        <w:gridCol w:w="2879"/>
        <w:gridCol w:w="3373"/>
      </w:tblGrid>
      <w:tr>
        <w:trPr>
          <w:tblHeader w:val="true"/>
          <w:cantSplit w:val="true"/>
        </w:trPr>
        <w:tc>
          <w:tcPr>
            <w:tcW w:type="dxa" w:w="904"/>
            <w:shd w:fill="17324D"/>
            <w:tcMar>
              <w:top w:w="70" w:type="dxa"/>
              <w:start w:w="80" w:type="dxa"/>
              <w:bottom w:w="70" w:type="dxa"/>
              <w:end w:w="80" w:type="dxa"/>
            </w:tcMar>
            <w:vAlign w:val="center"/>
          </w:tcPr>
          <w:p>
            <w:pPr>
              <w:pStyle w:val="TableSmall"/>
              <w:jc w:val="left"/>
            </w:pPr>
            <w:r>
              <w:rPr>
                <w:b/>
                <w:color w:val="FFFFFF"/>
                <w:sz w:val="13"/>
              </w:rPr>
              <w:t>Weeks</w:t>
            </w:r>
          </w:p>
        </w:tc>
        <w:tc>
          <w:tcPr>
            <w:tcW w:type="dxa" w:w="2879"/>
            <w:shd w:fill="17324D"/>
            <w:tcMar>
              <w:top w:w="70" w:type="dxa"/>
              <w:start w:w="80" w:type="dxa"/>
              <w:bottom w:w="70" w:type="dxa"/>
              <w:end w:w="80" w:type="dxa"/>
            </w:tcMar>
            <w:vAlign w:val="center"/>
          </w:tcPr>
          <w:p>
            <w:pPr>
              <w:pStyle w:val="TableSmall"/>
              <w:jc w:val="left"/>
            </w:pPr>
            <w:r>
              <w:rPr>
                <w:b/>
                <w:color w:val="FFFFFF"/>
                <w:sz w:val="13"/>
              </w:rPr>
              <w:t>Essential action</w:t>
            </w:r>
          </w:p>
        </w:tc>
        <w:tc>
          <w:tcPr>
            <w:tcW w:type="dxa" w:w="2879"/>
            <w:shd w:fill="17324D"/>
            <w:tcMar>
              <w:top w:w="70" w:type="dxa"/>
              <w:start w:w="80" w:type="dxa"/>
              <w:bottom w:w="70" w:type="dxa"/>
              <w:end w:w="80" w:type="dxa"/>
            </w:tcMar>
            <w:vAlign w:val="center"/>
          </w:tcPr>
          <w:p>
            <w:pPr>
              <w:pStyle w:val="TableSmall"/>
              <w:jc w:val="left"/>
            </w:pPr>
            <w:r>
              <w:rPr>
                <w:b/>
                <w:color w:val="FFFFFF"/>
                <w:sz w:val="13"/>
              </w:rPr>
              <w:t>Common mistake</w:t>
            </w:r>
          </w:p>
        </w:tc>
        <w:tc>
          <w:tcPr>
            <w:tcW w:type="dxa" w:w="3373"/>
            <w:shd w:fill="17324D"/>
            <w:tcMar>
              <w:top w:w="70" w:type="dxa"/>
              <w:start w:w="80" w:type="dxa"/>
              <w:bottom w:w="70" w:type="dxa"/>
              <w:end w:w="80" w:type="dxa"/>
            </w:tcMar>
            <w:vAlign w:val="center"/>
          </w:tcPr>
          <w:p>
            <w:pPr>
              <w:pStyle w:val="TableSmall"/>
              <w:jc w:val="left"/>
            </w:pPr>
            <w:r>
              <w:rPr>
                <w:b/>
                <w:color w:val="FFFFFF"/>
                <w:sz w:val="13"/>
              </w:rPr>
              <w:t>Mature-student advice</w:t>
            </w:r>
          </w:p>
        </w:tc>
      </w:tr>
      <w:tr>
        <w:trPr>
          <w:cantSplit w:val="true"/>
        </w:trPr>
        <w:tc>
          <w:tcPr>
            <w:tcW w:type="dxa" w:w="904"/>
            <w:tcMar>
              <w:top w:w="55" w:type="dxa"/>
              <w:start w:w="70" w:type="dxa"/>
              <w:bottom w:w="55" w:type="dxa"/>
              <w:end w:w="70" w:type="dxa"/>
            </w:tcMar>
            <w:vAlign w:val="top"/>
          </w:tcPr>
          <w:p>
            <w:pPr>
              <w:pStyle w:val="TableSmall"/>
            </w:pPr>
            <w:r>
              <w:rPr>
                <w:sz w:val="13"/>
              </w:rPr>
              <w:t>1–2</w:t>
            </w:r>
          </w:p>
        </w:tc>
        <w:tc>
          <w:tcPr>
            <w:tcW w:type="dxa" w:w="2879"/>
            <w:tcMar>
              <w:top w:w="55" w:type="dxa"/>
              <w:start w:w="70" w:type="dxa"/>
              <w:bottom w:w="55" w:type="dxa"/>
              <w:end w:w="70" w:type="dxa"/>
            </w:tcMar>
            <w:vAlign w:val="top"/>
          </w:tcPr>
          <w:p>
            <w:pPr>
              <w:pStyle w:val="TableSmall"/>
            </w:pPr>
            <w:r>
              <w:rPr>
                <w:sz w:val="13"/>
              </w:rPr>
              <w:t>Build the weekly cycle around the first supervision deadline. Record fixed hours and real preparation time.</w:t>
            </w:r>
          </w:p>
        </w:tc>
        <w:tc>
          <w:tcPr>
            <w:tcW w:type="dxa" w:w="2879"/>
            <w:tcMar>
              <w:top w:w="55" w:type="dxa"/>
              <w:start w:w="70" w:type="dxa"/>
              <w:bottom w:w="55" w:type="dxa"/>
              <w:end w:w="70" w:type="dxa"/>
            </w:tcMar>
            <w:vAlign w:val="top"/>
          </w:tcPr>
          <w:p>
            <w:pPr>
              <w:pStyle w:val="TableSmall"/>
            </w:pPr>
            <w:r>
              <w:rPr>
                <w:sz w:val="13"/>
              </w:rPr>
              <w:t>Judging the whole course from the first confident classmate.</w:t>
            </w:r>
          </w:p>
        </w:tc>
        <w:tc>
          <w:tcPr>
            <w:tcW w:type="dxa" w:w="3373"/>
            <w:tcMar>
              <w:top w:w="55" w:type="dxa"/>
              <w:start w:w="70" w:type="dxa"/>
              <w:bottom w:w="55" w:type="dxa"/>
              <w:end w:w="70" w:type="dxa"/>
            </w:tcMar>
            <w:vAlign w:val="top"/>
          </w:tcPr>
          <w:p>
            <w:pPr>
              <w:pStyle w:val="TableSmall"/>
            </w:pPr>
            <w:r>
              <w:rPr>
                <w:sz w:val="13"/>
              </w:rPr>
              <w:t>Recent school knowledge is visible early; mature judgement often appears later in argument and synthesis.</w:t>
            </w:r>
          </w:p>
        </w:tc>
      </w:tr>
      <w:tr>
        <w:trPr>
          <w:cantSplit w:val="true"/>
        </w:trPr>
        <w:tc>
          <w:tcPr>
            <w:tcW w:type="dxa" w:w="904"/>
            <w:shd w:fill="F5F7F8"/>
            <w:tcMar>
              <w:top w:w="55" w:type="dxa"/>
              <w:start w:w="70" w:type="dxa"/>
              <w:bottom w:w="55" w:type="dxa"/>
              <w:end w:w="70" w:type="dxa"/>
            </w:tcMar>
            <w:vAlign w:val="top"/>
          </w:tcPr>
          <w:p>
            <w:pPr>
              <w:pStyle w:val="TableSmall"/>
            </w:pPr>
            <w:r>
              <w:rPr>
                <w:sz w:val="13"/>
              </w:rPr>
              <w:t>3–4</w:t>
            </w:r>
          </w:p>
        </w:tc>
        <w:tc>
          <w:tcPr>
            <w:tcW w:type="dxa" w:w="2879"/>
            <w:shd w:fill="F5F7F8"/>
            <w:tcMar>
              <w:top w:w="55" w:type="dxa"/>
              <w:start w:w="70" w:type="dxa"/>
              <w:bottom w:w="55" w:type="dxa"/>
              <w:end w:w="70" w:type="dxa"/>
            </w:tcMar>
            <w:vAlign w:val="top"/>
          </w:tcPr>
          <w:p>
            <w:pPr>
              <w:pStyle w:val="TableSmall"/>
            </w:pPr>
            <w:r>
              <w:rPr>
                <w:sz w:val="13"/>
              </w:rPr>
              <w:t>Review feedback with the supervisor; tell DoS if expectations conflict. Check spending against plan.</w:t>
            </w:r>
          </w:p>
        </w:tc>
        <w:tc>
          <w:tcPr>
            <w:tcW w:type="dxa" w:w="2879"/>
            <w:shd w:fill="F5F7F8"/>
            <w:tcMar>
              <w:top w:w="55" w:type="dxa"/>
              <w:start w:w="70" w:type="dxa"/>
              <w:bottom w:w="55" w:type="dxa"/>
              <w:end w:w="70" w:type="dxa"/>
            </w:tcMar>
            <w:vAlign w:val="top"/>
          </w:tcPr>
          <w:p>
            <w:pPr>
              <w:pStyle w:val="TableSmall"/>
            </w:pPr>
            <w:r>
              <w:rPr>
                <w:sz w:val="13"/>
              </w:rPr>
              <w:t>Adding societies to solve loneliness while academic work expands.</w:t>
            </w:r>
          </w:p>
        </w:tc>
        <w:tc>
          <w:tcPr>
            <w:tcW w:type="dxa" w:w="3373"/>
            <w:shd w:fill="F5F7F8"/>
            <w:tcMar>
              <w:top w:w="55" w:type="dxa"/>
              <w:start w:w="70" w:type="dxa"/>
              <w:bottom w:w="55" w:type="dxa"/>
              <w:end w:w="70" w:type="dxa"/>
            </w:tcMar>
            <w:vAlign w:val="top"/>
          </w:tcPr>
          <w:p>
            <w:pPr>
              <w:pStyle w:val="TableSmall"/>
            </w:pPr>
            <w:r>
              <w:rPr>
                <w:sz w:val="13"/>
              </w:rPr>
              <w:t>Keep two social anchors and protect sleep/family time.</w:t>
            </w:r>
          </w:p>
        </w:tc>
      </w:tr>
      <w:tr>
        <w:trPr>
          <w:cantSplit w:val="true"/>
        </w:trPr>
        <w:tc>
          <w:tcPr>
            <w:tcW w:type="dxa" w:w="904"/>
            <w:tcMar>
              <w:top w:w="55" w:type="dxa"/>
              <w:start w:w="70" w:type="dxa"/>
              <w:bottom w:w="55" w:type="dxa"/>
              <w:end w:w="70" w:type="dxa"/>
            </w:tcMar>
            <w:vAlign w:val="top"/>
          </w:tcPr>
          <w:p>
            <w:pPr>
              <w:pStyle w:val="TableSmall"/>
            </w:pPr>
            <w:r>
              <w:rPr>
                <w:sz w:val="13"/>
              </w:rPr>
              <w:t>5</w:t>
            </w:r>
          </w:p>
        </w:tc>
        <w:tc>
          <w:tcPr>
            <w:tcW w:type="dxa" w:w="2879"/>
            <w:tcMar>
              <w:top w:w="55" w:type="dxa"/>
              <w:start w:w="70" w:type="dxa"/>
              <w:bottom w:w="55" w:type="dxa"/>
              <w:end w:w="70" w:type="dxa"/>
            </w:tcMar>
            <w:vAlign w:val="top"/>
          </w:tcPr>
          <w:p>
            <w:pPr>
              <w:pStyle w:val="TableSmall"/>
            </w:pPr>
            <w:r>
              <w:rPr>
                <w:sz w:val="13"/>
              </w:rPr>
              <w:t>Run a health/workload check: sleep, food, attendance, money, backlog and mood.</w:t>
            </w:r>
          </w:p>
        </w:tc>
        <w:tc>
          <w:tcPr>
            <w:tcW w:type="dxa" w:w="2879"/>
            <w:tcMar>
              <w:top w:w="55" w:type="dxa"/>
              <w:start w:w="70" w:type="dxa"/>
              <w:bottom w:w="55" w:type="dxa"/>
              <w:end w:w="70" w:type="dxa"/>
            </w:tcMar>
            <w:vAlign w:val="top"/>
          </w:tcPr>
          <w:p>
            <w:pPr>
              <w:pStyle w:val="TableSmall"/>
            </w:pPr>
            <w:r>
              <w:rPr>
                <w:sz w:val="13"/>
              </w:rPr>
              <w:t>Calling serious deterioration “just Week Five Blues”.</w:t>
            </w:r>
          </w:p>
        </w:tc>
        <w:tc>
          <w:tcPr>
            <w:tcW w:type="dxa" w:w="3373"/>
            <w:tcMar>
              <w:top w:w="55" w:type="dxa"/>
              <w:start w:w="70" w:type="dxa"/>
              <w:bottom w:w="55" w:type="dxa"/>
              <w:end w:w="70" w:type="dxa"/>
            </w:tcMar>
            <w:vAlign w:val="top"/>
          </w:tcPr>
          <w:p>
            <w:pPr>
              <w:pStyle w:val="TableSmall"/>
            </w:pPr>
            <w:r>
              <w:rPr>
                <w:sz w:val="13"/>
              </w:rPr>
              <w:t>If function or safety is falling, contact Tutor/GP/Student Support now.</w:t>
            </w:r>
          </w:p>
        </w:tc>
      </w:tr>
      <w:tr>
        <w:trPr>
          <w:cantSplit w:val="true"/>
        </w:trPr>
        <w:tc>
          <w:tcPr>
            <w:tcW w:type="dxa" w:w="904"/>
            <w:shd w:fill="F5F7F8"/>
            <w:tcMar>
              <w:top w:w="55" w:type="dxa"/>
              <w:start w:w="70" w:type="dxa"/>
              <w:bottom w:w="55" w:type="dxa"/>
              <w:end w:w="70" w:type="dxa"/>
            </w:tcMar>
            <w:vAlign w:val="top"/>
          </w:tcPr>
          <w:p>
            <w:pPr>
              <w:pStyle w:val="TableSmall"/>
            </w:pPr>
            <w:r>
              <w:rPr>
                <w:sz w:val="13"/>
              </w:rPr>
              <w:t>6–7</w:t>
            </w:r>
          </w:p>
        </w:tc>
        <w:tc>
          <w:tcPr>
            <w:tcW w:type="dxa" w:w="2879"/>
            <w:shd w:fill="F5F7F8"/>
            <w:tcMar>
              <w:top w:w="55" w:type="dxa"/>
              <w:start w:w="70" w:type="dxa"/>
              <w:bottom w:w="55" w:type="dxa"/>
              <w:end w:w="70" w:type="dxa"/>
            </w:tcMar>
            <w:vAlign w:val="top"/>
          </w:tcPr>
          <w:p>
            <w:pPr>
              <w:pStyle w:val="TableSmall"/>
            </w:pPr>
            <w:r>
              <w:rPr>
                <w:sz w:val="13"/>
              </w:rPr>
              <w:t>Prioritise core submissions; discuss any missed teaching; book vacation housing.</w:t>
            </w:r>
          </w:p>
        </w:tc>
        <w:tc>
          <w:tcPr>
            <w:tcW w:type="dxa" w:w="2879"/>
            <w:shd w:fill="F5F7F8"/>
            <w:tcMar>
              <w:top w:w="55" w:type="dxa"/>
              <w:start w:w="70" w:type="dxa"/>
              <w:bottom w:w="55" w:type="dxa"/>
              <w:end w:w="70" w:type="dxa"/>
            </w:tcMar>
            <w:vAlign w:val="top"/>
          </w:tcPr>
          <w:p>
            <w:pPr>
              <w:pStyle w:val="TableSmall"/>
            </w:pPr>
            <w:r>
              <w:rPr>
                <w:sz w:val="13"/>
              </w:rPr>
              <w:t>Trying to repair every weak topic before the next deadline.</w:t>
            </w:r>
          </w:p>
        </w:tc>
        <w:tc>
          <w:tcPr>
            <w:tcW w:type="dxa" w:w="3373"/>
            <w:shd w:fill="F5F7F8"/>
            <w:tcMar>
              <w:top w:w="55" w:type="dxa"/>
              <w:start w:w="70" w:type="dxa"/>
              <w:bottom w:w="55" w:type="dxa"/>
              <w:end w:w="70" w:type="dxa"/>
            </w:tcMar>
            <w:vAlign w:val="top"/>
          </w:tcPr>
          <w:p>
            <w:pPr>
              <w:pStyle w:val="TableSmall"/>
            </w:pPr>
            <w:r>
              <w:rPr>
                <w:sz w:val="13"/>
              </w:rPr>
              <w:t>Ask the DoS for ranked priorities and a realistic recovery plan.</w:t>
            </w:r>
          </w:p>
        </w:tc>
      </w:tr>
      <w:tr>
        <w:trPr>
          <w:cantSplit w:val="true"/>
        </w:trPr>
        <w:tc>
          <w:tcPr>
            <w:tcW w:type="dxa" w:w="904"/>
            <w:tcMar>
              <w:top w:w="55" w:type="dxa"/>
              <w:start w:w="70" w:type="dxa"/>
              <w:bottom w:w="55" w:type="dxa"/>
              <w:end w:w="70" w:type="dxa"/>
            </w:tcMar>
            <w:vAlign w:val="top"/>
          </w:tcPr>
          <w:p>
            <w:pPr>
              <w:pStyle w:val="TableSmall"/>
            </w:pPr>
            <w:r>
              <w:rPr>
                <w:sz w:val="13"/>
              </w:rPr>
              <w:t>8</w:t>
            </w:r>
          </w:p>
        </w:tc>
        <w:tc>
          <w:tcPr>
            <w:tcW w:type="dxa" w:w="2879"/>
            <w:tcMar>
              <w:top w:w="55" w:type="dxa"/>
              <w:start w:w="70" w:type="dxa"/>
              <w:bottom w:w="55" w:type="dxa"/>
              <w:end w:w="70" w:type="dxa"/>
            </w:tcMar>
            <w:vAlign w:val="top"/>
          </w:tcPr>
          <w:p>
            <w:pPr>
              <w:pStyle w:val="TableSmall"/>
            </w:pPr>
            <w:r>
              <w:rPr>
                <w:sz w:val="13"/>
              </w:rPr>
              <w:t>Close the term: list feedback themes, library returns, bills, room/storage and vacation work.</w:t>
            </w:r>
          </w:p>
        </w:tc>
        <w:tc>
          <w:tcPr>
            <w:tcW w:type="dxa" w:w="2879"/>
            <w:tcMar>
              <w:top w:w="55" w:type="dxa"/>
              <w:start w:w="70" w:type="dxa"/>
              <w:bottom w:w="55" w:type="dxa"/>
              <w:end w:w="70" w:type="dxa"/>
            </w:tcMar>
            <w:vAlign w:val="top"/>
          </w:tcPr>
          <w:p>
            <w:pPr>
              <w:pStyle w:val="TableSmall"/>
            </w:pPr>
            <w:r>
              <w:rPr>
                <w:sz w:val="13"/>
              </w:rPr>
              <w:t>Leaving with no plan, then discovering an essay due in January.</w:t>
            </w:r>
          </w:p>
        </w:tc>
        <w:tc>
          <w:tcPr>
            <w:tcW w:type="dxa" w:w="3373"/>
            <w:tcMar>
              <w:top w:w="55" w:type="dxa"/>
              <w:start w:w="70" w:type="dxa"/>
              <w:bottom w:w="55" w:type="dxa"/>
              <w:end w:w="70" w:type="dxa"/>
            </w:tcMar>
            <w:vAlign w:val="top"/>
          </w:tcPr>
          <w:p>
            <w:pPr>
              <w:pStyle w:val="TableSmall"/>
            </w:pPr>
            <w:r>
              <w:rPr>
                <w:sz w:val="13"/>
              </w:rPr>
              <w:t>Agree family expectations about study and rest before travel.</w:t>
            </w:r>
          </w:p>
        </w:tc>
      </w:tr>
    </w:tbl>
    <w:p>
      <w:pPr>
        <w:spacing w:after="20"/>
      </w:pPr>
    </w:p>
    <w:p>
      <w:pPr>
        <w:pStyle w:val="Heading2"/>
        <w:keepNext/>
      </w:pPr>
      <w:r>
        <w:t>F. Christmas vacation</w:t>
      </w:r>
    </w:p>
    <w:p>
      <w:r>
        <w:t>Clarify whether “vacation work” means a reading programme, essay, project, revision or preparation for an examination. Put it on a calendar alongside paid work, care, religious observance and travel. Take genuine rest early enough that it is not merely collapse. If you remain in Cambridge, check reduced library, dining, Lodge, nurse and welfare hours before others leave.</w:t>
      </w:r>
    </w:p>
    <w:p>
      <w:pPr>
        <w:pStyle w:val="ListBullet"/>
        <w:spacing w:after="30" w:line="247" w:lineRule="auto"/>
        <w:ind w:left="312" w:hanging="142"/>
      </w:pPr>
      <w:r>
        <w:t>Essential: accommodation permission/charges; travel; medication; College bill; January deadlines; backup of work.</w:t>
      </w:r>
    </w:p>
    <w:p>
      <w:pPr>
        <w:pStyle w:val="ListBullet"/>
        <w:spacing w:after="30" w:line="247" w:lineRule="auto"/>
        <w:ind w:left="312" w:hanging="142"/>
      </w:pPr>
      <w:r>
        <w:t>Optional: one low-pressure review of Michaelmas feedback; a Careers Service profile; reconnecting with a non-Cambridge identity.</w:t>
      </w:r>
    </w:p>
    <w:p>
      <w:pPr>
        <w:pStyle w:val="ListBullet"/>
        <w:spacing w:after="30" w:line="247" w:lineRule="auto"/>
        <w:ind w:left="312" w:hanging="142"/>
      </w:pPr>
      <w:r>
        <w:t>Warning sign: avoidance so complete that opening email feels impossible. Contact Tutor/DoS before the office closure or as soon as it reopens.</w:t>
      </w:r>
    </w:p>
    <w:p>
      <w:pPr>
        <w:pStyle w:val="Heading2"/>
        <w:keepNext/>
      </w:pPr>
      <w:r>
        <w:t>G. Lent Term</w:t>
      </w:r>
    </w:p>
    <w:p>
      <w:r>
        <w:t>Lent often feels less novel and more demanding. Housing decisions for the next year can arrive while the first-year system still feels unclear. Decide whether College, private housing, partner needs or commuting should drive the choice; do not sign with casual acquaintances solely because everyone is panicking.</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494"/>
        <w:gridCol w:w="7257"/>
      </w:tblGrid>
      <w:tr>
        <w:trPr>
          <w:tblHeader w:val="true"/>
          <w:cantSplit w:val="true"/>
        </w:trPr>
        <w:tc>
          <w:tcPr>
            <w:tcW w:type="dxa" w:w="2494"/>
            <w:shd w:fill="17324D"/>
            <w:tcMar>
              <w:top w:w="70" w:type="dxa"/>
              <w:start w:w="80" w:type="dxa"/>
              <w:bottom w:w="70" w:type="dxa"/>
              <w:end w:w="80" w:type="dxa"/>
            </w:tcMar>
            <w:vAlign w:val="center"/>
          </w:tcPr>
          <w:p>
            <w:pPr>
              <w:pStyle w:val="TableText"/>
              <w:jc w:val="left"/>
            </w:pPr>
            <w:r>
              <w:rPr>
                <w:b/>
                <w:color w:val="FFFFFF"/>
                <w:sz w:val="15"/>
              </w:rPr>
              <w:t>Priority</w:t>
            </w:r>
          </w:p>
        </w:tc>
        <w:tc>
          <w:tcPr>
            <w:tcW w:type="dxa" w:w="7257"/>
            <w:shd w:fill="17324D"/>
            <w:tcMar>
              <w:top w:w="70" w:type="dxa"/>
              <w:start w:w="80" w:type="dxa"/>
              <w:bottom w:w="70" w:type="dxa"/>
              <w:end w:w="80" w:type="dxa"/>
            </w:tcMar>
            <w:vAlign w:val="center"/>
          </w:tcPr>
          <w:p>
            <w:pPr>
              <w:pStyle w:val="TableText"/>
              <w:jc w:val="left"/>
            </w:pPr>
            <w:r>
              <w:rPr>
                <w:b/>
                <w:color w:val="FFFFFF"/>
                <w:sz w:val="15"/>
              </w:rPr>
              <w:t>Practical step</w:t>
            </w:r>
          </w:p>
        </w:tc>
      </w:tr>
      <w:tr>
        <w:trPr>
          <w:cantSplit w:val="true"/>
        </w:trPr>
        <w:tc>
          <w:tcPr>
            <w:tcW w:type="dxa" w:w="2494"/>
            <w:tcMar>
              <w:top w:w="55" w:type="dxa"/>
              <w:start w:w="70" w:type="dxa"/>
              <w:bottom w:w="55" w:type="dxa"/>
              <w:end w:w="70" w:type="dxa"/>
            </w:tcMar>
            <w:vAlign w:val="top"/>
          </w:tcPr>
          <w:p>
            <w:pPr>
              <w:pStyle w:val="TableText"/>
            </w:pPr>
            <w:r>
              <w:t>Academic trajectory</w:t>
            </w:r>
          </w:p>
        </w:tc>
        <w:tc>
          <w:tcPr>
            <w:tcW w:type="dxa" w:w="7257"/>
            <w:tcMar>
              <w:top w:w="55" w:type="dxa"/>
              <w:start w:w="70" w:type="dxa"/>
              <w:bottom w:w="55" w:type="dxa"/>
              <w:end w:w="70" w:type="dxa"/>
            </w:tcMar>
            <w:vAlign w:val="top"/>
          </w:tcPr>
          <w:p>
            <w:pPr>
              <w:pStyle w:val="TableText"/>
            </w:pPr>
            <w:r>
              <w:t>Ask the DoS which first-term pattern matters most and what “good progress” looks like by Easter.</w:t>
            </w:r>
          </w:p>
        </w:tc>
      </w:tr>
      <w:tr>
        <w:trPr>
          <w:cantSplit w:val="true"/>
        </w:trPr>
        <w:tc>
          <w:tcPr>
            <w:tcW w:type="dxa" w:w="2494"/>
            <w:shd w:fill="F5F7F8"/>
            <w:tcMar>
              <w:top w:w="55" w:type="dxa"/>
              <w:start w:w="70" w:type="dxa"/>
              <w:bottom w:w="55" w:type="dxa"/>
              <w:end w:w="70" w:type="dxa"/>
            </w:tcMar>
            <w:vAlign w:val="top"/>
          </w:tcPr>
          <w:p>
            <w:pPr>
              <w:pStyle w:val="TableText"/>
            </w:pPr>
            <w:r>
              <w:t>Examinations</w:t>
            </w:r>
          </w:p>
        </w:tc>
        <w:tc>
          <w:tcPr>
            <w:tcW w:type="dxa" w:w="7257"/>
            <w:shd w:fill="F5F7F8"/>
            <w:tcMar>
              <w:top w:w="55" w:type="dxa"/>
              <w:start w:w="70" w:type="dxa"/>
              <w:bottom w:w="55" w:type="dxa"/>
              <w:end w:w="70" w:type="dxa"/>
            </w:tcMar>
            <w:vAlign w:val="top"/>
          </w:tcPr>
          <w:p>
            <w:pPr>
              <w:pStyle w:val="TableText"/>
            </w:pPr>
            <w:r>
              <w:t>Confirm format, permitted materials, timetable publication, exam access arrangements and evidence deadlines.</w:t>
            </w:r>
          </w:p>
        </w:tc>
      </w:tr>
      <w:tr>
        <w:trPr>
          <w:cantSplit w:val="true"/>
        </w:trPr>
        <w:tc>
          <w:tcPr>
            <w:tcW w:type="dxa" w:w="2494"/>
            <w:tcMar>
              <w:top w:w="55" w:type="dxa"/>
              <w:start w:w="70" w:type="dxa"/>
              <w:bottom w:w="55" w:type="dxa"/>
              <w:end w:w="70" w:type="dxa"/>
            </w:tcMar>
            <w:vAlign w:val="top"/>
          </w:tcPr>
          <w:p>
            <w:pPr>
              <w:pStyle w:val="TableText"/>
            </w:pPr>
            <w:r>
              <w:t>Housing</w:t>
            </w:r>
          </w:p>
        </w:tc>
        <w:tc>
          <w:tcPr>
            <w:tcW w:type="dxa" w:w="7257"/>
            <w:tcMar>
              <w:top w:w="55" w:type="dxa"/>
              <w:start w:w="70" w:type="dxa"/>
              <w:bottom w:w="55" w:type="dxa"/>
              <w:end w:w="70" w:type="dxa"/>
            </w:tcMar>
            <w:vAlign w:val="top"/>
          </w:tcPr>
          <w:p>
            <w:pPr>
              <w:pStyle w:val="TableText"/>
            </w:pPr>
            <w:r>
              <w:t>Read the next-year ballot/licence and private-rental liability before committing.</w:t>
            </w:r>
          </w:p>
        </w:tc>
      </w:tr>
      <w:tr>
        <w:trPr>
          <w:cantSplit w:val="true"/>
        </w:trPr>
        <w:tc>
          <w:tcPr>
            <w:tcW w:type="dxa" w:w="2494"/>
            <w:shd w:fill="F5F7F8"/>
            <w:tcMar>
              <w:top w:w="55" w:type="dxa"/>
              <w:start w:w="70" w:type="dxa"/>
              <w:bottom w:w="55" w:type="dxa"/>
              <w:end w:w="70" w:type="dxa"/>
            </w:tcMar>
            <w:vAlign w:val="top"/>
          </w:tcPr>
          <w:p>
            <w:pPr>
              <w:pStyle w:val="TableText"/>
            </w:pPr>
            <w:r>
              <w:t>Money</w:t>
            </w:r>
          </w:p>
        </w:tc>
        <w:tc>
          <w:tcPr>
            <w:tcW w:type="dxa" w:w="7257"/>
            <w:shd w:fill="F5F7F8"/>
            <w:tcMar>
              <w:top w:w="55" w:type="dxa"/>
              <w:start w:w="70" w:type="dxa"/>
              <w:bottom w:w="55" w:type="dxa"/>
              <w:end w:w="70" w:type="dxa"/>
            </w:tcMar>
            <w:vAlign w:val="top"/>
          </w:tcPr>
          <w:p>
            <w:pPr>
              <w:pStyle w:val="TableText"/>
            </w:pPr>
            <w:r>
              <w:t>Apply for summer, travel, book or hardship funds before deadlines; plan the long vacation.</w:t>
            </w:r>
          </w:p>
        </w:tc>
      </w:tr>
      <w:tr>
        <w:trPr>
          <w:cantSplit w:val="true"/>
        </w:trPr>
        <w:tc>
          <w:tcPr>
            <w:tcW w:type="dxa" w:w="2494"/>
            <w:tcMar>
              <w:top w:w="55" w:type="dxa"/>
              <w:start w:w="70" w:type="dxa"/>
              <w:bottom w:w="55" w:type="dxa"/>
              <w:end w:w="70" w:type="dxa"/>
            </w:tcMar>
            <w:vAlign w:val="top"/>
          </w:tcPr>
          <w:p>
            <w:pPr>
              <w:pStyle w:val="TableText"/>
            </w:pPr>
            <w:r>
              <w:t>Societies</w:t>
            </w:r>
          </w:p>
        </w:tc>
        <w:tc>
          <w:tcPr>
            <w:tcW w:type="dxa" w:w="7257"/>
            <w:tcMar>
              <w:top w:w="55" w:type="dxa"/>
              <w:start w:w="70" w:type="dxa"/>
              <w:bottom w:w="55" w:type="dxa"/>
              <w:end w:w="70" w:type="dxa"/>
            </w:tcMar>
            <w:vAlign w:val="top"/>
          </w:tcPr>
          <w:p>
            <w:pPr>
              <w:pStyle w:val="TableText"/>
            </w:pPr>
            <w:r>
              <w:t>Accept responsibility only if the workload and meeting times fit. A committee title is not required for belonging.</w:t>
            </w:r>
          </w:p>
        </w:tc>
      </w:tr>
      <w:tr>
        <w:trPr>
          <w:cantSplit w:val="true"/>
        </w:trPr>
        <w:tc>
          <w:tcPr>
            <w:tcW w:type="dxa" w:w="2494"/>
            <w:shd w:fill="F5F7F8"/>
            <w:tcMar>
              <w:top w:w="55" w:type="dxa"/>
              <w:start w:w="70" w:type="dxa"/>
              <w:bottom w:w="55" w:type="dxa"/>
              <w:end w:w="70" w:type="dxa"/>
            </w:tcMar>
            <w:vAlign w:val="top"/>
          </w:tcPr>
          <w:p>
            <w:pPr>
              <w:pStyle w:val="TableText"/>
            </w:pPr>
            <w:r>
              <w:t>Health</w:t>
            </w:r>
          </w:p>
        </w:tc>
        <w:tc>
          <w:tcPr>
            <w:tcW w:type="dxa" w:w="7257"/>
            <w:shd w:fill="F5F7F8"/>
            <w:tcMar>
              <w:top w:w="55" w:type="dxa"/>
              <w:start w:w="70" w:type="dxa"/>
              <w:bottom w:w="55" w:type="dxa"/>
              <w:end w:w="70" w:type="dxa"/>
            </w:tcMar>
            <w:vAlign w:val="top"/>
          </w:tcPr>
          <w:p>
            <w:pPr>
              <w:pStyle w:val="TableText"/>
            </w:pPr>
            <w:r>
              <w:t>Review medication, GP follow-up, counselling wait, adjustments and sleep before exam revision intensifies.</w:t>
            </w:r>
          </w:p>
        </w:tc>
      </w:tr>
    </w:tbl>
    <w:p>
      <w:pPr>
        <w:spacing w:after="20"/>
      </w:pPr>
    </w:p>
    <w:p>
      <w:pPr>
        <w:pStyle w:val="Heading2"/>
        <w:keepNext/>
      </w:pPr>
      <w:r>
        <w:t>H. Easter vacation and Easter Term</w:t>
      </w:r>
    </w:p>
    <w:p>
      <w:r>
        <w:t>Easter Term can contain revision, examinations, practical assessment, dissertation deadlines and then abrupt celebration. Make a revision map by paper, not by vague hours. Use past papers according to course guidance; practise retrieval and timed structure. If you have adjustments, check room, equipment, rest breaks and arrival instructions—not only extra time.</w:t>
      </w:r>
    </w:p>
    <w:p>
      <w:pPr>
        <w:pStyle w:val="ListBullet"/>
        <w:spacing w:after="30" w:line="247" w:lineRule="auto"/>
        <w:ind w:left="312" w:hanging="142"/>
      </w:pPr>
      <w:r>
        <w:t>Create a family-visible exam calendar with protected sleep and childcare backup.</w:t>
      </w:r>
    </w:p>
    <w:p>
      <w:pPr>
        <w:pStyle w:val="ListBullet"/>
        <w:spacing w:after="30" w:line="247" w:lineRule="auto"/>
        <w:ind w:left="312" w:hanging="142"/>
      </w:pPr>
      <w:r>
        <w:t>Ask what happens if you are ill on the day; store the exam office and Tutor contacts.</w:t>
      </w:r>
    </w:p>
    <w:p>
      <w:pPr>
        <w:pStyle w:val="ListBullet"/>
        <w:spacing w:after="30" w:line="247" w:lineRule="auto"/>
        <w:ind w:left="312" w:hanging="142"/>
      </w:pPr>
      <w:r>
        <w:t>Plan one post-exam event within budget. You do not need a Ball to mark the year.</w:t>
      </w:r>
    </w:p>
    <w:p>
      <w:pPr>
        <w:pStyle w:val="ListBullet"/>
        <w:spacing w:after="30" w:line="247" w:lineRule="auto"/>
        <w:ind w:left="312" w:hanging="142"/>
      </w:pPr>
      <w:r>
        <w:t>After the final exam, allow the nervous system to come down before making decisions about leaving the course or ending relationships.</w:t>
      </w:r>
    </w:p>
    <w:p>
      <w:pPr>
        <w:pStyle w:val="Heading2"/>
        <w:keepNext/>
      </w:pPr>
      <w:r>
        <w:t>I. End of first year</w:t>
      </w:r>
    </w:p>
    <w:p>
      <w:r>
        <w:t>Results may include a class, mark profile or progression decision depending on course. Read the current rules and discuss meaning with the DoS; a first-year result is evidence for planning, not your final identity. Where a result is unexpected, obtain the breakdown and procedural deadlines before constructing a theory from rumours.</w:t>
      </w:r>
    </w:p>
    <w:p>
      <w:pPr>
        <w:pStyle w:val="ListBullet"/>
        <w:spacing w:after="30" w:line="247" w:lineRule="auto"/>
        <w:ind w:left="312" w:hanging="142"/>
      </w:pPr>
      <w:r>
        <w:t>Confirm progression, any conditions, second-year paper choice and preparatory work.</w:t>
      </w:r>
    </w:p>
    <w:p>
      <w:pPr>
        <w:pStyle w:val="ListBullet"/>
        <w:spacing w:after="30" w:line="247" w:lineRule="auto"/>
        <w:ind w:left="312" w:hanging="142"/>
      </w:pPr>
      <w:r>
        <w:t>Review accommodation, storage, Council Tax, summer income and visa conditions.</w:t>
      </w:r>
    </w:p>
    <w:p>
      <w:pPr>
        <w:pStyle w:val="ListBullet"/>
        <w:spacing w:after="30" w:line="247" w:lineRule="auto"/>
        <w:ind w:left="312" w:hanging="142"/>
      </w:pPr>
      <w:r>
        <w:t>Ask for feedback themes rather than only numerical comparison.</w:t>
      </w:r>
    </w:p>
    <w:p>
      <w:pPr>
        <w:pStyle w:val="ListBullet"/>
        <w:spacing w:after="30" w:line="247" w:lineRule="auto"/>
        <w:ind w:left="312" w:hanging="142"/>
      </w:pPr>
      <w:r>
        <w:t>Record what actually supported you: person, place, routine, adjustment, grant or boundary.</w:t>
      </w:r>
    </w:p>
    <w:p>
      <w:pPr>
        <w:pStyle w:val="ListBullet"/>
        <w:spacing w:after="30" w:line="247" w:lineRule="auto"/>
        <w:ind w:left="312" w:hanging="142"/>
      </w:pPr>
      <w:r>
        <w:t>Drop one activity that cost more energy than it returned and preserve one relationship that made Cambridge humane.</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The year becomes manageable when each stage has a small set of essential actions and explicit warning signs.</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are the real deadlines this month for housing, finance, exams, disability evidence and vacation residence?</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Treating every Freshers’ invitation or tradition as urgent while missing the administrative deadlines that control housing, money and study.</w:t>
            </w:r>
          </w:p>
        </w:tc>
      </w:tr>
    </w:tbl>
    <w:p>
      <w:pPr>
        <w:spacing w:after="40"/>
      </w:pPr>
    </w:p>
    <w:p>
      <w:pPr>
        <w:pStyle w:val="Heading1"/>
        <w:keepNext/>
      </w:pPr>
      <w:r>
        <w:t>18. Things that go wrong: scenario guide</w:t>
      </w:r>
    </w:p>
    <w:p>
      <w:pPr>
        <w:spacing w:after="160"/>
      </w:pPr>
      <w:r>
        <w:rPr>
          <w:i/>
          <w:color w:val="5F6B73"/>
          <w:sz w:val="20"/>
        </w:rPr>
        <w:t>Act early, keep evidence and ask for a specific outcome.</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612"/>
        <w:gridCol w:w="2821"/>
        <w:gridCol w:w="2499"/>
        <w:gridCol w:w="3104"/>
      </w:tblGrid>
      <w:tr>
        <w:trPr>
          <w:tblHeader w:val="true"/>
          <w:cantSplit w:val="true"/>
        </w:trPr>
        <w:tc>
          <w:tcPr>
            <w:tcW w:type="dxa" w:w="1612"/>
            <w:shd w:fill="17324D"/>
            <w:tcMar>
              <w:top w:w="70" w:type="dxa"/>
              <w:start w:w="80" w:type="dxa"/>
              <w:bottom w:w="70" w:type="dxa"/>
              <w:end w:w="80" w:type="dxa"/>
            </w:tcMar>
            <w:vAlign w:val="center"/>
          </w:tcPr>
          <w:p>
            <w:pPr>
              <w:pStyle w:val="TableSmall"/>
              <w:jc w:val="left"/>
            </w:pPr>
            <w:r>
              <w:rPr>
                <w:b/>
                <w:color w:val="FFFFFF"/>
                <w:sz w:val="13"/>
              </w:rPr>
              <w:t>Scenario</w:t>
            </w:r>
          </w:p>
        </w:tc>
        <w:tc>
          <w:tcPr>
            <w:tcW w:type="dxa" w:w="2821"/>
            <w:shd w:fill="17324D"/>
            <w:tcMar>
              <w:top w:w="70" w:type="dxa"/>
              <w:start w:w="80" w:type="dxa"/>
              <w:bottom w:w="70" w:type="dxa"/>
              <w:end w:w="80" w:type="dxa"/>
            </w:tcMar>
            <w:vAlign w:val="center"/>
          </w:tcPr>
          <w:p>
            <w:pPr>
              <w:pStyle w:val="TableSmall"/>
              <w:jc w:val="left"/>
            </w:pPr>
            <w:r>
              <w:rPr>
                <w:b/>
                <w:color w:val="FFFFFF"/>
                <w:sz w:val="13"/>
              </w:rPr>
              <w:t>Immediate next step</w:t>
            </w:r>
          </w:p>
        </w:tc>
        <w:tc>
          <w:tcPr>
            <w:tcW w:type="dxa" w:w="2499"/>
            <w:shd w:fill="17324D"/>
            <w:tcMar>
              <w:top w:w="70" w:type="dxa"/>
              <w:start w:w="80" w:type="dxa"/>
              <w:bottom w:w="70" w:type="dxa"/>
              <w:end w:w="80" w:type="dxa"/>
            </w:tcMar>
            <w:vAlign w:val="center"/>
          </w:tcPr>
          <w:p>
            <w:pPr>
              <w:pStyle w:val="TableSmall"/>
              <w:jc w:val="left"/>
            </w:pPr>
            <w:r>
              <w:rPr>
                <w:b/>
                <w:color w:val="FFFFFF"/>
                <w:sz w:val="13"/>
              </w:rPr>
              <w:t>Evidence to keep</w:t>
            </w:r>
          </w:p>
        </w:tc>
        <w:tc>
          <w:tcPr>
            <w:tcW w:type="dxa" w:w="3103"/>
            <w:shd w:fill="17324D"/>
            <w:tcMar>
              <w:top w:w="70" w:type="dxa"/>
              <w:start w:w="80" w:type="dxa"/>
              <w:bottom w:w="70" w:type="dxa"/>
              <w:end w:w="80" w:type="dxa"/>
            </w:tcMar>
            <w:vAlign w:val="center"/>
          </w:tcPr>
          <w:p>
            <w:pPr>
              <w:pStyle w:val="TableSmall"/>
              <w:jc w:val="left"/>
            </w:pPr>
            <w:r>
              <w:rPr>
                <w:b/>
                <w:color w:val="FFFFFF"/>
                <w:sz w:val="13"/>
              </w:rPr>
              <w:t>When/where to escalate</w:t>
            </w:r>
          </w:p>
        </w:tc>
      </w:tr>
      <w:tr>
        <w:trPr>
          <w:cantSplit w:val="true"/>
        </w:trPr>
        <w:tc>
          <w:tcPr>
            <w:tcW w:type="dxa" w:w="1612"/>
            <w:tcMar>
              <w:top w:w="55" w:type="dxa"/>
              <w:start w:w="70" w:type="dxa"/>
              <w:bottom w:w="55" w:type="dxa"/>
              <w:end w:w="70" w:type="dxa"/>
            </w:tcMar>
            <w:vAlign w:val="top"/>
          </w:tcPr>
          <w:p>
            <w:pPr>
              <w:pStyle w:val="TableSmall"/>
            </w:pPr>
            <w:r>
              <w:rPr>
                <w:sz w:val="13"/>
              </w:rPr>
              <w:t>Falling behind after two weeks</w:t>
            </w:r>
          </w:p>
        </w:tc>
        <w:tc>
          <w:tcPr>
            <w:tcW w:type="dxa" w:w="2821"/>
            <w:tcMar>
              <w:top w:w="55" w:type="dxa"/>
              <w:start w:w="70" w:type="dxa"/>
              <w:bottom w:w="55" w:type="dxa"/>
              <w:end w:w="70" w:type="dxa"/>
            </w:tcMar>
            <w:vAlign w:val="top"/>
          </w:tcPr>
          <w:p>
            <w:pPr>
              <w:pStyle w:val="TableSmall"/>
            </w:pPr>
            <w:r>
              <w:rPr>
                <w:sz w:val="13"/>
              </w:rPr>
              <w:t>Tell supervisor and DoS today; list every task and the hours available. Ask which work is essential and what can be rescheduled.</w:t>
            </w:r>
          </w:p>
        </w:tc>
        <w:tc>
          <w:tcPr>
            <w:tcW w:type="dxa" w:w="2499"/>
            <w:tcMar>
              <w:top w:w="55" w:type="dxa"/>
              <w:start w:w="70" w:type="dxa"/>
              <w:bottom w:w="55" w:type="dxa"/>
              <w:end w:w="70" w:type="dxa"/>
            </w:tcMar>
            <w:vAlign w:val="top"/>
          </w:tcPr>
          <w:p>
            <w:pPr>
              <w:pStyle w:val="TableSmall"/>
            </w:pPr>
            <w:r>
              <w:rPr>
                <w:sz w:val="13"/>
              </w:rPr>
              <w:t>Deadline list, emails, one-week time log, relevant health/care evidence.</w:t>
            </w:r>
          </w:p>
        </w:tc>
        <w:tc>
          <w:tcPr>
            <w:tcW w:type="dxa" w:w="3103"/>
            <w:tcMar>
              <w:top w:w="55" w:type="dxa"/>
              <w:start w:w="70" w:type="dxa"/>
              <w:bottom w:w="55" w:type="dxa"/>
              <w:end w:w="70" w:type="dxa"/>
            </w:tcMar>
            <w:vAlign w:val="top"/>
          </w:tcPr>
          <w:p>
            <w:pPr>
              <w:pStyle w:val="TableSmall"/>
            </w:pPr>
            <w:r>
              <w:rPr>
                <w:sz w:val="13"/>
              </w:rPr>
              <w:t>Tutor if welfare/care/money; Faculty administrator if formal submission; Senior Tutor if no workable response.</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Unexpectedly poor feedback</w:t>
            </w:r>
          </w:p>
        </w:tc>
        <w:tc>
          <w:tcPr>
            <w:tcW w:type="dxa" w:w="2821"/>
            <w:shd w:fill="F5F7F8"/>
            <w:tcMar>
              <w:top w:w="55" w:type="dxa"/>
              <w:start w:w="70" w:type="dxa"/>
              <w:bottom w:w="55" w:type="dxa"/>
              <w:end w:w="70" w:type="dxa"/>
            </w:tcMar>
            <w:vAlign w:val="top"/>
          </w:tcPr>
          <w:p>
            <w:pPr>
              <w:pStyle w:val="TableSmall"/>
            </w:pPr>
            <w:r>
              <w:rPr>
                <w:sz w:val="13"/>
              </w:rPr>
              <w:t>Ask the supervisor to identify the two highest-priority changes and show an example. Discuss the pattern with DoS after more than one piece.</w:t>
            </w:r>
          </w:p>
        </w:tc>
        <w:tc>
          <w:tcPr>
            <w:tcW w:type="dxa" w:w="2499"/>
            <w:shd w:fill="F5F7F8"/>
            <w:tcMar>
              <w:top w:w="55" w:type="dxa"/>
              <w:start w:w="70" w:type="dxa"/>
              <w:bottom w:w="55" w:type="dxa"/>
              <w:end w:w="70" w:type="dxa"/>
            </w:tcMar>
            <w:vAlign w:val="top"/>
          </w:tcPr>
          <w:p>
            <w:pPr>
              <w:pStyle w:val="TableSmall"/>
            </w:pPr>
            <w:r>
              <w:rPr>
                <w:sz w:val="13"/>
              </w:rPr>
              <w:t>Submitted work, comments, marks, supervision notes.</w:t>
            </w:r>
          </w:p>
        </w:tc>
        <w:tc>
          <w:tcPr>
            <w:tcW w:type="dxa" w:w="3103"/>
            <w:shd w:fill="F5F7F8"/>
            <w:tcMar>
              <w:top w:w="55" w:type="dxa"/>
              <w:start w:w="70" w:type="dxa"/>
              <w:bottom w:w="55" w:type="dxa"/>
              <w:end w:w="70" w:type="dxa"/>
            </w:tcMar>
            <w:vAlign w:val="top"/>
          </w:tcPr>
          <w:p>
            <w:pPr>
              <w:pStyle w:val="TableSmall"/>
            </w:pPr>
            <w:r>
              <w:rPr>
                <w:sz w:val="13"/>
              </w:rPr>
              <w:t>DoS if feedback is contradictory, contemptuous or inaccessible.</w:t>
            </w:r>
          </w:p>
        </w:tc>
      </w:tr>
      <w:tr>
        <w:trPr>
          <w:cantSplit w:val="true"/>
        </w:trPr>
        <w:tc>
          <w:tcPr>
            <w:tcW w:type="dxa" w:w="1612"/>
            <w:tcMar>
              <w:top w:w="55" w:type="dxa"/>
              <w:start w:w="70" w:type="dxa"/>
              <w:bottom w:w="55" w:type="dxa"/>
              <w:end w:w="70" w:type="dxa"/>
            </w:tcMar>
            <w:vAlign w:val="top"/>
          </w:tcPr>
          <w:p>
            <w:pPr>
              <w:pStyle w:val="TableSmall"/>
            </w:pPr>
            <w:r>
              <w:rPr>
                <w:sz w:val="13"/>
              </w:rPr>
              <w:t>Missing a deadline</w:t>
            </w:r>
          </w:p>
        </w:tc>
        <w:tc>
          <w:tcPr>
            <w:tcW w:type="dxa" w:w="2821"/>
            <w:tcMar>
              <w:top w:w="55" w:type="dxa"/>
              <w:start w:w="70" w:type="dxa"/>
              <w:bottom w:w="55" w:type="dxa"/>
              <w:end w:w="70" w:type="dxa"/>
            </w:tcMar>
            <w:vAlign w:val="top"/>
          </w:tcPr>
          <w:p>
            <w:pPr>
              <w:pStyle w:val="TableSmall"/>
            </w:pPr>
            <w:r>
              <w:rPr>
                <w:sz w:val="13"/>
              </w:rPr>
              <w:t>Write to the named recipient before it passes where possible. State what is complete, why, and a realistic new time.</w:t>
            </w:r>
          </w:p>
        </w:tc>
        <w:tc>
          <w:tcPr>
            <w:tcW w:type="dxa" w:w="2499"/>
            <w:tcMar>
              <w:top w:w="55" w:type="dxa"/>
              <w:start w:w="70" w:type="dxa"/>
              <w:bottom w:w="55" w:type="dxa"/>
              <w:end w:w="70" w:type="dxa"/>
            </w:tcMar>
            <w:vAlign w:val="top"/>
          </w:tcPr>
          <w:p>
            <w:pPr>
              <w:pStyle w:val="TableSmall"/>
            </w:pPr>
            <w:r>
              <w:rPr>
                <w:sz w:val="13"/>
              </w:rPr>
              <w:t>Timestamped draft, medical/caring evidence if relevant, submission rule.</w:t>
            </w:r>
          </w:p>
        </w:tc>
        <w:tc>
          <w:tcPr>
            <w:tcW w:type="dxa" w:w="3103"/>
            <w:tcMar>
              <w:top w:w="55" w:type="dxa"/>
              <w:start w:w="70" w:type="dxa"/>
              <w:bottom w:w="55" w:type="dxa"/>
              <w:end w:w="70" w:type="dxa"/>
            </w:tcMar>
            <w:vAlign w:val="top"/>
          </w:tcPr>
          <w:p>
            <w:pPr>
              <w:pStyle w:val="TableSmall"/>
            </w:pPr>
            <w:r>
              <w:rPr>
                <w:sz w:val="13"/>
              </w:rPr>
              <w:t>Tutor/Faculty process if an allowance or penalty is involved.</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Seriously ill</w:t>
            </w:r>
          </w:p>
        </w:tc>
        <w:tc>
          <w:tcPr>
            <w:tcW w:type="dxa" w:w="2821"/>
            <w:shd w:fill="F5F7F8"/>
            <w:tcMar>
              <w:top w:w="55" w:type="dxa"/>
              <w:start w:w="70" w:type="dxa"/>
              <w:bottom w:w="55" w:type="dxa"/>
              <w:end w:w="70" w:type="dxa"/>
            </w:tcMar>
            <w:vAlign w:val="top"/>
          </w:tcPr>
          <w:p>
            <w:pPr>
              <w:pStyle w:val="TableSmall"/>
            </w:pPr>
            <w:r>
              <w:rPr>
                <w:sz w:val="13"/>
              </w:rPr>
              <w:t>Seek medical help; notify Tutor and DoS that study is affected; ask for immediate academic protection.</w:t>
            </w:r>
          </w:p>
        </w:tc>
        <w:tc>
          <w:tcPr>
            <w:tcW w:type="dxa" w:w="2499"/>
            <w:shd w:fill="F5F7F8"/>
            <w:tcMar>
              <w:top w:w="55" w:type="dxa"/>
              <w:start w:w="70" w:type="dxa"/>
              <w:bottom w:w="55" w:type="dxa"/>
              <w:end w:w="70" w:type="dxa"/>
            </w:tcMar>
            <w:vAlign w:val="top"/>
          </w:tcPr>
          <w:p>
            <w:pPr>
              <w:pStyle w:val="TableSmall"/>
            </w:pPr>
            <w:r>
              <w:rPr>
                <w:sz w:val="13"/>
              </w:rPr>
              <w:t>Medical records, dates, affected teaching/exams, communication log.</w:t>
            </w:r>
          </w:p>
        </w:tc>
        <w:tc>
          <w:tcPr>
            <w:tcW w:type="dxa" w:w="3103"/>
            <w:shd w:fill="F5F7F8"/>
            <w:tcMar>
              <w:top w:w="55" w:type="dxa"/>
              <w:start w:w="70" w:type="dxa"/>
              <w:bottom w:w="55" w:type="dxa"/>
              <w:end w:w="70" w:type="dxa"/>
            </w:tcMar>
            <w:vAlign w:val="top"/>
          </w:tcPr>
          <w:p>
            <w:pPr>
              <w:pStyle w:val="TableSmall"/>
            </w:pPr>
            <w:r>
              <w:rPr>
                <w:sz w:val="13"/>
              </w:rPr>
              <w:t>999/111 as appropriate; Senior Tutor/intermission route for sustained inability.</w:t>
            </w:r>
          </w:p>
        </w:tc>
      </w:tr>
      <w:tr>
        <w:trPr>
          <w:cantSplit w:val="true"/>
        </w:trPr>
        <w:tc>
          <w:tcPr>
            <w:tcW w:type="dxa" w:w="1612"/>
            <w:tcMar>
              <w:top w:w="55" w:type="dxa"/>
              <w:start w:w="70" w:type="dxa"/>
              <w:bottom w:w="55" w:type="dxa"/>
              <w:end w:w="70" w:type="dxa"/>
            </w:tcMar>
            <w:vAlign w:val="top"/>
          </w:tcPr>
          <w:p>
            <w:pPr>
              <w:pStyle w:val="TableSmall"/>
            </w:pPr>
            <w:r>
              <w:rPr>
                <w:sz w:val="13"/>
              </w:rPr>
              <w:t>Child or dependant ill</w:t>
            </w:r>
          </w:p>
        </w:tc>
        <w:tc>
          <w:tcPr>
            <w:tcW w:type="dxa" w:w="2821"/>
            <w:tcMar>
              <w:top w:w="55" w:type="dxa"/>
              <w:start w:w="70" w:type="dxa"/>
              <w:bottom w:w="55" w:type="dxa"/>
              <w:end w:w="70" w:type="dxa"/>
            </w:tcMar>
            <w:vAlign w:val="top"/>
          </w:tcPr>
          <w:p>
            <w:pPr>
              <w:pStyle w:val="TableSmall"/>
            </w:pPr>
            <w:r>
              <w:rPr>
                <w:sz w:val="13"/>
              </w:rPr>
              <w:t>Use backup care if safe; notify teaching and Tutor; request the specific missed-session/deadline action.</w:t>
            </w:r>
          </w:p>
        </w:tc>
        <w:tc>
          <w:tcPr>
            <w:tcW w:type="dxa" w:w="2499"/>
            <w:tcMar>
              <w:top w:w="55" w:type="dxa"/>
              <w:start w:w="70" w:type="dxa"/>
              <w:bottom w:w="55" w:type="dxa"/>
              <w:end w:w="70" w:type="dxa"/>
            </w:tcMar>
            <w:vAlign w:val="top"/>
          </w:tcPr>
          <w:p>
            <w:pPr>
              <w:pStyle w:val="TableSmall"/>
            </w:pPr>
            <w:r>
              <w:rPr>
                <w:sz w:val="13"/>
              </w:rPr>
              <w:t>School/nursery notice, appointment, dates and tasks affected.</w:t>
            </w:r>
          </w:p>
        </w:tc>
        <w:tc>
          <w:tcPr>
            <w:tcW w:type="dxa" w:w="3103"/>
            <w:tcMar>
              <w:top w:w="55" w:type="dxa"/>
              <w:start w:w="70" w:type="dxa"/>
              <w:bottom w:w="55" w:type="dxa"/>
              <w:end w:w="70" w:type="dxa"/>
            </w:tcMar>
            <w:vAlign w:val="top"/>
          </w:tcPr>
          <w:p>
            <w:pPr>
              <w:pStyle w:val="TableSmall"/>
            </w:pPr>
            <w:r>
              <w:rPr>
                <w:sz w:val="13"/>
              </w:rPr>
              <w:t>DoS/Faculty for repeated compulsory teaching; financial support if care costs rise.</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Running out of money</w:t>
            </w:r>
          </w:p>
        </w:tc>
        <w:tc>
          <w:tcPr>
            <w:tcW w:type="dxa" w:w="2821"/>
            <w:shd w:fill="F5F7F8"/>
            <w:tcMar>
              <w:top w:w="55" w:type="dxa"/>
              <w:start w:w="70" w:type="dxa"/>
              <w:bottom w:w="55" w:type="dxa"/>
              <w:end w:w="70" w:type="dxa"/>
            </w:tcMar>
            <w:vAlign w:val="top"/>
          </w:tcPr>
          <w:p>
            <w:pPr>
              <w:pStyle w:val="TableSmall"/>
            </w:pPr>
            <w:r>
              <w:rPr>
                <w:sz w:val="13"/>
              </w:rPr>
              <w:t>Contact Tutor/College finance now for emergency support, meal credit or bill plan; protect essentials.</w:t>
            </w:r>
          </w:p>
        </w:tc>
        <w:tc>
          <w:tcPr>
            <w:tcW w:type="dxa" w:w="2499"/>
            <w:shd w:fill="F5F7F8"/>
            <w:tcMar>
              <w:top w:w="55" w:type="dxa"/>
              <w:start w:w="70" w:type="dxa"/>
              <w:bottom w:w="55" w:type="dxa"/>
              <w:end w:w="70" w:type="dxa"/>
            </w:tcMar>
            <w:vAlign w:val="top"/>
          </w:tcPr>
          <w:p>
            <w:pPr>
              <w:pStyle w:val="TableSmall"/>
            </w:pPr>
            <w:r>
              <w:rPr>
                <w:sz w:val="13"/>
              </w:rPr>
              <w:t>Bank balance, bills due, finance award, short cash-flow statement.</w:t>
            </w:r>
          </w:p>
        </w:tc>
        <w:tc>
          <w:tcPr>
            <w:tcW w:type="dxa" w:w="3103"/>
            <w:shd w:fill="F5F7F8"/>
            <w:tcMar>
              <w:top w:w="55" w:type="dxa"/>
              <w:start w:w="70" w:type="dxa"/>
              <w:bottom w:w="55" w:type="dxa"/>
              <w:end w:w="70" w:type="dxa"/>
            </w:tcMar>
            <w:vAlign w:val="top"/>
          </w:tcPr>
          <w:p>
            <w:pPr>
              <w:pStyle w:val="TableSmall"/>
            </w:pPr>
            <w:r>
              <w:rPr>
                <w:sz w:val="13"/>
              </w:rPr>
              <w:t>SU Advice, central hardship, housing/debt specialist.</w:t>
            </w:r>
          </w:p>
        </w:tc>
      </w:tr>
      <w:tr>
        <w:trPr>
          <w:cantSplit w:val="true"/>
        </w:trPr>
        <w:tc>
          <w:tcPr>
            <w:tcW w:type="dxa" w:w="1612"/>
            <w:tcMar>
              <w:top w:w="55" w:type="dxa"/>
              <w:start w:w="70" w:type="dxa"/>
              <w:bottom w:w="55" w:type="dxa"/>
              <w:end w:w="70" w:type="dxa"/>
            </w:tcMar>
            <w:vAlign w:val="top"/>
          </w:tcPr>
          <w:p>
            <w:pPr>
              <w:pStyle w:val="TableSmall"/>
            </w:pPr>
            <w:r>
              <w:rPr>
                <w:sz w:val="13"/>
              </w:rPr>
              <w:t>Accommodation unsuitable</w:t>
            </w:r>
          </w:p>
        </w:tc>
        <w:tc>
          <w:tcPr>
            <w:tcW w:type="dxa" w:w="2821"/>
            <w:tcMar>
              <w:top w:w="55" w:type="dxa"/>
              <w:start w:w="70" w:type="dxa"/>
              <w:bottom w:w="55" w:type="dxa"/>
              <w:end w:w="70" w:type="dxa"/>
            </w:tcMar>
            <w:vAlign w:val="top"/>
          </w:tcPr>
          <w:p>
            <w:pPr>
              <w:pStyle w:val="TableSmall"/>
            </w:pPr>
            <w:r>
              <w:rPr>
                <w:sz w:val="13"/>
              </w:rPr>
              <w:t>Report defect/need in writing; request inspection, repair, temporary measure or room move.</w:t>
            </w:r>
          </w:p>
        </w:tc>
        <w:tc>
          <w:tcPr>
            <w:tcW w:type="dxa" w:w="2499"/>
            <w:tcMar>
              <w:top w:w="55" w:type="dxa"/>
              <w:start w:w="70" w:type="dxa"/>
              <w:bottom w:w="55" w:type="dxa"/>
              <w:end w:w="70" w:type="dxa"/>
            </w:tcMar>
            <w:vAlign w:val="top"/>
          </w:tcPr>
          <w:p>
            <w:pPr>
              <w:pStyle w:val="TableSmall"/>
            </w:pPr>
            <w:r>
              <w:rPr>
                <w:sz w:val="13"/>
              </w:rPr>
              <w:t>Photos, medical/access documents, licence, dated repair log.</w:t>
            </w:r>
          </w:p>
        </w:tc>
        <w:tc>
          <w:tcPr>
            <w:tcW w:type="dxa" w:w="3103"/>
            <w:tcMar>
              <w:top w:w="55" w:type="dxa"/>
              <w:start w:w="70" w:type="dxa"/>
              <w:bottom w:w="55" w:type="dxa"/>
              <w:end w:w="70" w:type="dxa"/>
            </w:tcMar>
            <w:vAlign w:val="top"/>
          </w:tcPr>
          <w:p>
            <w:pPr>
              <w:pStyle w:val="TableSmall"/>
            </w:pPr>
            <w:r>
              <w:rPr>
                <w:sz w:val="13"/>
              </w:rPr>
              <w:t>Tutor/Senior Tutor, College complaints, SU Advice; council/tenancy advice if private.</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Feeling isolated</w:t>
            </w:r>
          </w:p>
        </w:tc>
        <w:tc>
          <w:tcPr>
            <w:tcW w:type="dxa" w:w="2821"/>
            <w:shd w:fill="F5F7F8"/>
            <w:tcMar>
              <w:top w:w="55" w:type="dxa"/>
              <w:start w:w="70" w:type="dxa"/>
              <w:bottom w:w="55" w:type="dxa"/>
              <w:end w:w="70" w:type="dxa"/>
            </w:tcMar>
            <w:vAlign w:val="top"/>
          </w:tcPr>
          <w:p>
            <w:pPr>
              <w:pStyle w:val="TableSmall"/>
            </w:pPr>
            <w:r>
              <w:rPr>
                <w:sz w:val="13"/>
              </w:rPr>
              <w:t>Choose one repeated daytime contact and tell Tutor/welfare rep if mood/function is deteriorating.</w:t>
            </w:r>
          </w:p>
        </w:tc>
        <w:tc>
          <w:tcPr>
            <w:tcW w:type="dxa" w:w="2499"/>
            <w:shd w:fill="F5F7F8"/>
            <w:tcMar>
              <w:top w:w="55" w:type="dxa"/>
              <w:start w:w="70" w:type="dxa"/>
              <w:bottom w:w="55" w:type="dxa"/>
              <w:end w:w="70" w:type="dxa"/>
            </w:tcMar>
            <w:vAlign w:val="top"/>
          </w:tcPr>
          <w:p>
            <w:pPr>
              <w:pStyle w:val="TableSmall"/>
            </w:pPr>
            <w:r>
              <w:rPr>
                <w:sz w:val="13"/>
              </w:rPr>
              <w:t>A simple note of closures, exclusions and what you have tried.</w:t>
            </w:r>
          </w:p>
        </w:tc>
        <w:tc>
          <w:tcPr>
            <w:tcW w:type="dxa" w:w="3103"/>
            <w:shd w:fill="F5F7F8"/>
            <w:tcMar>
              <w:top w:w="55" w:type="dxa"/>
              <w:start w:w="70" w:type="dxa"/>
              <w:bottom w:w="55" w:type="dxa"/>
              <w:end w:w="70" w:type="dxa"/>
            </w:tcMar>
            <w:vAlign w:val="top"/>
          </w:tcPr>
          <w:p>
            <w:pPr>
              <w:pStyle w:val="TableSmall"/>
            </w:pPr>
            <w:r>
              <w:rPr>
                <w:sz w:val="13"/>
              </w:rPr>
              <w:t>GP/Student Support for mental health; campaign/representative if structural exclusion.</w:t>
            </w:r>
          </w:p>
        </w:tc>
      </w:tr>
      <w:tr>
        <w:trPr>
          <w:cantSplit w:val="true"/>
        </w:trPr>
        <w:tc>
          <w:tcPr>
            <w:tcW w:type="dxa" w:w="1612"/>
            <w:tcMar>
              <w:top w:w="55" w:type="dxa"/>
              <w:start w:w="70" w:type="dxa"/>
              <w:bottom w:w="55" w:type="dxa"/>
              <w:end w:w="70" w:type="dxa"/>
            </w:tcMar>
            <w:vAlign w:val="top"/>
          </w:tcPr>
          <w:p>
            <w:pPr>
              <w:pStyle w:val="TableSmall"/>
            </w:pPr>
            <w:r>
              <w:rPr>
                <w:sz w:val="13"/>
              </w:rPr>
              <w:t>Ageist comment</w:t>
            </w:r>
          </w:p>
        </w:tc>
        <w:tc>
          <w:tcPr>
            <w:tcW w:type="dxa" w:w="2821"/>
            <w:tcMar>
              <w:top w:w="55" w:type="dxa"/>
              <w:start w:w="70" w:type="dxa"/>
              <w:bottom w:w="55" w:type="dxa"/>
              <w:end w:w="70" w:type="dxa"/>
            </w:tcMar>
            <w:vAlign w:val="top"/>
          </w:tcPr>
          <w:p>
            <w:pPr>
              <w:pStyle w:val="TableSmall"/>
            </w:pPr>
            <w:r>
              <w:rPr>
                <w:sz w:val="13"/>
              </w:rPr>
              <w:t>Decide whether to challenge, document or seek support. A short boundary may be enough: “That is not an acceptable joke.”</w:t>
            </w:r>
          </w:p>
        </w:tc>
        <w:tc>
          <w:tcPr>
            <w:tcW w:type="dxa" w:w="2499"/>
            <w:tcMar>
              <w:top w:w="55" w:type="dxa"/>
              <w:start w:w="70" w:type="dxa"/>
              <w:bottom w:w="55" w:type="dxa"/>
              <w:end w:w="70" w:type="dxa"/>
            </w:tcMar>
            <w:vAlign w:val="top"/>
          </w:tcPr>
          <w:p>
            <w:pPr>
              <w:pStyle w:val="TableSmall"/>
            </w:pPr>
            <w:r>
              <w:rPr>
                <w:sz w:val="13"/>
              </w:rPr>
              <w:t>Exact words, date, place, witnesses and effect.</w:t>
            </w:r>
          </w:p>
        </w:tc>
        <w:tc>
          <w:tcPr>
            <w:tcW w:type="dxa" w:w="3103"/>
            <w:tcMar>
              <w:top w:w="55" w:type="dxa"/>
              <w:start w:w="70" w:type="dxa"/>
              <w:bottom w:w="55" w:type="dxa"/>
              <w:end w:w="70" w:type="dxa"/>
            </w:tcMar>
            <w:vAlign w:val="top"/>
          </w:tcPr>
          <w:p>
            <w:pPr>
              <w:pStyle w:val="TableSmall"/>
            </w:pPr>
            <w:r>
              <w:rPr>
                <w:sz w:val="13"/>
              </w:rPr>
              <w:t>Tutor, society/College officer, harassment/complaints route for repeated or serious conduct.</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Racism, sexism, homophobia, transphobia or ableism</w:t>
            </w:r>
          </w:p>
        </w:tc>
        <w:tc>
          <w:tcPr>
            <w:tcW w:type="dxa" w:w="2821"/>
            <w:shd w:fill="F5F7F8"/>
            <w:tcMar>
              <w:top w:w="55" w:type="dxa"/>
              <w:start w:w="70" w:type="dxa"/>
              <w:bottom w:w="55" w:type="dxa"/>
              <w:end w:w="70" w:type="dxa"/>
            </w:tcMar>
            <w:vAlign w:val="top"/>
          </w:tcPr>
          <w:p>
            <w:pPr>
              <w:pStyle w:val="TableSmall"/>
            </w:pPr>
            <w:r>
              <w:rPr>
                <w:sz w:val="13"/>
              </w:rPr>
              <w:t>Prioritise safety; speak to specialist support/representative; preserve evidence; choose informal or formal route.</w:t>
            </w:r>
          </w:p>
        </w:tc>
        <w:tc>
          <w:tcPr>
            <w:tcW w:type="dxa" w:w="2499"/>
            <w:shd w:fill="F5F7F8"/>
            <w:tcMar>
              <w:top w:w="55" w:type="dxa"/>
              <w:start w:w="70" w:type="dxa"/>
              <w:bottom w:w="55" w:type="dxa"/>
              <w:end w:w="70" w:type="dxa"/>
            </w:tcMar>
            <w:vAlign w:val="top"/>
          </w:tcPr>
          <w:p>
            <w:pPr>
              <w:pStyle w:val="TableSmall"/>
            </w:pPr>
            <w:r>
              <w:rPr>
                <w:sz w:val="13"/>
              </w:rPr>
              <w:t>Messages, screenshots, witness names, chronology, requested outcome.</w:t>
            </w:r>
          </w:p>
        </w:tc>
        <w:tc>
          <w:tcPr>
            <w:tcW w:type="dxa" w:w="3103"/>
            <w:shd w:fill="F5F7F8"/>
            <w:tcMar>
              <w:top w:w="55" w:type="dxa"/>
              <w:start w:w="70" w:type="dxa"/>
              <w:bottom w:w="55" w:type="dxa"/>
              <w:end w:w="70" w:type="dxa"/>
            </w:tcMar>
            <w:vAlign w:val="top"/>
          </w:tcPr>
          <w:p>
            <w:pPr>
              <w:pStyle w:val="TableSmall"/>
            </w:pPr>
            <w:r>
              <w:rPr>
                <w:sz w:val="13"/>
              </w:rPr>
              <w:t>Harassment service, College/University complaint, police where criminal/immediate. [U13]</w:t>
            </w:r>
          </w:p>
        </w:tc>
      </w:tr>
      <w:tr>
        <w:trPr>
          <w:cantSplit w:val="true"/>
        </w:trPr>
        <w:tc>
          <w:tcPr>
            <w:tcW w:type="dxa" w:w="1612"/>
            <w:tcMar>
              <w:top w:w="55" w:type="dxa"/>
              <w:start w:w="70" w:type="dxa"/>
              <w:bottom w:w="55" w:type="dxa"/>
              <w:end w:w="70" w:type="dxa"/>
            </w:tcMar>
            <w:vAlign w:val="top"/>
          </w:tcPr>
          <w:p>
            <w:pPr>
              <w:pStyle w:val="TableSmall"/>
            </w:pPr>
            <w:r>
              <w:rPr>
                <w:sz w:val="13"/>
              </w:rPr>
              <w:t>Conflict with supervisor</w:t>
            </w:r>
          </w:p>
        </w:tc>
        <w:tc>
          <w:tcPr>
            <w:tcW w:type="dxa" w:w="2821"/>
            <w:tcMar>
              <w:top w:w="55" w:type="dxa"/>
              <w:start w:w="70" w:type="dxa"/>
              <w:bottom w:w="55" w:type="dxa"/>
              <w:end w:w="70" w:type="dxa"/>
            </w:tcMar>
            <w:vAlign w:val="top"/>
          </w:tcPr>
          <w:p>
            <w:pPr>
              <w:pStyle w:val="TableSmall"/>
            </w:pPr>
            <w:r>
              <w:rPr>
                <w:sz w:val="13"/>
              </w:rPr>
              <w:t>Name the academic issue first; ask for clarity. If trust or access has broken down, tell DoS and request a change or mediation.</w:t>
            </w:r>
          </w:p>
        </w:tc>
        <w:tc>
          <w:tcPr>
            <w:tcW w:type="dxa" w:w="2499"/>
            <w:tcMar>
              <w:top w:w="55" w:type="dxa"/>
              <w:start w:w="70" w:type="dxa"/>
              <w:bottom w:w="55" w:type="dxa"/>
              <w:end w:w="70" w:type="dxa"/>
            </w:tcMar>
            <w:vAlign w:val="top"/>
          </w:tcPr>
          <w:p>
            <w:pPr>
              <w:pStyle w:val="TableSmall"/>
            </w:pPr>
            <w:r>
              <w:rPr>
                <w:sz w:val="13"/>
              </w:rPr>
              <w:t>Work, feedback, dates, agreed expectations.</w:t>
            </w:r>
          </w:p>
        </w:tc>
        <w:tc>
          <w:tcPr>
            <w:tcW w:type="dxa" w:w="3103"/>
            <w:tcMar>
              <w:top w:w="55" w:type="dxa"/>
              <w:start w:w="70" w:type="dxa"/>
              <w:bottom w:w="55" w:type="dxa"/>
              <w:end w:w="70" w:type="dxa"/>
            </w:tcMar>
            <w:vAlign w:val="top"/>
          </w:tcPr>
          <w:p>
            <w:pPr>
              <w:pStyle w:val="TableSmall"/>
            </w:pPr>
            <w:r>
              <w:rPr>
                <w:sz w:val="13"/>
              </w:rPr>
              <w:t>Senior academic/Faculty route if DoS cannot resolve or conflict of interest.</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Problem with Tutor</w:t>
            </w:r>
          </w:p>
        </w:tc>
        <w:tc>
          <w:tcPr>
            <w:tcW w:type="dxa" w:w="2821"/>
            <w:shd w:fill="F5F7F8"/>
            <w:tcMar>
              <w:top w:w="55" w:type="dxa"/>
              <w:start w:w="70" w:type="dxa"/>
              <w:bottom w:w="55" w:type="dxa"/>
              <w:end w:w="70" w:type="dxa"/>
            </w:tcMar>
            <w:vAlign w:val="top"/>
          </w:tcPr>
          <w:p>
            <w:pPr>
              <w:pStyle w:val="TableSmall"/>
            </w:pPr>
            <w:r>
              <w:rPr>
                <w:sz w:val="13"/>
              </w:rPr>
              <w:t>Use alternative Tutor, Senior Tutor or published College route; obtain independent SU advice.</w:t>
            </w:r>
          </w:p>
        </w:tc>
        <w:tc>
          <w:tcPr>
            <w:tcW w:type="dxa" w:w="2499"/>
            <w:shd w:fill="F5F7F8"/>
            <w:tcMar>
              <w:top w:w="55" w:type="dxa"/>
              <w:start w:w="70" w:type="dxa"/>
              <w:bottom w:w="55" w:type="dxa"/>
              <w:end w:w="70" w:type="dxa"/>
            </w:tcMar>
            <w:vAlign w:val="top"/>
          </w:tcPr>
          <w:p>
            <w:pPr>
              <w:pStyle w:val="TableSmall"/>
            </w:pPr>
            <w:r>
              <w:rPr>
                <w:sz w:val="13"/>
              </w:rPr>
              <w:t>Chronology, requests, replies, impact, desired remedy.</w:t>
            </w:r>
          </w:p>
        </w:tc>
        <w:tc>
          <w:tcPr>
            <w:tcW w:type="dxa" w:w="3103"/>
            <w:shd w:fill="F5F7F8"/>
            <w:tcMar>
              <w:top w:w="55" w:type="dxa"/>
              <w:start w:w="70" w:type="dxa"/>
              <w:bottom w:w="55" w:type="dxa"/>
              <w:end w:w="70" w:type="dxa"/>
            </w:tcMar>
            <w:vAlign w:val="top"/>
          </w:tcPr>
          <w:p>
            <w:pPr>
              <w:pStyle w:val="TableSmall"/>
            </w:pPr>
            <w:r>
              <w:rPr>
                <w:sz w:val="13"/>
              </w:rPr>
              <w:t>College complaint; University process only where jurisdiction applies.</w:t>
            </w:r>
          </w:p>
        </w:tc>
      </w:tr>
      <w:tr>
        <w:trPr>
          <w:cantSplit w:val="true"/>
        </w:trPr>
        <w:tc>
          <w:tcPr>
            <w:tcW w:type="dxa" w:w="1612"/>
            <w:tcMar>
              <w:top w:w="55" w:type="dxa"/>
              <w:start w:w="70" w:type="dxa"/>
              <w:bottom w:w="55" w:type="dxa"/>
              <w:end w:w="70" w:type="dxa"/>
            </w:tcMar>
            <w:vAlign w:val="top"/>
          </w:tcPr>
          <w:p>
            <w:pPr>
              <w:pStyle w:val="TableSmall"/>
            </w:pPr>
            <w:r>
              <w:rPr>
                <w:sz w:val="13"/>
              </w:rPr>
              <w:t>Cannot attend evening events</w:t>
            </w:r>
          </w:p>
        </w:tc>
        <w:tc>
          <w:tcPr>
            <w:tcW w:type="dxa" w:w="2821"/>
            <w:tcMar>
              <w:top w:w="55" w:type="dxa"/>
              <w:start w:w="70" w:type="dxa"/>
              <w:bottom w:w="55" w:type="dxa"/>
              <w:end w:w="70" w:type="dxa"/>
            </w:tcMar>
            <w:vAlign w:val="top"/>
          </w:tcPr>
          <w:p>
            <w:pPr>
              <w:pStyle w:val="TableSmall"/>
            </w:pPr>
            <w:r>
              <w:rPr>
                <w:sz w:val="13"/>
              </w:rPr>
              <w:t>Propose a rotating daytime/lunch option and build other repeated contact.</w:t>
            </w:r>
          </w:p>
        </w:tc>
        <w:tc>
          <w:tcPr>
            <w:tcW w:type="dxa" w:w="2499"/>
            <w:tcMar>
              <w:top w:w="55" w:type="dxa"/>
              <w:start w:w="70" w:type="dxa"/>
              <w:bottom w:w="55" w:type="dxa"/>
              <w:end w:w="70" w:type="dxa"/>
            </w:tcMar>
            <w:vAlign w:val="top"/>
          </w:tcPr>
          <w:p>
            <w:pPr>
              <w:pStyle w:val="TableSmall"/>
            </w:pPr>
            <w:r>
              <w:rPr>
                <w:sz w:val="13"/>
              </w:rPr>
              <w:t>Event schedule showing systematic timing where relevant.</w:t>
            </w:r>
          </w:p>
        </w:tc>
        <w:tc>
          <w:tcPr>
            <w:tcW w:type="dxa" w:w="3103"/>
            <w:tcMar>
              <w:top w:w="55" w:type="dxa"/>
              <w:start w:w="70" w:type="dxa"/>
              <w:bottom w:w="55" w:type="dxa"/>
              <w:end w:w="70" w:type="dxa"/>
            </w:tcMar>
            <w:vAlign w:val="top"/>
          </w:tcPr>
          <w:p>
            <w:pPr>
              <w:pStyle w:val="TableSmall"/>
            </w:pPr>
            <w:r>
              <w:rPr>
                <w:sz w:val="13"/>
              </w:rPr>
              <w:t>JCR/MCR/equality representative if access to representation—not just entertainment—is affected.</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Considering intermission</w:t>
            </w:r>
          </w:p>
        </w:tc>
        <w:tc>
          <w:tcPr>
            <w:tcW w:type="dxa" w:w="2821"/>
            <w:shd w:fill="F5F7F8"/>
            <w:tcMar>
              <w:top w:w="55" w:type="dxa"/>
              <w:start w:w="70" w:type="dxa"/>
              <w:bottom w:w="55" w:type="dxa"/>
              <w:end w:w="70" w:type="dxa"/>
            </w:tcMar>
            <w:vAlign w:val="top"/>
          </w:tcPr>
          <w:p>
            <w:pPr>
              <w:pStyle w:val="TableSmall"/>
            </w:pPr>
            <w:r>
              <w:rPr>
                <w:sz w:val="13"/>
              </w:rPr>
              <w:t>Meet Tutor and DoS; map health, conditions, return, housing, finance, visa and childcare before deciding.</w:t>
            </w:r>
          </w:p>
        </w:tc>
        <w:tc>
          <w:tcPr>
            <w:tcW w:type="dxa" w:w="2499"/>
            <w:shd w:fill="F5F7F8"/>
            <w:tcMar>
              <w:top w:w="55" w:type="dxa"/>
              <w:start w:w="70" w:type="dxa"/>
              <w:bottom w:w="55" w:type="dxa"/>
              <w:end w:w="70" w:type="dxa"/>
            </w:tcMar>
            <w:vAlign w:val="top"/>
          </w:tcPr>
          <w:p>
            <w:pPr>
              <w:pStyle w:val="TableSmall"/>
            </w:pPr>
            <w:r>
              <w:rPr>
                <w:sz w:val="13"/>
              </w:rPr>
              <w:t>Medical/support evidence, academic position, finance/housing consequences.</w:t>
            </w:r>
          </w:p>
        </w:tc>
        <w:tc>
          <w:tcPr>
            <w:tcW w:type="dxa" w:w="3103"/>
            <w:shd w:fill="F5F7F8"/>
            <w:tcMar>
              <w:top w:w="55" w:type="dxa"/>
              <w:start w:w="70" w:type="dxa"/>
              <w:bottom w:w="55" w:type="dxa"/>
              <w:end w:w="70" w:type="dxa"/>
            </w:tcMar>
            <w:vAlign w:val="top"/>
          </w:tcPr>
          <w:p>
            <w:pPr>
              <w:pStyle w:val="TableSmall"/>
            </w:pPr>
            <w:r>
              <w:rPr>
                <w:sz w:val="13"/>
              </w:rPr>
              <w:t>Senior Tutor; International Student Office; SU Advice. [U14] [U15]</w:t>
            </w:r>
          </w:p>
        </w:tc>
      </w:tr>
      <w:tr>
        <w:trPr>
          <w:cantSplit w:val="true"/>
        </w:trPr>
        <w:tc>
          <w:tcPr>
            <w:tcW w:type="dxa" w:w="1612"/>
            <w:tcMar>
              <w:top w:w="55" w:type="dxa"/>
              <w:start w:w="70" w:type="dxa"/>
              <w:bottom w:w="55" w:type="dxa"/>
              <w:end w:w="70" w:type="dxa"/>
            </w:tcMar>
            <w:vAlign w:val="top"/>
          </w:tcPr>
          <w:p>
            <w:pPr>
              <w:pStyle w:val="TableSmall"/>
            </w:pPr>
            <w:r>
              <w:rPr>
                <w:sz w:val="13"/>
              </w:rPr>
              <w:t>Thinking of leaving</w:t>
            </w:r>
          </w:p>
        </w:tc>
        <w:tc>
          <w:tcPr>
            <w:tcW w:type="dxa" w:w="2821"/>
            <w:tcMar>
              <w:top w:w="55" w:type="dxa"/>
              <w:start w:w="70" w:type="dxa"/>
              <w:bottom w:w="55" w:type="dxa"/>
              <w:end w:w="70" w:type="dxa"/>
            </w:tcMar>
            <w:vAlign w:val="top"/>
          </w:tcPr>
          <w:p>
            <w:pPr>
              <w:pStyle w:val="TableSmall"/>
            </w:pPr>
            <w:r>
              <w:rPr>
                <w:sz w:val="13"/>
              </w:rPr>
              <w:t>Separate “leave tonight” from “explore withdrawal”. Stabilise health/housing/money; obtain written consequences and alternatives.</w:t>
            </w:r>
          </w:p>
        </w:tc>
        <w:tc>
          <w:tcPr>
            <w:tcW w:type="dxa" w:w="2499"/>
            <w:tcMar>
              <w:top w:w="55" w:type="dxa"/>
              <w:start w:w="70" w:type="dxa"/>
              <w:bottom w:w="55" w:type="dxa"/>
              <w:end w:w="70" w:type="dxa"/>
            </w:tcMar>
            <w:vAlign w:val="top"/>
          </w:tcPr>
          <w:p>
            <w:pPr>
              <w:pStyle w:val="TableSmall"/>
            </w:pPr>
            <w:r>
              <w:rPr>
                <w:sz w:val="13"/>
              </w:rPr>
              <w:t>Offer/registration status, finance, accommodation, academic record.</w:t>
            </w:r>
          </w:p>
        </w:tc>
        <w:tc>
          <w:tcPr>
            <w:tcW w:type="dxa" w:w="3103"/>
            <w:tcMar>
              <w:top w:w="55" w:type="dxa"/>
              <w:start w:w="70" w:type="dxa"/>
              <w:bottom w:w="55" w:type="dxa"/>
              <w:end w:w="70" w:type="dxa"/>
            </w:tcMar>
            <w:vAlign w:val="top"/>
          </w:tcPr>
          <w:p>
            <w:pPr>
              <w:pStyle w:val="TableSmall"/>
            </w:pPr>
            <w:r>
              <w:rPr>
                <w:sz w:val="13"/>
              </w:rPr>
              <w:t>Tutor, DoS, Senior Tutor, Careers, SU Advice and visa/finance bodies.</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Relationship breakdown</w:t>
            </w:r>
          </w:p>
        </w:tc>
        <w:tc>
          <w:tcPr>
            <w:tcW w:type="dxa" w:w="2821"/>
            <w:shd w:fill="F5F7F8"/>
            <w:tcMar>
              <w:top w:w="55" w:type="dxa"/>
              <w:start w:w="70" w:type="dxa"/>
              <w:bottom w:w="55" w:type="dxa"/>
              <w:end w:w="70" w:type="dxa"/>
            </w:tcMar>
            <w:vAlign w:val="top"/>
          </w:tcPr>
          <w:p>
            <w:pPr>
              <w:pStyle w:val="TableSmall"/>
            </w:pPr>
            <w:r>
              <w:rPr>
                <w:sz w:val="13"/>
              </w:rPr>
              <w:t>Secure safety, housing, money and childcare; tell Tutor only what is needed for urgent support.</w:t>
            </w:r>
          </w:p>
        </w:tc>
        <w:tc>
          <w:tcPr>
            <w:tcW w:type="dxa" w:w="2499"/>
            <w:shd w:fill="F5F7F8"/>
            <w:tcMar>
              <w:top w:w="55" w:type="dxa"/>
              <w:start w:w="70" w:type="dxa"/>
              <w:bottom w:w="55" w:type="dxa"/>
              <w:end w:w="70" w:type="dxa"/>
            </w:tcMar>
            <w:vAlign w:val="top"/>
          </w:tcPr>
          <w:p>
            <w:pPr>
              <w:pStyle w:val="TableSmall"/>
            </w:pPr>
            <w:r>
              <w:rPr>
                <w:sz w:val="13"/>
              </w:rPr>
              <w:t>Tenancy/licence, finances, important documents, messages where abuse/harassment.</w:t>
            </w:r>
          </w:p>
        </w:tc>
        <w:tc>
          <w:tcPr>
            <w:tcW w:type="dxa" w:w="3103"/>
            <w:shd w:fill="F5F7F8"/>
            <w:tcMar>
              <w:top w:w="55" w:type="dxa"/>
              <w:start w:w="70" w:type="dxa"/>
              <w:bottom w:w="55" w:type="dxa"/>
              <w:end w:w="70" w:type="dxa"/>
            </w:tcMar>
            <w:vAlign w:val="top"/>
          </w:tcPr>
          <w:p>
            <w:pPr>
              <w:pStyle w:val="TableSmall"/>
            </w:pPr>
            <w:r>
              <w:rPr>
                <w:sz w:val="13"/>
              </w:rPr>
              <w:t>Domestic-abuse service/police if unsafe; College emergency housing; legal advice.</w:t>
            </w:r>
          </w:p>
        </w:tc>
      </w:tr>
      <w:tr>
        <w:trPr>
          <w:cantSplit w:val="true"/>
        </w:trPr>
        <w:tc>
          <w:tcPr>
            <w:tcW w:type="dxa" w:w="1612"/>
            <w:tcMar>
              <w:top w:w="55" w:type="dxa"/>
              <w:start w:w="70" w:type="dxa"/>
              <w:bottom w:w="55" w:type="dxa"/>
              <w:end w:w="70" w:type="dxa"/>
            </w:tcMar>
            <w:vAlign w:val="top"/>
          </w:tcPr>
          <w:p>
            <w:pPr>
              <w:pStyle w:val="TableSmall"/>
            </w:pPr>
            <w:r>
              <w:rPr>
                <w:sz w:val="13"/>
              </w:rPr>
              <w:t>Visa/immigration problem</w:t>
            </w:r>
          </w:p>
        </w:tc>
        <w:tc>
          <w:tcPr>
            <w:tcW w:type="dxa" w:w="2821"/>
            <w:tcMar>
              <w:top w:w="55" w:type="dxa"/>
              <w:start w:w="70" w:type="dxa"/>
              <w:bottom w:w="55" w:type="dxa"/>
              <w:end w:w="70" w:type="dxa"/>
            </w:tcMar>
            <w:vAlign w:val="top"/>
          </w:tcPr>
          <w:p>
            <w:pPr>
              <w:pStyle w:val="TableSmall"/>
            </w:pPr>
            <w:r>
              <w:rPr>
                <w:sz w:val="13"/>
              </w:rPr>
              <w:t>Contact International Student Office immediately; do not rely on peers or social media. Avoid unauthorised work/status change.</w:t>
            </w:r>
          </w:p>
        </w:tc>
        <w:tc>
          <w:tcPr>
            <w:tcW w:type="dxa" w:w="2499"/>
            <w:tcMar>
              <w:top w:w="55" w:type="dxa"/>
              <w:start w:w="70" w:type="dxa"/>
              <w:bottom w:w="55" w:type="dxa"/>
              <w:end w:w="70" w:type="dxa"/>
            </w:tcMar>
            <w:vAlign w:val="top"/>
          </w:tcPr>
          <w:p>
            <w:pPr>
              <w:pStyle w:val="TableSmall"/>
            </w:pPr>
            <w:r>
              <w:rPr>
                <w:sz w:val="13"/>
              </w:rPr>
              <w:t>Passport, visa/eVisa, CAS, travel dates, correspondence, attendance/status documents.</w:t>
            </w:r>
          </w:p>
        </w:tc>
        <w:tc>
          <w:tcPr>
            <w:tcW w:type="dxa" w:w="3103"/>
            <w:tcMar>
              <w:top w:w="55" w:type="dxa"/>
              <w:start w:w="70" w:type="dxa"/>
              <w:bottom w:w="55" w:type="dxa"/>
              <w:end w:w="70" w:type="dxa"/>
            </w:tcMar>
            <w:vAlign w:val="top"/>
          </w:tcPr>
          <w:p>
            <w:pPr>
              <w:pStyle w:val="TableSmall"/>
            </w:pPr>
            <w:r>
              <w:rPr>
                <w:sz w:val="13"/>
              </w:rPr>
              <w:t>Qualified immigration adviser as directed; College and Student Registry for status action.</w:t>
            </w:r>
          </w:p>
        </w:tc>
      </w:tr>
      <w:tr>
        <w:trPr>
          <w:cantSplit w:val="true"/>
        </w:trPr>
        <w:tc>
          <w:tcPr>
            <w:tcW w:type="dxa" w:w="1612"/>
            <w:shd w:fill="F5F7F8"/>
            <w:tcMar>
              <w:top w:w="55" w:type="dxa"/>
              <w:start w:w="70" w:type="dxa"/>
              <w:bottom w:w="55" w:type="dxa"/>
              <w:end w:w="70" w:type="dxa"/>
            </w:tcMar>
            <w:vAlign w:val="top"/>
          </w:tcPr>
          <w:p>
            <w:pPr>
              <w:pStyle w:val="TableSmall"/>
            </w:pPr>
            <w:r>
              <w:rPr>
                <w:sz w:val="13"/>
              </w:rPr>
              <w:t>Complaint ignored</w:t>
            </w:r>
          </w:p>
        </w:tc>
        <w:tc>
          <w:tcPr>
            <w:tcW w:type="dxa" w:w="2821"/>
            <w:shd w:fill="F5F7F8"/>
            <w:tcMar>
              <w:top w:w="55" w:type="dxa"/>
              <w:start w:w="70" w:type="dxa"/>
              <w:bottom w:w="55" w:type="dxa"/>
              <w:end w:w="70" w:type="dxa"/>
            </w:tcMar>
            <w:vAlign w:val="top"/>
          </w:tcPr>
          <w:p>
            <w:pPr>
              <w:pStyle w:val="TableSmall"/>
            </w:pPr>
            <w:r>
              <w:rPr>
                <w:sz w:val="13"/>
              </w:rPr>
              <w:t>Send a concise follow-up naming the procedure, original date, requested response and deadline. Seek SU Advice before escalation.</w:t>
            </w:r>
          </w:p>
        </w:tc>
        <w:tc>
          <w:tcPr>
            <w:tcW w:type="dxa" w:w="2499"/>
            <w:shd w:fill="F5F7F8"/>
            <w:tcMar>
              <w:top w:w="55" w:type="dxa"/>
              <w:start w:w="70" w:type="dxa"/>
              <w:bottom w:w="55" w:type="dxa"/>
              <w:end w:w="70" w:type="dxa"/>
            </w:tcMar>
            <w:vAlign w:val="top"/>
          </w:tcPr>
          <w:p>
            <w:pPr>
              <w:pStyle w:val="TableSmall"/>
            </w:pPr>
            <w:r>
              <w:rPr>
                <w:sz w:val="13"/>
              </w:rPr>
              <w:t>Original complaint, acknowledgement, policy, all replies and remedy sought.</w:t>
            </w:r>
          </w:p>
        </w:tc>
        <w:tc>
          <w:tcPr>
            <w:tcW w:type="dxa" w:w="3103"/>
            <w:shd w:fill="F5F7F8"/>
            <w:tcMar>
              <w:top w:w="55" w:type="dxa"/>
              <w:start w:w="70" w:type="dxa"/>
              <w:bottom w:w="55" w:type="dxa"/>
              <w:end w:w="70" w:type="dxa"/>
            </w:tcMar>
            <w:vAlign w:val="top"/>
          </w:tcPr>
          <w:p>
            <w:pPr>
              <w:pStyle w:val="TableSmall"/>
            </w:pPr>
            <w:r>
              <w:rPr>
                <w:sz w:val="13"/>
              </w:rPr>
              <w:t>Next formal stage, review/appeal or external body only after checking jurisdiction/deadline.</w:t>
            </w:r>
          </w:p>
        </w:tc>
      </w:tr>
    </w:tbl>
    <w:p>
      <w:pPr>
        <w:spacing w:after="20"/>
      </w:pPr>
    </w:p>
    <w:p>
      <w:pPr>
        <w:pStyle w:val="Heading2"/>
        <w:keepNext/>
      </w:pPr>
      <w:r>
        <w:t>How to write the first useful email</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SUBJECT: URGENT ACTION NEEDED BY [DATE] — [SHORT ISSUE]</w:t>
            </w:r>
          </w:p>
          <w:p>
            <w:pPr>
              <w:spacing w:after="40"/>
            </w:pPr>
            <w:r>
              <w:t>I am a first-year [course] undergraduate at [College]. Since [date], [brief factual problem] has affected [specific teaching/housing/health/finance].</w:t>
            </w:r>
          </w:p>
          <w:p>
            <w:pPr>
              <w:spacing w:after="40"/>
            </w:pPr>
            <w:r>
              <w:t>The immediate deadline or risk is [date/time]. I am requesting [extension / meeting / room inspection / emergency funds / alternative contact].</w:t>
            </w:r>
          </w:p>
          <w:p>
            <w:pPr>
              <w:spacing w:after="0"/>
            </w:pPr>
            <w:r>
              <w:t>I have attached [relevant evidence] and have also contacted [person/service]. Please confirm by [reasonable time] who will decide and what I should do meanwhile.</w:t>
            </w:r>
          </w:p>
        </w:tc>
      </w:tr>
    </w:tbl>
    <w:p>
      <w:pPr>
        <w:spacing w:after="20"/>
      </w:pPr>
    </w:p>
    <w:p>
      <w:r>
        <w:t>Avoid a ten-page history in the first message. Preserve the full chronology separately. A clear request makes it harder for an urgent problem to be acknowledged sympathetically but not acted upon.</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A problem becomes a case when you name the effect, requested action, decision-maker and deadline.</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Who is the alternative contact if my Tutor/DoS is unavailable or involved? What is the formal escalation and time limit?</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Sending emotional detail to a large mailing list without a specific request, then assuming the acknowledgement solved the practical risk.</w:t>
            </w:r>
          </w:p>
        </w:tc>
      </w:tr>
    </w:tbl>
    <w:p>
      <w:pPr>
        <w:spacing w:after="40"/>
      </w:pPr>
    </w:p>
    <w:p>
      <w:pPr>
        <w:pStyle w:val="Heading1"/>
        <w:keepNext/>
      </w:pPr>
      <w:r>
        <w:t>19. Myths, realities and hard truths</w:t>
      </w:r>
    </w:p>
    <w:p>
      <w:pPr>
        <w:spacing w:after="160"/>
      </w:pPr>
      <w:r>
        <w:rPr>
          <w:i/>
          <w:color w:val="5F6B73"/>
          <w:sz w:val="20"/>
        </w:rPr>
        <w:t>Cambridge is neither a magical meritocracy nor an impossible museum.</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969"/>
        <w:gridCol w:w="1757"/>
        <w:gridCol w:w="4025"/>
      </w:tblGrid>
      <w:tr>
        <w:trPr>
          <w:tblHeader w:val="true"/>
          <w:cantSplit w:val="true"/>
        </w:trPr>
        <w:tc>
          <w:tcPr>
            <w:tcW w:type="dxa" w:w="3969"/>
            <w:shd w:fill="17324D"/>
            <w:tcMar>
              <w:top w:w="70" w:type="dxa"/>
              <w:start w:w="80" w:type="dxa"/>
              <w:bottom w:w="70" w:type="dxa"/>
              <w:end w:w="80" w:type="dxa"/>
            </w:tcMar>
            <w:vAlign w:val="center"/>
          </w:tcPr>
          <w:p>
            <w:pPr>
              <w:pStyle w:val="TableText"/>
              <w:jc w:val="left"/>
            </w:pPr>
            <w:r>
              <w:rPr>
                <w:b/>
                <w:color w:val="FFFFFF"/>
                <w:sz w:val="14"/>
              </w:rPr>
              <w:t>Claim</w:t>
            </w:r>
          </w:p>
        </w:tc>
        <w:tc>
          <w:tcPr>
            <w:tcW w:type="dxa" w:w="1757"/>
            <w:shd w:fill="17324D"/>
            <w:tcMar>
              <w:top w:w="70" w:type="dxa"/>
              <w:start w:w="80" w:type="dxa"/>
              <w:bottom w:w="70" w:type="dxa"/>
              <w:end w:w="80" w:type="dxa"/>
            </w:tcMar>
            <w:vAlign w:val="center"/>
          </w:tcPr>
          <w:p>
            <w:pPr>
              <w:pStyle w:val="TableText"/>
              <w:jc w:val="left"/>
            </w:pPr>
            <w:r>
              <w:rPr>
                <w:b/>
                <w:color w:val="FFFFFF"/>
                <w:sz w:val="14"/>
              </w:rPr>
              <w:t>Verdict</w:t>
            </w:r>
          </w:p>
        </w:tc>
        <w:tc>
          <w:tcPr>
            <w:tcW w:type="dxa" w:w="4025"/>
            <w:shd w:fill="17324D"/>
            <w:tcMar>
              <w:top w:w="70" w:type="dxa"/>
              <w:start w:w="80" w:type="dxa"/>
              <w:bottom w:w="70" w:type="dxa"/>
              <w:end w:w="80" w:type="dxa"/>
            </w:tcMar>
            <w:vAlign w:val="center"/>
          </w:tcPr>
          <w:p>
            <w:pPr>
              <w:pStyle w:val="TableText"/>
              <w:jc w:val="left"/>
            </w:pPr>
            <w:r>
              <w:rPr>
                <w:b/>
                <w:color w:val="FFFFFF"/>
                <w:sz w:val="14"/>
              </w:rPr>
              <w:t>Reality</w:t>
            </w:r>
          </w:p>
        </w:tc>
      </w:tr>
      <w:tr>
        <w:trPr>
          <w:cantSplit w:val="true"/>
        </w:trPr>
        <w:tc>
          <w:tcPr>
            <w:tcW w:type="dxa" w:w="3969"/>
            <w:tcMar>
              <w:top w:w="55" w:type="dxa"/>
              <w:start w:w="70" w:type="dxa"/>
              <w:bottom w:w="55" w:type="dxa"/>
              <w:end w:w="70" w:type="dxa"/>
            </w:tcMar>
            <w:vAlign w:val="top"/>
          </w:tcPr>
          <w:p>
            <w:pPr>
              <w:pStyle w:val="TableText"/>
            </w:pPr>
            <w:r>
              <w:rPr>
                <w:sz w:val="14"/>
              </w:rPr>
              <w:t>“All Cambridge students are eighteen-year-old private-school pupils.”</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The population is diverse in age and schooling, though privilege and uneven prior knowledge remain visible.</w:t>
            </w:r>
          </w:p>
        </w:tc>
      </w:tr>
      <w:tr>
        <w:trPr>
          <w:cantSplit w:val="true"/>
        </w:trPr>
        <w:tc>
          <w:tcPr>
            <w:tcW w:type="dxa" w:w="3969"/>
            <w:shd w:fill="F5F7F8"/>
            <w:tcMar>
              <w:top w:w="55" w:type="dxa"/>
              <w:start w:w="70" w:type="dxa"/>
              <w:bottom w:w="55" w:type="dxa"/>
              <w:end w:w="70" w:type="dxa"/>
            </w:tcMar>
            <w:vAlign w:val="top"/>
          </w:tcPr>
          <w:p>
            <w:pPr>
              <w:pStyle w:val="TableText"/>
            </w:pPr>
            <w:r>
              <w:rPr>
                <w:sz w:val="14"/>
              </w:rPr>
              <w:t>“Mature students must attend a mature College.”</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They may apply to other undergraduate Colleges; open mature applications are allocated to a mature College. [U01]</w:t>
            </w:r>
          </w:p>
        </w:tc>
      </w:tr>
      <w:tr>
        <w:trPr>
          <w:cantSplit w:val="true"/>
        </w:trPr>
        <w:tc>
          <w:tcPr>
            <w:tcW w:type="dxa" w:w="3969"/>
            <w:tcMar>
              <w:top w:w="55" w:type="dxa"/>
              <w:start w:w="70" w:type="dxa"/>
              <w:bottom w:w="55" w:type="dxa"/>
              <w:end w:w="70" w:type="dxa"/>
            </w:tcMar>
            <w:vAlign w:val="top"/>
          </w:tcPr>
          <w:p>
            <w:pPr>
              <w:pStyle w:val="TableText"/>
            </w:pPr>
            <w:r>
              <w:rPr>
                <w:sz w:val="14"/>
              </w:rPr>
              <w:t>“You need to know Latin.”</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You can follow grace and graduation without understanding Latin; course language requirements are separate.</w:t>
            </w:r>
          </w:p>
        </w:tc>
      </w:tr>
      <w:tr>
        <w:trPr>
          <w:cantSplit w:val="true"/>
        </w:trPr>
        <w:tc>
          <w:tcPr>
            <w:tcW w:type="dxa" w:w="3969"/>
            <w:shd w:fill="F5F7F8"/>
            <w:tcMar>
              <w:top w:w="55" w:type="dxa"/>
              <w:start w:w="70" w:type="dxa"/>
              <w:bottom w:w="55" w:type="dxa"/>
              <w:end w:w="70" w:type="dxa"/>
            </w:tcMar>
            <w:vAlign w:val="top"/>
          </w:tcPr>
          <w:p>
            <w:pPr>
              <w:pStyle w:val="TableText"/>
            </w:pPr>
            <w:r>
              <w:rPr>
                <w:sz w:val="14"/>
              </w:rPr>
              <w:t>“Everyone lives in College.”</w:t>
            </w:r>
          </w:p>
        </w:tc>
        <w:tc>
          <w:tcPr>
            <w:tcW w:type="dxa" w:w="1757"/>
            <w:shd w:fill="F5F7F8"/>
            <w:tcMar>
              <w:top w:w="55" w:type="dxa"/>
              <w:start w:w="70" w:type="dxa"/>
              <w:bottom w:w="55" w:type="dxa"/>
              <w:end w:w="70" w:type="dxa"/>
            </w:tcMar>
            <w:vAlign w:val="top"/>
          </w:tcPr>
          <w:p>
            <w:pPr>
              <w:pStyle w:val="TableText"/>
            </w:pPr>
            <w:r>
              <w:rPr>
                <w:sz w:val="14"/>
              </w:rPr>
              <w:t>False / College-dependent</w:t>
            </w:r>
          </w:p>
        </w:tc>
        <w:tc>
          <w:tcPr>
            <w:tcW w:type="dxa" w:w="4025"/>
            <w:shd w:fill="F5F7F8"/>
            <w:tcMar>
              <w:top w:w="55" w:type="dxa"/>
              <w:start w:w="70" w:type="dxa"/>
              <w:bottom w:w="55" w:type="dxa"/>
              <w:end w:w="70" w:type="dxa"/>
            </w:tcMar>
            <w:vAlign w:val="top"/>
          </w:tcPr>
          <w:p>
            <w:pPr>
              <w:pStyle w:val="TableText"/>
            </w:pPr>
            <w:r>
              <w:rPr>
                <w:sz w:val="14"/>
              </w:rPr>
              <w:t>Many do, especially early years, but students also live in College houses, private rent or family homes with permission/rules.</w:t>
            </w:r>
          </w:p>
        </w:tc>
      </w:tr>
      <w:tr>
        <w:trPr>
          <w:cantSplit w:val="true"/>
        </w:trPr>
        <w:tc>
          <w:tcPr>
            <w:tcW w:type="dxa" w:w="3969"/>
            <w:tcMar>
              <w:top w:w="55" w:type="dxa"/>
              <w:start w:w="70" w:type="dxa"/>
              <w:bottom w:w="55" w:type="dxa"/>
              <w:end w:w="70" w:type="dxa"/>
            </w:tcMar>
            <w:vAlign w:val="top"/>
          </w:tcPr>
          <w:p>
            <w:pPr>
              <w:pStyle w:val="TableText"/>
            </w:pPr>
            <w:r>
              <w:rPr>
                <w:sz w:val="14"/>
              </w:rPr>
              <w:t>“You cannot have a family and study at Cambridge.”</w:t>
            </w:r>
          </w:p>
        </w:tc>
        <w:tc>
          <w:tcPr>
            <w:tcW w:type="dxa" w:w="1757"/>
            <w:tcMar>
              <w:top w:w="55" w:type="dxa"/>
              <w:start w:w="70" w:type="dxa"/>
              <w:bottom w:w="55" w:type="dxa"/>
              <w:end w:w="70" w:type="dxa"/>
            </w:tcMar>
            <w:vAlign w:val="top"/>
          </w:tcPr>
          <w:p>
            <w:pPr>
              <w:pStyle w:val="TableText"/>
            </w:pPr>
            <w:r>
              <w:rPr>
                <w:sz w:val="14"/>
              </w:rPr>
              <w:t>False but difficult</w:t>
            </w:r>
          </w:p>
        </w:tc>
        <w:tc>
          <w:tcPr>
            <w:tcW w:type="dxa" w:w="4025"/>
            <w:tcMar>
              <w:top w:w="55" w:type="dxa"/>
              <w:start w:w="70" w:type="dxa"/>
              <w:bottom w:w="55" w:type="dxa"/>
              <w:end w:w="70" w:type="dxa"/>
            </w:tcMar>
            <w:vAlign w:val="top"/>
          </w:tcPr>
          <w:p>
            <w:pPr>
              <w:pStyle w:val="TableText"/>
            </w:pPr>
            <w:r>
              <w:rPr>
                <w:sz w:val="14"/>
              </w:rPr>
              <w:t>Students do; housing, childcare, evening culture and short terms create real constraints.</w:t>
            </w:r>
          </w:p>
        </w:tc>
      </w:tr>
      <w:tr>
        <w:trPr>
          <w:cantSplit w:val="true"/>
        </w:trPr>
        <w:tc>
          <w:tcPr>
            <w:tcW w:type="dxa" w:w="3969"/>
            <w:shd w:fill="F5F7F8"/>
            <w:tcMar>
              <w:top w:w="55" w:type="dxa"/>
              <w:start w:w="70" w:type="dxa"/>
              <w:bottom w:w="55" w:type="dxa"/>
              <w:end w:w="70" w:type="dxa"/>
            </w:tcMar>
            <w:vAlign w:val="top"/>
          </w:tcPr>
          <w:p>
            <w:pPr>
              <w:pStyle w:val="TableText"/>
            </w:pPr>
            <w:r>
              <w:rPr>
                <w:sz w:val="14"/>
              </w:rPr>
              <w:t>“The terms are short, so there is plenty of free time.”</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Full Term is compressed and vacations include academic work. [U03] [U04]</w:t>
            </w:r>
          </w:p>
        </w:tc>
      </w:tr>
      <w:tr>
        <w:trPr>
          <w:cantSplit w:val="true"/>
        </w:trPr>
        <w:tc>
          <w:tcPr>
            <w:tcW w:type="dxa" w:w="3969"/>
            <w:tcMar>
              <w:top w:w="55" w:type="dxa"/>
              <w:start w:w="70" w:type="dxa"/>
              <w:bottom w:w="55" w:type="dxa"/>
              <w:end w:w="70" w:type="dxa"/>
            </w:tcMar>
            <w:vAlign w:val="top"/>
          </w:tcPr>
          <w:p>
            <w:pPr>
              <w:pStyle w:val="TableText"/>
            </w:pPr>
            <w:r>
              <w:rPr>
                <w:sz w:val="14"/>
              </w:rPr>
              <w:t>“Supervisions are private tutoring.”</w:t>
            </w:r>
          </w:p>
        </w:tc>
        <w:tc>
          <w:tcPr>
            <w:tcW w:type="dxa" w:w="1757"/>
            <w:tcMar>
              <w:top w:w="55" w:type="dxa"/>
              <w:start w:w="70" w:type="dxa"/>
              <w:bottom w:w="55" w:type="dxa"/>
              <w:end w:w="70" w:type="dxa"/>
            </w:tcMar>
            <w:vAlign w:val="top"/>
          </w:tcPr>
          <w:p>
            <w:pPr>
              <w:pStyle w:val="TableText"/>
            </w:pPr>
            <w:r>
              <w:rPr>
                <w:sz w:val="14"/>
              </w:rPr>
              <w:t>Partly true but misleading</w:t>
            </w:r>
          </w:p>
        </w:tc>
        <w:tc>
          <w:tcPr>
            <w:tcW w:type="dxa" w:w="4025"/>
            <w:tcMar>
              <w:top w:w="55" w:type="dxa"/>
              <w:start w:w="70" w:type="dxa"/>
              <w:bottom w:w="55" w:type="dxa"/>
              <w:end w:w="70" w:type="dxa"/>
            </w:tcMar>
            <w:vAlign w:val="top"/>
          </w:tcPr>
          <w:p>
            <w:pPr>
              <w:pStyle w:val="TableText"/>
            </w:pPr>
            <w:r>
              <w:rPr>
                <w:sz w:val="14"/>
              </w:rPr>
              <w:t>They are small-group teaching arranged through College, with preparation and shared discussion—not an on-demand private tutor. [U03]</w:t>
            </w:r>
          </w:p>
        </w:tc>
      </w:tr>
      <w:tr>
        <w:trPr>
          <w:cantSplit w:val="true"/>
        </w:trPr>
        <w:tc>
          <w:tcPr>
            <w:tcW w:type="dxa" w:w="3969"/>
            <w:shd w:fill="F5F7F8"/>
            <w:tcMar>
              <w:top w:w="55" w:type="dxa"/>
              <w:start w:w="70" w:type="dxa"/>
              <w:bottom w:w="55" w:type="dxa"/>
              <w:end w:w="70" w:type="dxa"/>
            </w:tcMar>
            <w:vAlign w:val="top"/>
          </w:tcPr>
          <w:p>
            <w:pPr>
              <w:pStyle w:val="TableText"/>
            </w:pPr>
            <w:r>
              <w:rPr>
                <w:sz w:val="14"/>
              </w:rPr>
              <w:t>“Everyone attends Formal Hall.”</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It is optional social dining except specific required College occasions.</w:t>
            </w:r>
          </w:p>
        </w:tc>
      </w:tr>
      <w:tr>
        <w:trPr>
          <w:cantSplit w:val="true"/>
        </w:trPr>
        <w:tc>
          <w:tcPr>
            <w:tcW w:type="dxa" w:w="3969"/>
            <w:tcMar>
              <w:top w:w="55" w:type="dxa"/>
              <w:start w:w="70" w:type="dxa"/>
              <w:bottom w:w="55" w:type="dxa"/>
              <w:end w:w="70" w:type="dxa"/>
            </w:tcMar>
            <w:vAlign w:val="top"/>
          </w:tcPr>
          <w:p>
            <w:pPr>
              <w:pStyle w:val="TableText"/>
            </w:pPr>
            <w:r>
              <w:rPr>
                <w:sz w:val="14"/>
              </w:rPr>
              <w:t>“You must row.”</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Rowing is visible; participation is entirely optional.</w:t>
            </w:r>
          </w:p>
        </w:tc>
      </w:tr>
      <w:tr>
        <w:trPr>
          <w:cantSplit w:val="true"/>
        </w:trPr>
        <w:tc>
          <w:tcPr>
            <w:tcW w:type="dxa" w:w="3969"/>
            <w:shd w:fill="F5F7F8"/>
            <w:tcMar>
              <w:top w:w="55" w:type="dxa"/>
              <w:start w:w="70" w:type="dxa"/>
              <w:bottom w:w="55" w:type="dxa"/>
              <w:end w:w="70" w:type="dxa"/>
            </w:tcMar>
            <w:vAlign w:val="top"/>
          </w:tcPr>
          <w:p>
            <w:pPr>
              <w:pStyle w:val="TableText"/>
            </w:pPr>
            <w:r>
              <w:rPr>
                <w:sz w:val="14"/>
              </w:rPr>
              <w:t>“There is no time for paid work.”</w:t>
            </w:r>
          </w:p>
        </w:tc>
        <w:tc>
          <w:tcPr>
            <w:tcW w:type="dxa" w:w="1757"/>
            <w:shd w:fill="F5F7F8"/>
            <w:tcMar>
              <w:top w:w="55" w:type="dxa"/>
              <w:start w:w="70" w:type="dxa"/>
              <w:bottom w:w="55" w:type="dxa"/>
              <w:end w:w="70" w:type="dxa"/>
            </w:tcMar>
            <w:vAlign w:val="top"/>
          </w:tcPr>
          <w:p>
            <w:pPr>
              <w:pStyle w:val="TableText"/>
            </w:pPr>
            <w:r>
              <w:rPr>
                <w:sz w:val="14"/>
              </w:rPr>
              <w:t>Dependent</w:t>
            </w:r>
          </w:p>
        </w:tc>
        <w:tc>
          <w:tcPr>
            <w:tcW w:type="dxa" w:w="4025"/>
            <w:shd w:fill="F5F7F8"/>
            <w:tcMar>
              <w:top w:w="55" w:type="dxa"/>
              <w:start w:w="70" w:type="dxa"/>
              <w:bottom w:w="55" w:type="dxa"/>
              <w:end w:w="70" w:type="dxa"/>
            </w:tcMar>
            <w:vAlign w:val="top"/>
          </w:tcPr>
          <w:p>
            <w:pPr>
              <w:pStyle w:val="TableText"/>
            </w:pPr>
            <w:r>
              <w:rPr>
                <w:sz w:val="14"/>
              </w:rPr>
              <w:t>The workload is heavy and visa/course/College rules matter; some students manage limited predictable work.</w:t>
            </w:r>
          </w:p>
        </w:tc>
      </w:tr>
      <w:tr>
        <w:trPr>
          <w:cantSplit w:val="true"/>
        </w:trPr>
        <w:tc>
          <w:tcPr>
            <w:tcW w:type="dxa" w:w="3969"/>
            <w:tcMar>
              <w:top w:w="55" w:type="dxa"/>
              <w:start w:w="70" w:type="dxa"/>
              <w:bottom w:w="55" w:type="dxa"/>
              <w:end w:w="70" w:type="dxa"/>
            </w:tcMar>
            <w:vAlign w:val="top"/>
          </w:tcPr>
          <w:p>
            <w:pPr>
              <w:pStyle w:val="TableText"/>
            </w:pPr>
            <w:r>
              <w:rPr>
                <w:sz w:val="14"/>
              </w:rPr>
              <w:t>“Cambridge automatically provides help if you are struggling.”</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Services exist, but the fragmented system often requires disclosure, evidence and follow-up.</w:t>
            </w:r>
          </w:p>
        </w:tc>
      </w:tr>
      <w:tr>
        <w:trPr>
          <w:cantSplit w:val="true"/>
        </w:trPr>
        <w:tc>
          <w:tcPr>
            <w:tcW w:type="dxa" w:w="3969"/>
            <w:shd w:fill="F5F7F8"/>
            <w:tcMar>
              <w:top w:w="55" w:type="dxa"/>
              <w:start w:w="70" w:type="dxa"/>
              <w:bottom w:w="55" w:type="dxa"/>
              <w:end w:w="70" w:type="dxa"/>
            </w:tcMar>
            <w:vAlign w:val="top"/>
          </w:tcPr>
          <w:p>
            <w:pPr>
              <w:pStyle w:val="TableText"/>
            </w:pPr>
            <w:r>
              <w:rPr>
                <w:sz w:val="14"/>
              </w:rPr>
              <w:t>“Older students find the work easier because of life experience.”</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Experience helps judgement and motivation; it does not automatically restore algebra, languages, laboratory technique or academic conventions.</w:t>
            </w:r>
          </w:p>
        </w:tc>
      </w:tr>
      <w:tr>
        <w:trPr>
          <w:cantSplit w:val="true"/>
        </w:trPr>
        <w:tc>
          <w:tcPr>
            <w:tcW w:type="dxa" w:w="3969"/>
            <w:tcMar>
              <w:top w:w="55" w:type="dxa"/>
              <w:start w:w="70" w:type="dxa"/>
              <w:bottom w:w="55" w:type="dxa"/>
              <w:end w:w="70" w:type="dxa"/>
            </w:tcMar>
            <w:vAlign w:val="top"/>
          </w:tcPr>
          <w:p>
            <w:pPr>
              <w:pStyle w:val="TableText"/>
            </w:pPr>
            <w:r>
              <w:rPr>
                <w:sz w:val="14"/>
              </w:rPr>
              <w:t>“Mature students only socialise with mature students.”</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Many build mixed networks; mature peers can still provide valuable recognition.</w:t>
            </w:r>
          </w:p>
        </w:tc>
      </w:tr>
      <w:tr>
        <w:trPr>
          <w:cantSplit w:val="true"/>
        </w:trPr>
        <w:tc>
          <w:tcPr>
            <w:tcW w:type="dxa" w:w="3969"/>
            <w:shd w:fill="F5F7F8"/>
            <w:tcMar>
              <w:top w:w="55" w:type="dxa"/>
              <w:start w:w="70" w:type="dxa"/>
              <w:bottom w:w="55" w:type="dxa"/>
              <w:end w:w="70" w:type="dxa"/>
            </w:tcMar>
            <w:vAlign w:val="top"/>
          </w:tcPr>
          <w:p>
            <w:pPr>
              <w:pStyle w:val="TableText"/>
            </w:pPr>
            <w:r>
              <w:rPr>
                <w:sz w:val="14"/>
              </w:rPr>
              <w:t>“College choice does not matter.”</w:t>
            </w:r>
          </w:p>
        </w:tc>
        <w:tc>
          <w:tcPr>
            <w:tcW w:type="dxa" w:w="1757"/>
            <w:shd w:fill="F5F7F8"/>
            <w:tcMar>
              <w:top w:w="55" w:type="dxa"/>
              <w:start w:w="70" w:type="dxa"/>
              <w:bottom w:w="55" w:type="dxa"/>
              <w:end w:w="70" w:type="dxa"/>
            </w:tcMar>
            <w:vAlign w:val="top"/>
          </w:tcPr>
          <w:p>
            <w:pPr>
              <w:pStyle w:val="TableText"/>
            </w:pPr>
            <w:r>
              <w:rPr>
                <w:sz w:val="14"/>
              </w:rPr>
              <w:t>False in daily life</w:t>
            </w:r>
          </w:p>
        </w:tc>
        <w:tc>
          <w:tcPr>
            <w:tcW w:type="dxa" w:w="4025"/>
            <w:shd w:fill="F5F7F8"/>
            <w:tcMar>
              <w:top w:w="55" w:type="dxa"/>
              <w:start w:w="70" w:type="dxa"/>
              <w:bottom w:w="55" w:type="dxa"/>
              <w:end w:w="70" w:type="dxa"/>
            </w:tcMar>
            <w:vAlign w:val="top"/>
          </w:tcPr>
          <w:p>
            <w:pPr>
              <w:pStyle w:val="TableText"/>
            </w:pPr>
            <w:r>
              <w:rPr>
                <w:sz w:val="14"/>
              </w:rPr>
              <w:t>It can alter housing, location, catering, community and welfare; it does not alter the University degree standard.</w:t>
            </w:r>
          </w:p>
        </w:tc>
      </w:tr>
      <w:tr>
        <w:trPr>
          <w:cantSplit w:val="true"/>
        </w:trPr>
        <w:tc>
          <w:tcPr>
            <w:tcW w:type="dxa" w:w="3969"/>
            <w:tcMar>
              <w:top w:w="55" w:type="dxa"/>
              <w:start w:w="70" w:type="dxa"/>
              <w:bottom w:w="55" w:type="dxa"/>
              <w:end w:w="70" w:type="dxa"/>
            </w:tcMar>
            <w:vAlign w:val="top"/>
          </w:tcPr>
          <w:p>
            <w:pPr>
              <w:pStyle w:val="TableText"/>
            </w:pPr>
            <w:r>
              <w:rPr>
                <w:sz w:val="14"/>
              </w:rPr>
              <w:t>“College choice determines the quality of your degree.”</w:t>
            </w:r>
          </w:p>
        </w:tc>
        <w:tc>
          <w:tcPr>
            <w:tcW w:type="dxa" w:w="1757"/>
            <w:tcMar>
              <w:top w:w="55" w:type="dxa"/>
              <w:start w:w="70" w:type="dxa"/>
              <w:bottom w:w="55" w:type="dxa"/>
              <w:end w:w="70" w:type="dxa"/>
            </w:tcMar>
            <w:vAlign w:val="top"/>
          </w:tcPr>
          <w:p>
            <w:pPr>
              <w:pStyle w:val="TableText"/>
            </w:pPr>
            <w:r>
              <w:rPr>
                <w:sz w:val="14"/>
              </w:rPr>
              <w:t>Mostly false</w:t>
            </w:r>
          </w:p>
        </w:tc>
        <w:tc>
          <w:tcPr>
            <w:tcW w:type="dxa" w:w="4025"/>
            <w:tcMar>
              <w:top w:w="55" w:type="dxa"/>
              <w:start w:w="70" w:type="dxa"/>
              <w:bottom w:w="55" w:type="dxa"/>
              <w:end w:w="70" w:type="dxa"/>
            </w:tcMar>
            <w:vAlign w:val="top"/>
          </w:tcPr>
          <w:p>
            <w:pPr>
              <w:pStyle w:val="TableText"/>
            </w:pPr>
            <w:r>
              <w:rPr>
                <w:sz w:val="14"/>
              </w:rPr>
              <w:t>Faculties set courses/exams and teaching is shared; College supervision and support experience can differ.</w:t>
            </w:r>
          </w:p>
        </w:tc>
      </w:tr>
      <w:tr>
        <w:trPr>
          <w:cantSplit w:val="true"/>
        </w:trPr>
        <w:tc>
          <w:tcPr>
            <w:tcW w:type="dxa" w:w="3969"/>
            <w:shd w:fill="F5F7F8"/>
            <w:tcMar>
              <w:top w:w="55" w:type="dxa"/>
              <w:start w:w="70" w:type="dxa"/>
              <w:bottom w:w="55" w:type="dxa"/>
              <w:end w:w="70" w:type="dxa"/>
            </w:tcMar>
            <w:vAlign w:val="top"/>
          </w:tcPr>
          <w:p>
            <w:pPr>
              <w:pStyle w:val="TableText"/>
            </w:pPr>
            <w:r>
              <w:rPr>
                <w:sz w:val="14"/>
              </w:rPr>
              <w:t>“You must already understand Cambridge culture to fit in.”</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Most jargon and ritual is learned. Asking is normal.</w:t>
            </w:r>
          </w:p>
        </w:tc>
      </w:tr>
      <w:tr>
        <w:trPr>
          <w:cantSplit w:val="true"/>
        </w:trPr>
        <w:tc>
          <w:tcPr>
            <w:tcW w:type="dxa" w:w="3969"/>
            <w:tcMar>
              <w:top w:w="55" w:type="dxa"/>
              <w:start w:w="70" w:type="dxa"/>
              <w:bottom w:w="55" w:type="dxa"/>
              <w:end w:w="70" w:type="dxa"/>
            </w:tcMar>
            <w:vAlign w:val="top"/>
          </w:tcPr>
          <w:p>
            <w:pPr>
              <w:pStyle w:val="TableText"/>
            </w:pPr>
            <w:r>
              <w:rPr>
                <w:sz w:val="14"/>
              </w:rPr>
              <w:t>“The famous Ball is always the best Ball.”</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Value depends on music, crowd, access, food, stamina, guests and total cost.</w:t>
            </w:r>
          </w:p>
        </w:tc>
      </w:tr>
      <w:tr>
        <w:trPr>
          <w:cantSplit w:val="true"/>
        </w:trPr>
        <w:tc>
          <w:tcPr>
            <w:tcW w:type="dxa" w:w="3969"/>
            <w:shd w:fill="F5F7F8"/>
            <w:tcMar>
              <w:top w:w="55" w:type="dxa"/>
              <w:start w:w="70" w:type="dxa"/>
              <w:bottom w:w="55" w:type="dxa"/>
              <w:end w:w="70" w:type="dxa"/>
            </w:tcMar>
            <w:vAlign w:val="top"/>
          </w:tcPr>
          <w:p>
            <w:pPr>
              <w:pStyle w:val="TableText"/>
            </w:pPr>
            <w:r>
              <w:rPr>
                <w:sz w:val="14"/>
              </w:rPr>
              <w:t>“A more traditional Formal always has better food.”</w:t>
            </w:r>
          </w:p>
        </w:tc>
        <w:tc>
          <w:tcPr>
            <w:tcW w:type="dxa" w:w="1757"/>
            <w:shd w:fill="F5F7F8"/>
            <w:tcMar>
              <w:top w:w="55" w:type="dxa"/>
              <w:start w:w="70" w:type="dxa"/>
              <w:bottom w:w="55" w:type="dxa"/>
              <w:end w:w="70" w:type="dxa"/>
            </w:tcMar>
            <w:vAlign w:val="top"/>
          </w:tcPr>
          <w:p>
            <w:pPr>
              <w:pStyle w:val="TableText"/>
            </w:pPr>
            <w:r>
              <w:rPr>
                <w:sz w:val="14"/>
              </w:rPr>
              <w:t>False</w:t>
            </w:r>
          </w:p>
        </w:tc>
        <w:tc>
          <w:tcPr>
            <w:tcW w:type="dxa" w:w="4025"/>
            <w:shd w:fill="F5F7F8"/>
            <w:tcMar>
              <w:top w:w="55" w:type="dxa"/>
              <w:start w:w="70" w:type="dxa"/>
              <w:bottom w:w="55" w:type="dxa"/>
              <w:end w:w="70" w:type="dxa"/>
            </w:tcMar>
            <w:vAlign w:val="top"/>
          </w:tcPr>
          <w:p>
            <w:pPr>
              <w:pStyle w:val="TableText"/>
            </w:pPr>
            <w:r>
              <w:rPr>
                <w:sz w:val="14"/>
              </w:rPr>
              <w:t>Setting, service and culinary quality are separate; current menus and dietary execution matter.</w:t>
            </w:r>
          </w:p>
        </w:tc>
      </w:tr>
      <w:tr>
        <w:trPr>
          <w:cantSplit w:val="true"/>
        </w:trPr>
        <w:tc>
          <w:tcPr>
            <w:tcW w:type="dxa" w:w="3969"/>
            <w:tcMar>
              <w:top w:w="55" w:type="dxa"/>
              <w:start w:w="70" w:type="dxa"/>
              <w:bottom w:w="55" w:type="dxa"/>
              <w:end w:w="70" w:type="dxa"/>
            </w:tcMar>
            <w:vAlign w:val="top"/>
          </w:tcPr>
          <w:p>
            <w:pPr>
              <w:pStyle w:val="TableText"/>
            </w:pPr>
            <w:r>
              <w:rPr>
                <w:sz w:val="14"/>
              </w:rPr>
              <w:t>“A mature College is automatically quiet.”</w:t>
            </w:r>
          </w:p>
        </w:tc>
        <w:tc>
          <w:tcPr>
            <w:tcW w:type="dxa" w:w="1757"/>
            <w:tcMar>
              <w:top w:w="55" w:type="dxa"/>
              <w:start w:w="70" w:type="dxa"/>
              <w:bottom w:w="55" w:type="dxa"/>
              <w:end w:w="70" w:type="dxa"/>
            </w:tcMar>
            <w:vAlign w:val="top"/>
          </w:tcPr>
          <w:p>
            <w:pPr>
              <w:pStyle w:val="TableText"/>
            </w:pPr>
            <w:r>
              <w:rPr>
                <w:sz w:val="14"/>
              </w:rPr>
              <w:t>False</w:t>
            </w:r>
          </w:p>
        </w:tc>
        <w:tc>
          <w:tcPr>
            <w:tcW w:type="dxa" w:w="4025"/>
            <w:tcMar>
              <w:top w:w="55" w:type="dxa"/>
              <w:start w:w="70" w:type="dxa"/>
              <w:bottom w:w="55" w:type="dxa"/>
              <w:end w:w="70" w:type="dxa"/>
            </w:tcMar>
            <w:vAlign w:val="top"/>
          </w:tcPr>
          <w:p>
            <w:pPr>
              <w:pStyle w:val="TableText"/>
            </w:pPr>
            <w:r>
              <w:rPr>
                <w:sz w:val="14"/>
              </w:rPr>
              <w:t>Mature/postgraduate communities can be highly social, international and late-night.</w:t>
            </w:r>
          </w:p>
        </w:tc>
      </w:tr>
      <w:tr>
        <w:trPr>
          <w:cantSplit w:val="true"/>
        </w:trPr>
        <w:tc>
          <w:tcPr>
            <w:tcW w:type="dxa" w:w="3969"/>
            <w:shd w:fill="F5F7F8"/>
            <w:tcMar>
              <w:top w:w="55" w:type="dxa"/>
              <w:start w:w="70" w:type="dxa"/>
              <w:bottom w:w="55" w:type="dxa"/>
              <w:end w:w="70" w:type="dxa"/>
            </w:tcMar>
            <w:vAlign w:val="top"/>
          </w:tcPr>
          <w:p>
            <w:pPr>
              <w:pStyle w:val="TableText"/>
            </w:pPr>
            <w:r>
              <w:rPr>
                <w:sz w:val="14"/>
              </w:rPr>
              <w:t>“If I was admitted, I should cope without help.”</w:t>
            </w:r>
          </w:p>
        </w:tc>
        <w:tc>
          <w:tcPr>
            <w:tcW w:type="dxa" w:w="1757"/>
            <w:shd w:fill="F5F7F8"/>
            <w:tcMar>
              <w:top w:w="55" w:type="dxa"/>
              <w:start w:w="70" w:type="dxa"/>
              <w:bottom w:w="55" w:type="dxa"/>
              <w:end w:w="70" w:type="dxa"/>
            </w:tcMar>
            <w:vAlign w:val="top"/>
          </w:tcPr>
          <w:p>
            <w:pPr>
              <w:pStyle w:val="TableText"/>
            </w:pPr>
            <w:r>
              <w:rPr>
                <w:sz w:val="14"/>
              </w:rPr>
              <w:t>False and dangerous</w:t>
            </w:r>
          </w:p>
        </w:tc>
        <w:tc>
          <w:tcPr>
            <w:tcW w:type="dxa" w:w="4025"/>
            <w:shd w:fill="F5F7F8"/>
            <w:tcMar>
              <w:top w:w="55" w:type="dxa"/>
              <w:start w:w="70" w:type="dxa"/>
              <w:bottom w:w="55" w:type="dxa"/>
              <w:end w:w="70" w:type="dxa"/>
            </w:tcMar>
            <w:vAlign w:val="top"/>
          </w:tcPr>
          <w:p>
            <w:pPr>
              <w:pStyle w:val="TableText"/>
            </w:pPr>
            <w:r>
              <w:rPr>
                <w:sz w:val="14"/>
              </w:rPr>
              <w:t>Admission predicts academic potential, not immunity from illness, poverty, bereavement, disability or care.</w:t>
            </w:r>
          </w:p>
        </w:tc>
      </w:tr>
    </w:tbl>
    <w:p>
      <w:pPr>
        <w:spacing w:after="20"/>
      </w:pPr>
    </w:p>
    <w:p>
      <w:pPr>
        <w:pStyle w:val="Heading2"/>
        <w:keepNext/>
      </w:pPr>
      <w:r>
        <w:t>Hard truths</w:t>
      </w:r>
    </w:p>
    <w:p>
      <w:pPr>
        <w:pStyle w:val="ListBullet"/>
        <w:spacing w:after="30" w:line="247" w:lineRule="auto"/>
        <w:ind w:left="312" w:hanging="142"/>
      </w:pPr>
      <w:r>
        <w:t>Cambridge can be generous and bureaucratic at the same time. A kind person may still lack authority; a correct process may still feel impersonal.</w:t>
      </w:r>
    </w:p>
    <w:p>
      <w:pPr>
        <w:pStyle w:val="ListBullet"/>
        <w:spacing w:after="30" w:line="247" w:lineRule="auto"/>
        <w:ind w:left="312" w:hanging="142"/>
      </w:pPr>
      <w:r>
        <w:t>College wealth and provision differ. The same degree does not imply equal emergency funds, kitchens, gyms, rooms or event subsidies.</w:t>
      </w:r>
    </w:p>
    <w:p>
      <w:pPr>
        <w:pStyle w:val="ListBullet"/>
        <w:spacing w:after="30" w:line="247" w:lineRule="auto"/>
        <w:ind w:left="312" w:hanging="142"/>
      </w:pPr>
      <w:r>
        <w:t>Short terms magnify disruption. Early communication is not overreacting; it is mathematical realism.</w:t>
      </w:r>
    </w:p>
    <w:p>
      <w:pPr>
        <w:pStyle w:val="ListBullet"/>
        <w:spacing w:after="30" w:line="247" w:lineRule="auto"/>
        <w:ind w:left="312" w:hanging="142"/>
      </w:pPr>
      <w:r>
        <w:t>Prestige does not remove class, racism, sexism, ableism, transphobia or age assumptions. It can make people more reluctant to name them.</w:t>
      </w:r>
    </w:p>
    <w:p>
      <w:pPr>
        <w:pStyle w:val="ListBullet"/>
        <w:spacing w:after="30" w:line="247" w:lineRule="auto"/>
        <w:ind w:left="312" w:hanging="142"/>
      </w:pPr>
      <w:r>
        <w:t>Life experience can create impatience with arbitrary ritual, but it can also make the ritual enjoyable once you stop treating it as compulsory belief.</w:t>
      </w:r>
    </w:p>
    <w:p>
      <w:pPr>
        <w:pStyle w:val="ListBullet"/>
        <w:spacing w:after="30" w:line="247" w:lineRule="auto"/>
        <w:ind w:left="312" w:hanging="142"/>
      </w:pPr>
      <w:r>
        <w:t>No support system can make an impossible childcare, housing or financial plan sustainable. Sometimes the correct solution is a room change, reduced commitment, intermission or decision not to accept yet.</w:t>
      </w:r>
    </w:p>
    <w:p>
      <w:pPr>
        <w:pStyle w:val="ListBullet"/>
        <w:spacing w:after="30" w:line="247" w:lineRule="auto"/>
        <w:ind w:left="312" w:hanging="142"/>
      </w:pPr>
      <w:r>
        <w:t>Leaving or intermitting is not automatically failure; staying at any cost is not automatically courage. The decision should be informed, safe and yours.</w:t>
      </w:r>
    </w:p>
    <w:p>
      <w:pPr>
        <w:pStyle w:val="Heading2"/>
        <w:keepNext/>
      </w:pPr>
      <w:r>
        <w:t>Conclusion: build your version of Cambridge</w:t>
      </w:r>
    </w:p>
    <w:p>
      <w:r>
        <w:t>The mature-student task is not to imitate the youngest person in Hall or to stand outside judging everyone who does. It is to learn the institutional map, protect the conditions in which you think well, and select a Cambridge life that fits your age, health, responsibilities, finances, personality and goals.</w:t>
      </w:r>
    </w:p>
    <w:p>
      <w:r>
        <w:t>Use the College when it is a home, the Faculty when it is the academic authority, central services when specialist expertise is needed, and external services when the University is not the right institution. Ask direct questions. Put consequential answers in writing. Attend one Formal because the Hall is beautiful; decline another because the childcare cost is absurd. Learn what Bumps are; row only if you want to. Say “my Tutor is pastoral, my DoS coordinates my academics, and my supervisor teaches this paper” until the map becomes instinctive.</w:t>
      </w:r>
    </w:p>
    <w:p>
      <w:r>
        <w:t>Cambridge will remain complicated. You do not need to become uncomplicated to belong there.</w:t>
      </w:r>
    </w:p>
    <w:tbl>
      <w:tblPr>
        <w:tblW w:type="dxa" w:w="10037"/>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45"/>
        <w:gridCol w:w="3345"/>
        <w:gridCol w:w="3345"/>
      </w:tblGrid>
      <w:tr>
        <w:trPr>
          <w:cantSplit w:val="true"/>
        </w:trPr>
        <w:tc>
          <w:tcPr>
            <w:tcW w:type="dxa" w:w="3345"/>
            <w:tcMar>
              <w:top w:w="100" w:type="dxa"/>
              <w:start w:w="110" w:type="dxa"/>
              <w:bottom w:w="100" w:type="dxa"/>
              <w:end w:w="110" w:type="dxa"/>
            </w:tcMar>
            <w:shd w:fill="EEF5F6"/>
            <w:vAlign w:val="top"/>
          </w:tcPr>
          <w:p>
            <w:pPr>
              <w:pStyle w:val="BoxHeading"/>
            </w:pPr>
            <w:r>
              <w:t>WHAT THIS MEANS FOR A MATURE STUDENT</w:t>
            </w:r>
          </w:p>
          <w:p>
            <w:pPr>
              <w:pStyle w:val="Small"/>
            </w:pPr>
            <w:r>
              <w:t>Your goal is not total assimilation. It is a sustainable degree and a life you recognise as your own.</w:t>
            </w:r>
          </w:p>
        </w:tc>
        <w:tc>
          <w:tcPr>
            <w:tcW w:type="dxa" w:w="3345"/>
            <w:tcMar>
              <w:top w:w="100" w:type="dxa"/>
              <w:start w:w="110" w:type="dxa"/>
              <w:bottom w:w="100" w:type="dxa"/>
              <w:end w:w="110" w:type="dxa"/>
            </w:tcMar>
            <w:shd w:fill="F7F3EA"/>
            <w:vAlign w:val="top"/>
          </w:tcPr>
          <w:p>
            <w:pPr>
              <w:pStyle w:val="BoxHeading"/>
            </w:pPr>
            <w:r>
              <w:t>QUESTIONS TO ASK YOUR COLLEGE</w:t>
            </w:r>
          </w:p>
          <w:p>
            <w:pPr>
              <w:pStyle w:val="Small"/>
            </w:pPr>
            <w:r>
              <w:t>What part of Cambridge helps me flourish, what part merely consumes me, and which change is within the College’s power?</w:t>
            </w:r>
          </w:p>
        </w:tc>
        <w:tc>
          <w:tcPr>
            <w:tcW w:type="dxa" w:w="3345"/>
            <w:tcMar>
              <w:top w:w="100" w:type="dxa"/>
              <w:start w:w="110" w:type="dxa"/>
              <w:bottom w:w="100" w:type="dxa"/>
              <w:end w:w="110" w:type="dxa"/>
            </w:tcMar>
            <w:shd w:fill="F9EEEE"/>
            <w:vAlign w:val="top"/>
          </w:tcPr>
          <w:p>
            <w:pPr>
              <w:pStyle w:val="BoxHeading"/>
            </w:pPr>
            <w:r>
              <w:t>COMMON MISTAKE TO AVOID</w:t>
            </w:r>
          </w:p>
          <w:p>
            <w:pPr>
              <w:pStyle w:val="Small"/>
            </w:pPr>
            <w:r>
              <w:t>Measuring belonging by the number of traditions attended rather than by learning, relationships, health and choices you can sustain.</w:t>
            </w:r>
          </w:p>
        </w:tc>
      </w:tr>
    </w:tbl>
    <w:p>
      <w:pPr>
        <w:spacing w:after="40"/>
      </w:pPr>
    </w:p>
    <w:p>
      <w:pPr>
        <w:pStyle w:val="Heading1"/>
        <w:keepNext/>
      </w:pPr>
      <w:r>
        <w:t>Practical appendices</w:t>
      </w:r>
    </w:p>
    <w:p>
      <w:r>
        <w:t>These pages are designed to be copied into notes, used during calls and checked against your current College handbook.</w:t>
      </w:r>
    </w:p>
    <w:p>
      <w:pPr>
        <w:pStyle w:val="Heading2"/>
        <w:keepNext/>
      </w:pPr>
      <w:r>
        <w:t>Appendix A — Ten facts to verify with your own College before arrival</w:t>
      </w:r>
    </w:p>
    <w:p>
      <w:pPr>
        <w:spacing w:after="40"/>
        <w:ind w:left="351" w:hanging="272"/>
      </w:pPr>
      <w:r>
        <w:rPr>
          <w:b/>
        </w:rPr>
        <w:t xml:space="preserve">1.  </w:t>
      </w:r>
      <w:r>
        <w:t>Your exact accommodation start/end dates, total rent and whether you keep the same room through Christmas, Easter and summer.</w:t>
      </w:r>
    </w:p>
    <w:p>
      <w:pPr>
        <w:spacing w:after="40"/>
        <w:ind w:left="351" w:hanging="272"/>
      </w:pPr>
      <w:r>
        <w:rPr>
          <w:b/>
        </w:rPr>
        <w:t xml:space="preserve">2.  </w:t>
      </w:r>
      <w:r>
        <w:t>The precise kitchen equipment, catering charge or minimum spend, allergy process and vacation meal availability.</w:t>
      </w:r>
    </w:p>
    <w:p>
      <w:pPr>
        <w:spacing w:after="40"/>
        <w:ind w:left="351" w:hanging="272"/>
      </w:pPr>
      <w:r>
        <w:rPr>
          <w:b/>
        </w:rPr>
        <w:t xml:space="preserve">3.  </w:t>
      </w:r>
      <w:r>
        <w:t>Whether a partner or child may live, stay overnight, enter gardens/libraries/dining spaces and attend College events.</w:t>
      </w:r>
    </w:p>
    <w:p>
      <w:pPr>
        <w:spacing w:after="40"/>
        <w:ind w:left="351" w:hanging="272"/>
      </w:pPr>
      <w:r>
        <w:rPr>
          <w:b/>
        </w:rPr>
        <w:t xml:space="preserve">4.  </w:t>
      </w:r>
      <w:r>
        <w:t>Your named Tutor, Director of Studies, alternative Tutor and out-of-hours welfare route, including vacation coverage.</w:t>
      </w:r>
    </w:p>
    <w:p>
      <w:pPr>
        <w:spacing w:after="40"/>
        <w:ind w:left="351" w:hanging="272"/>
      </w:pPr>
      <w:r>
        <w:rPr>
          <w:b/>
        </w:rPr>
        <w:t xml:space="preserve">5.  </w:t>
      </w:r>
      <w:r>
        <w:t>How disability recommendations become teaching, laboratory, placement, housing and examination arrangements—and the separate deadlines.</w:t>
      </w:r>
    </w:p>
    <w:p>
      <w:pPr>
        <w:spacing w:after="40"/>
        <w:ind w:left="351" w:hanging="272"/>
      </w:pPr>
      <w:r>
        <w:rPr>
          <w:b/>
        </w:rPr>
        <w:t xml:space="preserve">6.  </w:t>
      </w:r>
      <w:r>
        <w:t>The current Formal Hall nights, booking release, cancellation charge, guest quota, gown, dress and dietary rules.</w:t>
      </w:r>
    </w:p>
    <w:p>
      <w:pPr>
        <w:spacing w:after="40"/>
        <w:ind w:left="351" w:hanging="272"/>
      </w:pPr>
      <w:r>
        <w:rPr>
          <w:b/>
        </w:rPr>
        <w:t xml:space="preserve">7.  </w:t>
      </w:r>
      <w:r>
        <w:t>What financial support is automatic, application-based or emergency-only; evidence and decision times; whether meal credit or bill deferral exists.</w:t>
      </w:r>
    </w:p>
    <w:p>
      <w:pPr>
        <w:spacing w:after="40"/>
        <w:ind w:left="351" w:hanging="272"/>
      </w:pPr>
      <w:r>
        <w:rPr>
          <w:b/>
        </w:rPr>
        <w:t xml:space="preserve">8.  </w:t>
      </w:r>
      <w:r>
        <w:t>Whether permission is needed to live out, commute or undertake paid work; any course, College, visa or keeping-term limits.</w:t>
      </w:r>
    </w:p>
    <w:p>
      <w:pPr>
        <w:spacing w:after="40"/>
        <w:ind w:left="351" w:hanging="272"/>
      </w:pPr>
      <w:r>
        <w:rPr>
          <w:b/>
        </w:rPr>
        <w:t xml:space="preserve">9.  </w:t>
      </w:r>
      <w:r>
        <w:t>What happens to housing, finance, visa sponsorship, library access and return conditions during intermission.</w:t>
      </w:r>
    </w:p>
    <w:p>
      <w:pPr>
        <w:spacing w:after="40"/>
        <w:ind w:left="351" w:hanging="272"/>
      </w:pPr>
      <w:r>
        <w:rPr>
          <w:b/>
        </w:rPr>
        <w:t xml:space="preserve">10.  </w:t>
      </w:r>
      <w:r>
        <w:t>The College complaints route, harassment contact, safeguarding alternative and independent advice option if the usual officer is involved.</w:t>
      </w:r>
    </w:p>
    <w:p>
      <w:pPr>
        <w:pStyle w:val="Heading2"/>
        <w:keepNext/>
      </w:pPr>
      <w:r>
        <w:t>Appendix B — Questions before accepting an offer</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1928"/>
        <w:gridCol w:w="7824"/>
      </w:tblGrid>
      <w:tr>
        <w:trPr>
          <w:tblHeader w:val="true"/>
          <w:cantSplit w:val="true"/>
        </w:trPr>
        <w:tc>
          <w:tcPr>
            <w:tcW w:type="dxa" w:w="1927"/>
            <w:shd w:fill="17324D"/>
            <w:tcMar>
              <w:top w:w="70" w:type="dxa"/>
              <w:start w:w="80" w:type="dxa"/>
              <w:bottom w:w="70" w:type="dxa"/>
              <w:end w:w="80" w:type="dxa"/>
            </w:tcMar>
            <w:vAlign w:val="center"/>
          </w:tcPr>
          <w:p>
            <w:pPr>
              <w:pStyle w:val="TableText"/>
              <w:jc w:val="left"/>
            </w:pPr>
            <w:r>
              <w:rPr>
                <w:b/>
                <w:color w:val="FFFFFF"/>
                <w:sz w:val="15"/>
              </w:rPr>
              <w:t>Theme</w:t>
            </w:r>
          </w:p>
        </w:tc>
        <w:tc>
          <w:tcPr>
            <w:tcW w:type="dxa" w:w="7824"/>
            <w:shd w:fill="17324D"/>
            <w:tcMar>
              <w:top w:w="70" w:type="dxa"/>
              <w:start w:w="80" w:type="dxa"/>
              <w:bottom w:w="70" w:type="dxa"/>
              <w:end w:w="80" w:type="dxa"/>
            </w:tcMar>
            <w:vAlign w:val="center"/>
          </w:tcPr>
          <w:p>
            <w:pPr>
              <w:pStyle w:val="TableText"/>
              <w:jc w:val="left"/>
            </w:pPr>
            <w:r>
              <w:rPr>
                <w:b/>
                <w:color w:val="FFFFFF"/>
                <w:sz w:val="15"/>
              </w:rPr>
              <w:t>Questions</w:t>
            </w:r>
          </w:p>
        </w:tc>
      </w:tr>
      <w:tr>
        <w:trPr>
          <w:cantSplit w:val="true"/>
        </w:trPr>
        <w:tc>
          <w:tcPr>
            <w:tcW w:type="dxa" w:w="1927"/>
            <w:tcMar>
              <w:top w:w="55" w:type="dxa"/>
              <w:start w:w="70" w:type="dxa"/>
              <w:bottom w:w="55" w:type="dxa"/>
              <w:end w:w="70" w:type="dxa"/>
            </w:tcMar>
            <w:vAlign w:val="top"/>
          </w:tcPr>
          <w:p>
            <w:pPr>
              <w:pStyle w:val="TableText"/>
            </w:pPr>
            <w:r>
              <w:t>Academic</w:t>
            </w:r>
          </w:p>
        </w:tc>
        <w:tc>
          <w:tcPr>
            <w:tcW w:type="dxa" w:w="7824"/>
            <w:tcMar>
              <w:top w:w="55" w:type="dxa"/>
              <w:start w:w="70" w:type="dxa"/>
              <w:bottom w:w="55" w:type="dxa"/>
              <w:end w:w="70" w:type="dxa"/>
            </w:tcMar>
            <w:vAlign w:val="top"/>
          </w:tcPr>
          <w:p>
            <w:pPr>
              <w:pStyle w:val="TableText"/>
            </w:pPr>
            <w:r>
              <w:t>What recent preparation do successful mature entrants usually have? What are typical weekly fixed hours, supervisions, laboratory/placement commitments and vacation tasks?</w:t>
            </w:r>
          </w:p>
        </w:tc>
      </w:tr>
      <w:tr>
        <w:trPr>
          <w:cantSplit w:val="true"/>
        </w:trPr>
        <w:tc>
          <w:tcPr>
            <w:tcW w:type="dxa" w:w="1927"/>
            <w:shd w:fill="F5F7F8"/>
            <w:tcMar>
              <w:top w:w="55" w:type="dxa"/>
              <w:start w:w="70" w:type="dxa"/>
              <w:bottom w:w="55" w:type="dxa"/>
              <w:end w:w="70" w:type="dxa"/>
            </w:tcMar>
            <w:vAlign w:val="top"/>
          </w:tcPr>
          <w:p>
            <w:pPr>
              <w:pStyle w:val="TableText"/>
            </w:pPr>
            <w:r>
              <w:t>Accommodation</w:t>
            </w:r>
          </w:p>
        </w:tc>
        <w:tc>
          <w:tcPr>
            <w:tcW w:type="dxa" w:w="7824"/>
            <w:shd w:fill="F5F7F8"/>
            <w:tcMar>
              <w:top w:w="55" w:type="dxa"/>
              <w:start w:w="70" w:type="dxa"/>
              <w:bottom w:w="55" w:type="dxa"/>
              <w:end w:w="70" w:type="dxa"/>
            </w:tcMar>
            <w:vAlign w:val="top"/>
          </w:tcPr>
          <w:p>
            <w:pPr>
              <w:pStyle w:val="TableText"/>
            </w:pPr>
            <w:r>
              <w:t>Is a room guaranteed for my course length? Exact weeks? Family/couples units? Kitchens? Accessibility? Vacation and summer price?</w:t>
            </w:r>
          </w:p>
        </w:tc>
      </w:tr>
      <w:tr>
        <w:trPr>
          <w:cantSplit w:val="true"/>
        </w:trPr>
        <w:tc>
          <w:tcPr>
            <w:tcW w:type="dxa" w:w="1927"/>
            <w:tcMar>
              <w:top w:w="55" w:type="dxa"/>
              <w:start w:w="70" w:type="dxa"/>
              <w:bottom w:w="55" w:type="dxa"/>
              <w:end w:w="70" w:type="dxa"/>
            </w:tcMar>
            <w:vAlign w:val="top"/>
          </w:tcPr>
          <w:p>
            <w:pPr>
              <w:pStyle w:val="TableText"/>
            </w:pPr>
            <w:r>
              <w:t>Money</w:t>
            </w:r>
          </w:p>
        </w:tc>
        <w:tc>
          <w:tcPr>
            <w:tcW w:type="dxa" w:w="7824"/>
            <w:tcMar>
              <w:top w:w="55" w:type="dxa"/>
              <w:start w:w="70" w:type="dxa"/>
              <w:bottom w:w="55" w:type="dxa"/>
              <w:end w:w="70" w:type="dxa"/>
            </w:tcMar>
            <w:vAlign w:val="top"/>
          </w:tcPr>
          <w:p>
            <w:pPr>
              <w:pStyle w:val="TableText"/>
            </w:pPr>
            <w:r>
              <w:t>What is the complete annual College charge? What deposits and bill dates? Which mature, parent, care-experienced, estranged or disability funds exist?</w:t>
            </w:r>
          </w:p>
        </w:tc>
      </w:tr>
      <w:tr>
        <w:trPr>
          <w:cantSplit w:val="true"/>
        </w:trPr>
        <w:tc>
          <w:tcPr>
            <w:tcW w:type="dxa" w:w="1927"/>
            <w:shd w:fill="F5F7F8"/>
            <w:tcMar>
              <w:top w:w="55" w:type="dxa"/>
              <w:start w:w="70" w:type="dxa"/>
              <w:bottom w:w="55" w:type="dxa"/>
              <w:end w:w="70" w:type="dxa"/>
            </w:tcMar>
            <w:vAlign w:val="top"/>
          </w:tcPr>
          <w:p>
            <w:pPr>
              <w:pStyle w:val="TableText"/>
            </w:pPr>
            <w:r>
              <w:t>Community</w:t>
            </w:r>
          </w:p>
        </w:tc>
        <w:tc>
          <w:tcPr>
            <w:tcW w:type="dxa" w:w="7824"/>
            <w:shd w:fill="F5F7F8"/>
            <w:tcMar>
              <w:top w:w="55" w:type="dxa"/>
              <w:start w:w="70" w:type="dxa"/>
              <w:bottom w:w="55" w:type="dxa"/>
              <w:end w:w="70" w:type="dxa"/>
            </w:tcMar>
            <w:vAlign w:val="top"/>
          </w:tcPr>
          <w:p>
            <w:pPr>
              <w:pStyle w:val="TableText"/>
            </w:pPr>
            <w:r>
              <w:t>How many mature undergraduates enter annually? Is there a mature representative, MCR access, daytime event or parent/commuter network?</w:t>
            </w:r>
          </w:p>
        </w:tc>
      </w:tr>
      <w:tr>
        <w:trPr>
          <w:cantSplit w:val="true"/>
        </w:trPr>
        <w:tc>
          <w:tcPr>
            <w:tcW w:type="dxa" w:w="1927"/>
            <w:tcMar>
              <w:top w:w="55" w:type="dxa"/>
              <w:start w:w="70" w:type="dxa"/>
              <w:bottom w:w="55" w:type="dxa"/>
              <w:end w:w="70" w:type="dxa"/>
            </w:tcMar>
            <w:vAlign w:val="top"/>
          </w:tcPr>
          <w:p>
            <w:pPr>
              <w:pStyle w:val="TableText"/>
            </w:pPr>
            <w:r>
              <w:t>Welfare</w:t>
            </w:r>
          </w:p>
        </w:tc>
        <w:tc>
          <w:tcPr>
            <w:tcW w:type="dxa" w:w="7824"/>
            <w:tcMar>
              <w:top w:w="55" w:type="dxa"/>
              <w:start w:w="70" w:type="dxa"/>
              <w:bottom w:w="55" w:type="dxa"/>
              <w:end w:w="70" w:type="dxa"/>
            </w:tcMar>
            <w:vAlign w:val="top"/>
          </w:tcPr>
          <w:p>
            <w:pPr>
              <w:pStyle w:val="TableText"/>
            </w:pPr>
            <w:r>
              <w:t>How are Tutors allocated? Can I request a change? What nursing/counselling exists and what continues in vacations?</w:t>
            </w:r>
          </w:p>
        </w:tc>
      </w:tr>
      <w:tr>
        <w:trPr>
          <w:cantSplit w:val="true"/>
        </w:trPr>
        <w:tc>
          <w:tcPr>
            <w:tcW w:type="dxa" w:w="1927"/>
            <w:shd w:fill="F5F7F8"/>
            <w:tcMar>
              <w:top w:w="55" w:type="dxa"/>
              <w:start w:w="70" w:type="dxa"/>
              <w:bottom w:w="55" w:type="dxa"/>
              <w:end w:w="70" w:type="dxa"/>
            </w:tcMar>
            <w:vAlign w:val="top"/>
          </w:tcPr>
          <w:p>
            <w:pPr>
              <w:pStyle w:val="TableText"/>
            </w:pPr>
            <w:r>
              <w:t>Location</w:t>
            </w:r>
          </w:p>
        </w:tc>
        <w:tc>
          <w:tcPr>
            <w:tcW w:type="dxa" w:w="7824"/>
            <w:shd w:fill="F5F7F8"/>
            <w:tcMar>
              <w:top w:w="55" w:type="dxa"/>
              <w:start w:w="70" w:type="dxa"/>
              <w:bottom w:w="55" w:type="dxa"/>
              <w:end w:w="70" w:type="dxa"/>
            </w:tcMar>
            <w:vAlign w:val="top"/>
          </w:tcPr>
          <w:p>
            <w:pPr>
              <w:pStyle w:val="TableText"/>
            </w:pPr>
            <w:r>
              <w:t>Where might I live in each year, and what is the real journey to my Faculty, placement, school or nursery?</w:t>
            </w:r>
          </w:p>
        </w:tc>
      </w:tr>
      <w:tr>
        <w:trPr>
          <w:cantSplit w:val="true"/>
        </w:trPr>
        <w:tc>
          <w:tcPr>
            <w:tcW w:type="dxa" w:w="1927"/>
            <w:tcMar>
              <w:top w:w="55" w:type="dxa"/>
              <w:start w:w="70" w:type="dxa"/>
              <w:bottom w:w="55" w:type="dxa"/>
              <w:end w:w="70" w:type="dxa"/>
            </w:tcMar>
            <w:vAlign w:val="top"/>
          </w:tcPr>
          <w:p>
            <w:pPr>
              <w:pStyle w:val="TableText"/>
            </w:pPr>
            <w:r>
              <w:t>Family</w:t>
            </w:r>
          </w:p>
        </w:tc>
        <w:tc>
          <w:tcPr>
            <w:tcW w:type="dxa" w:w="7824"/>
            <w:tcMar>
              <w:top w:w="55" w:type="dxa"/>
              <w:start w:w="70" w:type="dxa"/>
              <w:bottom w:w="55" w:type="dxa"/>
              <w:end w:w="70" w:type="dxa"/>
            </w:tcMar>
            <w:vAlign w:val="top"/>
          </w:tcPr>
          <w:p>
            <w:pPr>
              <w:pStyle w:val="TableText"/>
            </w:pPr>
            <w:r>
              <w:t>Can partners/children attend meals/events and access grounds? What guestrooms, childcare links and family accommodation are realistic?</w:t>
            </w:r>
          </w:p>
        </w:tc>
      </w:tr>
      <w:tr>
        <w:trPr>
          <w:cantSplit w:val="true"/>
        </w:trPr>
        <w:tc>
          <w:tcPr>
            <w:tcW w:type="dxa" w:w="1927"/>
            <w:shd w:fill="F5F7F8"/>
            <w:tcMar>
              <w:top w:w="55" w:type="dxa"/>
              <w:start w:w="70" w:type="dxa"/>
              <w:bottom w:w="55" w:type="dxa"/>
              <w:end w:w="70" w:type="dxa"/>
            </w:tcMar>
            <w:vAlign w:val="top"/>
          </w:tcPr>
          <w:p>
            <w:pPr>
              <w:pStyle w:val="TableText"/>
            </w:pPr>
            <w:r>
              <w:t>Access</w:t>
            </w:r>
          </w:p>
        </w:tc>
        <w:tc>
          <w:tcPr>
            <w:tcW w:type="dxa" w:w="7824"/>
            <w:shd w:fill="F5F7F8"/>
            <w:tcMar>
              <w:top w:w="55" w:type="dxa"/>
              <w:start w:w="70" w:type="dxa"/>
              <w:bottom w:w="55" w:type="dxa"/>
              <w:end w:w="70" w:type="dxa"/>
            </w:tcMar>
            <w:vAlign w:val="top"/>
          </w:tcPr>
          <w:p>
            <w:pPr>
              <w:pStyle w:val="TableText"/>
            </w:pPr>
            <w:r>
              <w:t>Can I see the precise accessible route/room? Who funds and implements adjustments? What is the evacuation plan?</w:t>
            </w:r>
          </w:p>
        </w:tc>
      </w:tr>
    </w:tbl>
    <w:p>
      <w:pPr>
        <w:spacing w:after="20"/>
      </w:pPr>
    </w:p>
    <w:p>
      <w:pPr>
        <w:pStyle w:val="Heading2"/>
        <w:keepNext/>
      </w:pPr>
      <w:r>
        <w:t>Appendix C — Accommodation call sheet</w:t>
      </w:r>
    </w:p>
    <w:p>
      <w:pPr>
        <w:pStyle w:val="ListBullet"/>
        <w:spacing w:after="30" w:line="247" w:lineRule="auto"/>
        <w:ind w:left="312" w:hanging="142"/>
      </w:pPr>
      <w:r>
        <w:t>Property/room and address; building/floor; step-free route; lift backup; bathroom type.</w:t>
      </w:r>
    </w:p>
    <w:p>
      <w:pPr>
        <w:pStyle w:val="ListBullet"/>
        <w:spacing w:after="30" w:line="247" w:lineRule="auto"/>
        <w:ind w:left="312" w:hanging="142"/>
      </w:pPr>
      <w:r>
        <w:t>Licence/tenancy dates; rent; utilities; internet; catering/kitchen charge; deposit; payment dates.</w:t>
      </w:r>
    </w:p>
    <w:p>
      <w:pPr>
        <w:pStyle w:val="ListBullet"/>
        <w:spacing w:after="30" w:line="247" w:lineRule="auto"/>
        <w:ind w:left="312" w:hanging="142"/>
      </w:pPr>
      <w:r>
        <w:t>Vacation stay, storage, room moves, conference displacement, summer and early arrival.</w:t>
      </w:r>
    </w:p>
    <w:p>
      <w:pPr>
        <w:pStyle w:val="ListBullet"/>
        <w:spacing w:after="30" w:line="247" w:lineRule="auto"/>
        <w:ind w:left="312" w:hanging="142"/>
      </w:pPr>
      <w:r>
        <w:t>Oven/hob/microwave/freezer; shared ratio; allergies; food delivery and parcel handling.</w:t>
      </w:r>
    </w:p>
    <w:p>
      <w:pPr>
        <w:pStyle w:val="ListBullet"/>
        <w:spacing w:after="30" w:line="247" w:lineRule="auto"/>
        <w:ind w:left="312" w:hanging="142"/>
      </w:pPr>
      <w:r>
        <w:t>Partner/child occupancy; overnight guests; visitors; assistance animal; safeguarding rules.</w:t>
      </w:r>
    </w:p>
    <w:p>
      <w:pPr>
        <w:pStyle w:val="ListBullet"/>
        <w:spacing w:after="30" w:line="247" w:lineRule="auto"/>
        <w:ind w:left="312" w:hanging="142"/>
      </w:pPr>
      <w:r>
        <w:t>Noise, desk/chair, heating, ventilation, laundry, bike storage, parking and late-night access.</w:t>
      </w:r>
    </w:p>
    <w:p>
      <w:pPr>
        <w:pStyle w:val="ListBullet"/>
        <w:spacing w:after="30" w:line="247" w:lineRule="auto"/>
        <w:ind w:left="312" w:hanging="142"/>
      </w:pPr>
      <w:r>
        <w:t>Repair reporting and emergency repairs; condition inventory; insurance and liability.</w:t>
      </w:r>
    </w:p>
    <w:p>
      <w:pPr>
        <w:pStyle w:val="ListBullet"/>
        <w:spacing w:after="30" w:line="247" w:lineRule="auto"/>
        <w:ind w:left="312" w:hanging="142"/>
      </w:pPr>
      <w:r>
        <w:t>Intermission, withdrawal, relationship breakdown, room transfer, notice and deposit deductions.</w:t>
      </w:r>
    </w:p>
    <w:p>
      <w:pPr>
        <w:pStyle w:val="Heading2"/>
        <w:keepNext/>
      </w:pPr>
      <w:r>
        <w:t>Appendix D — Packing list for an adult household</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4837"/>
        <w:gridCol w:w="5199"/>
      </w:tblGrid>
      <w:tr>
        <w:trPr>
          <w:tblHeader w:val="true"/>
          <w:cantSplit w:val="true"/>
        </w:trPr>
        <w:tc>
          <w:tcPr>
            <w:tcW w:type="dxa" w:w="4837"/>
            <w:shd w:fill="17324D"/>
            <w:tcMar>
              <w:top w:w="70" w:type="dxa"/>
              <w:start w:w="80" w:type="dxa"/>
              <w:bottom w:w="70" w:type="dxa"/>
              <w:end w:w="80" w:type="dxa"/>
            </w:tcMar>
            <w:vAlign w:val="center"/>
          </w:tcPr>
          <w:p>
            <w:pPr>
              <w:pStyle w:val="TableText"/>
              <w:jc w:val="left"/>
            </w:pPr>
            <w:r>
              <w:rPr>
                <w:b/>
                <w:color w:val="FFFFFF"/>
                <w:sz w:val="15"/>
              </w:rPr>
              <w:t>Bring first</w:t>
            </w:r>
          </w:p>
        </w:tc>
        <w:tc>
          <w:tcPr>
            <w:tcW w:type="dxa" w:w="5200"/>
            <w:shd w:fill="17324D"/>
            <w:tcMar>
              <w:top w:w="70" w:type="dxa"/>
              <w:start w:w="80" w:type="dxa"/>
              <w:bottom w:w="70" w:type="dxa"/>
              <w:end w:w="80" w:type="dxa"/>
            </w:tcMar>
            <w:vAlign w:val="center"/>
          </w:tcPr>
          <w:p>
            <w:pPr>
              <w:pStyle w:val="TableText"/>
              <w:jc w:val="left"/>
            </w:pPr>
            <w:r>
              <w:rPr>
                <w:b/>
                <w:color w:val="FFFFFF"/>
                <w:sz w:val="15"/>
              </w:rPr>
              <w:t>Usually wait and buy/borrow after arrival</w:t>
            </w:r>
          </w:p>
        </w:tc>
      </w:tr>
      <w:tr>
        <w:trPr>
          <w:cantSplit w:val="true"/>
        </w:trPr>
        <w:tc>
          <w:tcPr>
            <w:tcW w:type="dxa" w:w="4837"/>
            <w:tcMar>
              <w:top w:w="55" w:type="dxa"/>
              <w:start w:w="70" w:type="dxa"/>
              <w:bottom w:w="55" w:type="dxa"/>
              <w:end w:w="70" w:type="dxa"/>
            </w:tcMar>
            <w:vAlign w:val="top"/>
          </w:tcPr>
          <w:p>
            <w:pPr>
              <w:pStyle w:val="TableText"/>
            </w:pPr>
            <w:r>
              <w:t>Identification, offer/visa documents, medication and prescriptions, medical letters, chargers, one week of clothing, waterproofs, comfortable shoes, bedding if required, basic food, reusable bottle, earplugs, small first-aid kit, essential child/care items, formal outfit you already own.</w:t>
            </w:r>
          </w:p>
        </w:tc>
        <w:tc>
          <w:tcPr>
            <w:tcW w:type="dxa" w:w="5200"/>
            <w:tcMar>
              <w:top w:w="55" w:type="dxa"/>
              <w:start w:w="70" w:type="dxa"/>
              <w:bottom w:w="55" w:type="dxa"/>
              <w:end w:w="70" w:type="dxa"/>
            </w:tcMar>
            <w:vAlign w:val="top"/>
          </w:tcPr>
          <w:p>
            <w:pPr>
              <w:pStyle w:val="TableText"/>
            </w:pPr>
            <w:r>
              <w:t>Correct College gown, bicycle, printer, white-tie clothing, kitchen appliances, large book collection, society kit, sports stash, Ball outfit and decorative storage. Confirm room, rules and second-hand options first.</w:t>
            </w:r>
          </w:p>
        </w:tc>
      </w:tr>
    </w:tbl>
    <w:p>
      <w:pPr>
        <w:spacing w:after="20"/>
      </w:pP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PACK THE ADMINISTRATIVE “GO BAG”</w:t>
            </w:r>
          </w:p>
          <w:p>
            <w:pPr>
              <w:spacing w:after="0"/>
            </w:pPr>
            <w:r>
              <w:t>Keep passport/ID, University/visa papers, medication list, emergency contacts, finance award and accommodation licence together. Do not put all originals in checked luggage or a removal van.</w:t>
            </w:r>
          </w:p>
        </w:tc>
      </w:tr>
    </w:tbl>
    <w:p>
      <w:pPr>
        <w:spacing w:after="20"/>
      </w:pPr>
    </w:p>
    <w:p>
      <w:pPr>
        <w:pStyle w:val="Heading2"/>
        <w:keepNext/>
      </w:pPr>
      <w:r>
        <w:t>Appendix E — Academic preparation checklist</w:t>
      </w:r>
    </w:p>
    <w:p>
      <w:pPr>
        <w:pStyle w:val="ListBullet"/>
        <w:spacing w:after="30" w:line="247" w:lineRule="auto"/>
        <w:ind w:left="312" w:hanging="142"/>
      </w:pPr>
      <w:r>
        <w:t>Read the current course handbook and identify every first-term paper, assessment and required skill.</w:t>
      </w:r>
    </w:p>
    <w:p>
      <w:pPr>
        <w:pStyle w:val="ListBullet"/>
        <w:spacing w:after="30" w:line="247" w:lineRule="auto"/>
        <w:ind w:left="312" w:hanging="142"/>
      </w:pPr>
      <w:r>
        <w:t>Run a diagnostic of mathematics, language, laboratory, coding or essay skills; choose two priority gaps, not twenty.</w:t>
      </w:r>
    </w:p>
    <w:p>
      <w:pPr>
        <w:pStyle w:val="ListBullet"/>
        <w:spacing w:after="30" w:line="247" w:lineRule="auto"/>
        <w:ind w:left="312" w:hanging="142"/>
      </w:pPr>
      <w:r>
        <w:t>Complete one timed piece or problem set and obtain feedback before arrival where possible.</w:t>
      </w:r>
    </w:p>
    <w:p>
      <w:pPr>
        <w:pStyle w:val="ListBullet"/>
        <w:spacing w:after="30" w:line="247" w:lineRule="auto"/>
        <w:ind w:left="312" w:hanging="142"/>
      </w:pPr>
      <w:r>
        <w:t>Practise citation/source recording and create a reliable folder/naming/backup system.</w:t>
      </w:r>
    </w:p>
    <w:p>
      <w:pPr>
        <w:pStyle w:val="ListBullet"/>
        <w:spacing w:after="30" w:line="247" w:lineRule="auto"/>
        <w:ind w:left="312" w:hanging="142"/>
      </w:pPr>
      <w:r>
        <w:t>Learn the library catalogue, Raven, email/calendar and Moodle basics after access is issued.</w:t>
      </w:r>
    </w:p>
    <w:p>
      <w:pPr>
        <w:pStyle w:val="ListBullet"/>
        <w:spacing w:after="30" w:line="247" w:lineRule="auto"/>
        <w:ind w:left="312" w:hanging="142"/>
      </w:pPr>
      <w:r>
        <w:t>Prepare a one-page weekly template containing fixed teaching, travel, care, meals, sleep and two contingency blocks.</w:t>
      </w:r>
    </w:p>
    <w:p>
      <w:pPr>
        <w:pStyle w:val="ListBullet"/>
        <w:spacing w:after="30" w:line="247" w:lineRule="auto"/>
        <w:ind w:left="312" w:hanging="142"/>
      </w:pPr>
      <w:r>
        <w:t>Write three sentences you can use in a supervision: “I do not understand…”, “My assumption was…”, “Could we compare…?”</w:t>
      </w:r>
    </w:p>
    <w:p>
      <w:pPr>
        <w:pStyle w:val="ListBullet"/>
        <w:spacing w:after="30" w:line="247" w:lineRule="auto"/>
        <w:ind w:left="312" w:hanging="142"/>
      </w:pPr>
      <w:r>
        <w:t>Identify the DoS, Faculty administrator, subject librarian and relevant skills/office-hour route.</w:t>
      </w:r>
    </w:p>
    <w:p>
      <w:pPr>
        <w:pStyle w:val="Heading2"/>
        <w:keepNext/>
      </w:pPr>
      <w:r>
        <w:t>Appendix F — First 72 hours checklist</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345"/>
        <w:gridCol w:w="3345"/>
        <w:gridCol w:w="3345"/>
      </w:tblGrid>
      <w:tr>
        <w:trPr>
          <w:tblHeader w:val="true"/>
          <w:cantSplit w:val="true"/>
        </w:trPr>
        <w:tc>
          <w:tcPr>
            <w:tcW w:type="dxa" w:w="3345"/>
            <w:shd w:fill="17324D"/>
            <w:tcMar>
              <w:top w:w="70" w:type="dxa"/>
              <w:start w:w="80" w:type="dxa"/>
              <w:bottom w:w="70" w:type="dxa"/>
              <w:end w:w="80" w:type="dxa"/>
            </w:tcMar>
            <w:vAlign w:val="center"/>
          </w:tcPr>
          <w:p>
            <w:pPr>
              <w:pStyle w:val="TableText"/>
              <w:jc w:val="left"/>
            </w:pPr>
            <w:r>
              <w:rPr>
                <w:b/>
                <w:color w:val="FFFFFF"/>
                <w:sz w:val="15"/>
              </w:rPr>
              <w:t>Within 6 hours</w:t>
            </w:r>
          </w:p>
        </w:tc>
        <w:tc>
          <w:tcPr>
            <w:tcW w:type="dxa" w:w="3345"/>
            <w:shd w:fill="17324D"/>
            <w:tcMar>
              <w:top w:w="70" w:type="dxa"/>
              <w:start w:w="80" w:type="dxa"/>
              <w:bottom w:w="70" w:type="dxa"/>
              <w:end w:w="80" w:type="dxa"/>
            </w:tcMar>
            <w:vAlign w:val="center"/>
          </w:tcPr>
          <w:p>
            <w:pPr>
              <w:pStyle w:val="TableText"/>
              <w:jc w:val="left"/>
            </w:pPr>
            <w:r>
              <w:rPr>
                <w:b/>
                <w:color w:val="FFFFFF"/>
                <w:sz w:val="15"/>
              </w:rPr>
              <w:t>Within 24 hours</w:t>
            </w:r>
          </w:p>
        </w:tc>
        <w:tc>
          <w:tcPr>
            <w:tcW w:type="dxa" w:w="3345"/>
            <w:shd w:fill="17324D"/>
            <w:tcMar>
              <w:top w:w="70" w:type="dxa"/>
              <w:start w:w="80" w:type="dxa"/>
              <w:bottom w:w="70" w:type="dxa"/>
              <w:end w:w="80" w:type="dxa"/>
            </w:tcMar>
            <w:vAlign w:val="center"/>
          </w:tcPr>
          <w:p>
            <w:pPr>
              <w:pStyle w:val="TableText"/>
              <w:jc w:val="left"/>
            </w:pPr>
            <w:r>
              <w:rPr>
                <w:b/>
                <w:color w:val="FFFFFF"/>
                <w:sz w:val="15"/>
              </w:rPr>
              <w:t>Within 72 hours</w:t>
            </w:r>
          </w:p>
        </w:tc>
      </w:tr>
      <w:tr>
        <w:trPr>
          <w:cantSplit w:val="true"/>
        </w:trPr>
        <w:tc>
          <w:tcPr>
            <w:tcW w:type="dxa" w:w="3345"/>
            <w:tcMar>
              <w:top w:w="55" w:type="dxa"/>
              <w:start w:w="70" w:type="dxa"/>
              <w:bottom w:w="55" w:type="dxa"/>
              <w:end w:w="70" w:type="dxa"/>
            </w:tcMar>
            <w:vAlign w:val="top"/>
          </w:tcPr>
          <w:p>
            <w:pPr>
              <w:pStyle w:val="TableText"/>
            </w:pPr>
            <w:r>
              <w:t>Keys and Lodge contact; room photos; medication; food/water; safe route; tell household you arrived.</w:t>
            </w:r>
          </w:p>
        </w:tc>
        <w:tc>
          <w:tcPr>
            <w:tcW w:type="dxa" w:w="3345"/>
            <w:tcMar>
              <w:top w:w="55" w:type="dxa"/>
              <w:start w:w="70" w:type="dxa"/>
              <w:bottom w:w="55" w:type="dxa"/>
              <w:end w:w="70" w:type="dxa"/>
            </w:tcMar>
            <w:vAlign w:val="top"/>
          </w:tcPr>
          <w:p>
            <w:pPr>
              <w:pStyle w:val="TableText"/>
            </w:pPr>
            <w:r>
              <w:t>Internet/Raven; University card/registration; test travel to teaching; laundry/kitchen; GP plan; timetable.</w:t>
            </w:r>
          </w:p>
        </w:tc>
        <w:tc>
          <w:tcPr>
            <w:tcW w:type="dxa" w:w="3345"/>
            <w:tcMar>
              <w:top w:w="55" w:type="dxa"/>
              <w:start w:w="70" w:type="dxa"/>
              <w:bottom w:w="55" w:type="dxa"/>
              <w:end w:w="70" w:type="dxa"/>
            </w:tcMar>
            <w:vAlign w:val="top"/>
          </w:tcPr>
          <w:p>
            <w:pPr>
              <w:pStyle w:val="TableText"/>
            </w:pPr>
            <w:r>
              <w:t>Tutor/DoS meeting dates; library access; budget check; disability implementation; one social anchor; one rest block.</w:t>
            </w:r>
          </w:p>
        </w:tc>
      </w:tr>
    </w:tbl>
    <w:p>
      <w:pPr>
        <w:spacing w:after="20"/>
      </w:pPr>
    </w:p>
    <w:p>
      <w:pPr>
        <w:pStyle w:val="Heading2"/>
        <w:keepNext/>
      </w:pPr>
      <w:r>
        <w:t>Appendix G — “Who do I contact?” pocket tree</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402"/>
        <w:gridCol w:w="3402"/>
        <w:gridCol w:w="2948"/>
      </w:tblGrid>
      <w:tr>
        <w:trPr>
          <w:tblHeader w:val="true"/>
          <w:cantSplit w:val="true"/>
        </w:trPr>
        <w:tc>
          <w:tcPr>
            <w:tcW w:type="dxa" w:w="3402"/>
            <w:shd w:fill="17324D"/>
            <w:tcMar>
              <w:top w:w="70" w:type="dxa"/>
              <w:start w:w="80" w:type="dxa"/>
              <w:bottom w:w="70" w:type="dxa"/>
              <w:end w:w="80" w:type="dxa"/>
            </w:tcMar>
            <w:vAlign w:val="center"/>
          </w:tcPr>
          <w:p>
            <w:pPr>
              <w:pStyle w:val="TableText"/>
              <w:jc w:val="left"/>
            </w:pPr>
            <w:r>
              <w:rPr>
                <w:b/>
                <w:color w:val="FFFFFF"/>
                <w:sz w:val="15"/>
              </w:rPr>
              <w:t>Question</w:t>
            </w:r>
          </w:p>
        </w:tc>
        <w:tc>
          <w:tcPr>
            <w:tcW w:type="dxa" w:w="3402"/>
            <w:shd w:fill="17324D"/>
            <w:tcMar>
              <w:top w:w="70" w:type="dxa"/>
              <w:start w:w="80" w:type="dxa"/>
              <w:bottom w:w="70" w:type="dxa"/>
              <w:end w:w="80" w:type="dxa"/>
            </w:tcMar>
            <w:vAlign w:val="center"/>
          </w:tcPr>
          <w:p>
            <w:pPr>
              <w:pStyle w:val="TableText"/>
              <w:jc w:val="left"/>
            </w:pPr>
            <w:r>
              <w:rPr>
                <w:b/>
                <w:color w:val="FFFFFF"/>
                <w:sz w:val="15"/>
              </w:rPr>
              <w:t>First door</w:t>
            </w:r>
          </w:p>
        </w:tc>
        <w:tc>
          <w:tcPr>
            <w:tcW w:type="dxa" w:w="2948"/>
            <w:shd w:fill="17324D"/>
            <w:tcMar>
              <w:top w:w="70" w:type="dxa"/>
              <w:start w:w="80" w:type="dxa"/>
              <w:bottom w:w="70" w:type="dxa"/>
              <w:end w:w="80" w:type="dxa"/>
            </w:tcMar>
            <w:vAlign w:val="center"/>
          </w:tcPr>
          <w:p>
            <w:pPr>
              <w:pStyle w:val="TableText"/>
              <w:jc w:val="left"/>
            </w:pPr>
            <w:r>
              <w:rPr>
                <w:b/>
                <w:color w:val="FFFFFF"/>
                <w:sz w:val="15"/>
              </w:rPr>
              <w:t>Second door / escalation</w:t>
            </w:r>
          </w:p>
        </w:tc>
      </w:tr>
      <w:tr>
        <w:trPr>
          <w:cantSplit w:val="true"/>
        </w:trPr>
        <w:tc>
          <w:tcPr>
            <w:tcW w:type="dxa" w:w="3402"/>
            <w:tcMar>
              <w:top w:w="55" w:type="dxa"/>
              <w:start w:w="70" w:type="dxa"/>
              <w:bottom w:w="55" w:type="dxa"/>
              <w:end w:w="70" w:type="dxa"/>
            </w:tcMar>
            <w:vAlign w:val="top"/>
          </w:tcPr>
          <w:p>
            <w:pPr>
              <w:pStyle w:val="TableText"/>
            </w:pPr>
            <w:r>
              <w:t>Is anyone in immediate danger?</w:t>
            </w:r>
          </w:p>
        </w:tc>
        <w:tc>
          <w:tcPr>
            <w:tcW w:type="dxa" w:w="3402"/>
            <w:tcMar>
              <w:top w:w="55" w:type="dxa"/>
              <w:start w:w="70" w:type="dxa"/>
              <w:bottom w:w="55" w:type="dxa"/>
              <w:end w:w="70" w:type="dxa"/>
            </w:tcMar>
            <w:vAlign w:val="top"/>
          </w:tcPr>
          <w:p>
            <w:pPr>
              <w:pStyle w:val="TableText"/>
            </w:pPr>
            <w:r>
              <w:t>999/112; College Lodge for local access/security.</w:t>
            </w:r>
          </w:p>
        </w:tc>
        <w:tc>
          <w:tcPr>
            <w:tcW w:type="dxa" w:w="2948"/>
            <w:tcMar>
              <w:top w:w="55" w:type="dxa"/>
              <w:start w:w="70" w:type="dxa"/>
              <w:bottom w:w="55" w:type="dxa"/>
              <w:end w:w="70" w:type="dxa"/>
            </w:tcMar>
            <w:vAlign w:val="top"/>
          </w:tcPr>
          <w:p>
            <w:pPr>
              <w:pStyle w:val="TableText"/>
            </w:pPr>
            <w:r>
              <w:t>Police/ambulance direction and College senior duty route.</w:t>
            </w:r>
          </w:p>
        </w:tc>
      </w:tr>
      <w:tr>
        <w:trPr>
          <w:cantSplit w:val="true"/>
        </w:trPr>
        <w:tc>
          <w:tcPr>
            <w:tcW w:type="dxa" w:w="3402"/>
            <w:shd w:fill="F5F7F8"/>
            <w:tcMar>
              <w:top w:w="55" w:type="dxa"/>
              <w:start w:w="70" w:type="dxa"/>
              <w:bottom w:w="55" w:type="dxa"/>
              <w:end w:w="70" w:type="dxa"/>
            </w:tcMar>
            <w:vAlign w:val="top"/>
          </w:tcPr>
          <w:p>
            <w:pPr>
              <w:pStyle w:val="TableText"/>
            </w:pPr>
            <w:r>
              <w:t>Urgent medical issue, not 999?</w:t>
            </w:r>
          </w:p>
        </w:tc>
        <w:tc>
          <w:tcPr>
            <w:tcW w:type="dxa" w:w="3402"/>
            <w:shd w:fill="F5F7F8"/>
            <w:tcMar>
              <w:top w:w="55" w:type="dxa"/>
              <w:start w:w="70" w:type="dxa"/>
              <w:bottom w:w="55" w:type="dxa"/>
              <w:end w:w="70" w:type="dxa"/>
            </w:tcMar>
            <w:vAlign w:val="top"/>
          </w:tcPr>
          <w:p>
            <w:pPr>
              <w:pStyle w:val="TableText"/>
            </w:pPr>
            <w:r>
              <w:t>NHS 111 / GP urgent route.</w:t>
            </w:r>
          </w:p>
        </w:tc>
        <w:tc>
          <w:tcPr>
            <w:tcW w:type="dxa" w:w="2948"/>
            <w:shd w:fill="F5F7F8"/>
            <w:tcMar>
              <w:top w:w="55" w:type="dxa"/>
              <w:start w:w="70" w:type="dxa"/>
              <w:bottom w:w="55" w:type="dxa"/>
              <w:end w:w="70" w:type="dxa"/>
            </w:tcMar>
            <w:vAlign w:val="top"/>
          </w:tcPr>
          <w:p>
            <w:pPr>
              <w:pStyle w:val="TableText"/>
            </w:pPr>
            <w:r>
              <w:t>College nurse if within scope; Tutor for academic consequence.</w:t>
            </w:r>
          </w:p>
        </w:tc>
      </w:tr>
      <w:tr>
        <w:trPr>
          <w:cantSplit w:val="true"/>
        </w:trPr>
        <w:tc>
          <w:tcPr>
            <w:tcW w:type="dxa" w:w="3402"/>
            <w:tcMar>
              <w:top w:w="55" w:type="dxa"/>
              <w:start w:w="70" w:type="dxa"/>
              <w:bottom w:w="55" w:type="dxa"/>
              <w:end w:w="70" w:type="dxa"/>
            </w:tcMar>
            <w:vAlign w:val="top"/>
          </w:tcPr>
          <w:p>
            <w:pPr>
              <w:pStyle w:val="TableText"/>
            </w:pPr>
            <w:r>
              <w:t>One academic task?</w:t>
            </w:r>
          </w:p>
        </w:tc>
        <w:tc>
          <w:tcPr>
            <w:tcW w:type="dxa" w:w="3402"/>
            <w:tcMar>
              <w:top w:w="55" w:type="dxa"/>
              <w:start w:w="70" w:type="dxa"/>
              <w:bottom w:w="55" w:type="dxa"/>
              <w:end w:w="70" w:type="dxa"/>
            </w:tcMar>
            <w:vAlign w:val="top"/>
          </w:tcPr>
          <w:p>
            <w:pPr>
              <w:pStyle w:val="TableText"/>
            </w:pPr>
            <w:r>
              <w:t>Supervisor.</w:t>
            </w:r>
          </w:p>
        </w:tc>
        <w:tc>
          <w:tcPr>
            <w:tcW w:type="dxa" w:w="2948"/>
            <w:tcMar>
              <w:top w:w="55" w:type="dxa"/>
              <w:start w:w="70" w:type="dxa"/>
              <w:bottom w:w="55" w:type="dxa"/>
              <w:end w:w="70" w:type="dxa"/>
            </w:tcMar>
            <w:vAlign w:val="top"/>
          </w:tcPr>
          <w:p>
            <w:pPr>
              <w:pStyle w:val="TableText"/>
            </w:pPr>
            <w:r>
              <w:t>DoS if repeated or structural.</w:t>
            </w:r>
          </w:p>
        </w:tc>
      </w:tr>
      <w:tr>
        <w:trPr>
          <w:cantSplit w:val="true"/>
        </w:trPr>
        <w:tc>
          <w:tcPr>
            <w:tcW w:type="dxa" w:w="3402"/>
            <w:shd w:fill="F5F7F8"/>
            <w:tcMar>
              <w:top w:w="55" w:type="dxa"/>
              <w:start w:w="70" w:type="dxa"/>
              <w:bottom w:w="55" w:type="dxa"/>
              <w:end w:w="70" w:type="dxa"/>
            </w:tcMar>
            <w:vAlign w:val="top"/>
          </w:tcPr>
          <w:p>
            <w:pPr>
              <w:pStyle w:val="TableText"/>
            </w:pPr>
            <w:r>
              <w:t>Academic programme/paper choice?</w:t>
            </w:r>
          </w:p>
        </w:tc>
        <w:tc>
          <w:tcPr>
            <w:tcW w:type="dxa" w:w="3402"/>
            <w:shd w:fill="F5F7F8"/>
            <w:tcMar>
              <w:top w:w="55" w:type="dxa"/>
              <w:start w:w="70" w:type="dxa"/>
              <w:bottom w:w="55" w:type="dxa"/>
              <w:end w:w="70" w:type="dxa"/>
            </w:tcMar>
            <w:vAlign w:val="top"/>
          </w:tcPr>
          <w:p>
            <w:pPr>
              <w:pStyle w:val="TableText"/>
            </w:pPr>
            <w:r>
              <w:t>DoS.</w:t>
            </w:r>
          </w:p>
        </w:tc>
        <w:tc>
          <w:tcPr>
            <w:tcW w:type="dxa" w:w="2948"/>
            <w:shd w:fill="F5F7F8"/>
            <w:tcMar>
              <w:top w:w="55" w:type="dxa"/>
              <w:start w:w="70" w:type="dxa"/>
              <w:bottom w:w="55" w:type="dxa"/>
              <w:end w:w="70" w:type="dxa"/>
            </w:tcMar>
            <w:vAlign w:val="top"/>
          </w:tcPr>
          <w:p>
            <w:pPr>
              <w:pStyle w:val="TableText"/>
            </w:pPr>
            <w:r>
              <w:t>Faculty/course organiser.</w:t>
            </w:r>
          </w:p>
        </w:tc>
      </w:tr>
      <w:tr>
        <w:trPr>
          <w:cantSplit w:val="true"/>
        </w:trPr>
        <w:tc>
          <w:tcPr>
            <w:tcW w:type="dxa" w:w="3402"/>
            <w:tcMar>
              <w:top w:w="55" w:type="dxa"/>
              <w:start w:w="70" w:type="dxa"/>
              <w:bottom w:w="55" w:type="dxa"/>
              <w:end w:w="70" w:type="dxa"/>
            </w:tcMar>
            <w:vAlign w:val="top"/>
          </w:tcPr>
          <w:p>
            <w:pPr>
              <w:pStyle w:val="TableText"/>
            </w:pPr>
            <w:r>
              <w:t>Illness, family, money, intermission?</w:t>
            </w:r>
          </w:p>
        </w:tc>
        <w:tc>
          <w:tcPr>
            <w:tcW w:type="dxa" w:w="3402"/>
            <w:tcMar>
              <w:top w:w="55" w:type="dxa"/>
              <w:start w:w="70" w:type="dxa"/>
              <w:bottom w:w="55" w:type="dxa"/>
              <w:end w:w="70" w:type="dxa"/>
            </w:tcMar>
            <w:vAlign w:val="top"/>
          </w:tcPr>
          <w:p>
            <w:pPr>
              <w:pStyle w:val="TableText"/>
            </w:pPr>
            <w:r>
              <w:t>Tutor.</w:t>
            </w:r>
          </w:p>
        </w:tc>
        <w:tc>
          <w:tcPr>
            <w:tcW w:type="dxa" w:w="2948"/>
            <w:tcMar>
              <w:top w:w="55" w:type="dxa"/>
              <w:start w:w="70" w:type="dxa"/>
              <w:bottom w:w="55" w:type="dxa"/>
              <w:end w:w="70" w:type="dxa"/>
            </w:tcMar>
            <w:vAlign w:val="top"/>
          </w:tcPr>
          <w:p>
            <w:pPr>
              <w:pStyle w:val="TableText"/>
            </w:pPr>
            <w:r>
              <w:t>Senior Tutor; specialist central service; SU Advice.</w:t>
            </w:r>
          </w:p>
        </w:tc>
      </w:tr>
      <w:tr>
        <w:trPr>
          <w:cantSplit w:val="true"/>
        </w:trPr>
        <w:tc>
          <w:tcPr>
            <w:tcW w:type="dxa" w:w="3402"/>
            <w:shd w:fill="F5F7F8"/>
            <w:tcMar>
              <w:top w:w="55" w:type="dxa"/>
              <w:start w:w="70" w:type="dxa"/>
              <w:bottom w:w="55" w:type="dxa"/>
              <w:end w:w="70" w:type="dxa"/>
            </w:tcMar>
            <w:vAlign w:val="top"/>
          </w:tcPr>
          <w:p>
            <w:pPr>
              <w:pStyle w:val="TableText"/>
            </w:pPr>
            <w:r>
              <w:t>Room/rent/repair?</w:t>
            </w:r>
          </w:p>
        </w:tc>
        <w:tc>
          <w:tcPr>
            <w:tcW w:type="dxa" w:w="3402"/>
            <w:shd w:fill="F5F7F8"/>
            <w:tcMar>
              <w:top w:w="55" w:type="dxa"/>
              <w:start w:w="70" w:type="dxa"/>
              <w:bottom w:w="55" w:type="dxa"/>
              <w:end w:w="70" w:type="dxa"/>
            </w:tcMar>
            <w:vAlign w:val="top"/>
          </w:tcPr>
          <w:p>
            <w:pPr>
              <w:pStyle w:val="TableText"/>
            </w:pPr>
            <w:r>
              <w:t>Accommodation office.</w:t>
            </w:r>
          </w:p>
        </w:tc>
        <w:tc>
          <w:tcPr>
            <w:tcW w:type="dxa" w:w="2948"/>
            <w:shd w:fill="F5F7F8"/>
            <w:tcMar>
              <w:top w:w="55" w:type="dxa"/>
              <w:start w:w="70" w:type="dxa"/>
              <w:bottom w:w="55" w:type="dxa"/>
              <w:end w:w="70" w:type="dxa"/>
            </w:tcMar>
            <w:vAlign w:val="top"/>
          </w:tcPr>
          <w:p>
            <w:pPr>
              <w:pStyle w:val="TableText"/>
            </w:pPr>
            <w:r>
              <w:t>Tutor/Senior Tutor; complaints; housing advice.</w:t>
            </w:r>
          </w:p>
        </w:tc>
      </w:tr>
      <w:tr>
        <w:trPr>
          <w:cantSplit w:val="true"/>
        </w:trPr>
        <w:tc>
          <w:tcPr>
            <w:tcW w:type="dxa" w:w="3402"/>
            <w:tcMar>
              <w:top w:w="55" w:type="dxa"/>
              <w:start w:w="70" w:type="dxa"/>
              <w:bottom w:w="55" w:type="dxa"/>
              <w:end w:w="70" w:type="dxa"/>
            </w:tcMar>
            <w:vAlign w:val="top"/>
          </w:tcPr>
          <w:p>
            <w:pPr>
              <w:pStyle w:val="TableText"/>
            </w:pPr>
            <w:r>
              <w:t>Adjustment?</w:t>
            </w:r>
          </w:p>
        </w:tc>
        <w:tc>
          <w:tcPr>
            <w:tcW w:type="dxa" w:w="3402"/>
            <w:tcMar>
              <w:top w:w="55" w:type="dxa"/>
              <w:start w:w="70" w:type="dxa"/>
              <w:bottom w:w="55" w:type="dxa"/>
              <w:end w:w="70" w:type="dxa"/>
            </w:tcMar>
            <w:vAlign w:val="top"/>
          </w:tcPr>
          <w:p>
            <w:pPr>
              <w:pStyle w:val="TableText"/>
            </w:pPr>
            <w:r>
              <w:t>ADRC plus College/Faculty implementer.</w:t>
            </w:r>
          </w:p>
        </w:tc>
        <w:tc>
          <w:tcPr>
            <w:tcW w:type="dxa" w:w="2948"/>
            <w:tcMar>
              <w:top w:w="55" w:type="dxa"/>
              <w:start w:w="70" w:type="dxa"/>
              <w:bottom w:w="55" w:type="dxa"/>
              <w:end w:w="70" w:type="dxa"/>
            </w:tcMar>
            <w:vAlign w:val="top"/>
          </w:tcPr>
          <w:p>
            <w:pPr>
              <w:pStyle w:val="TableText"/>
            </w:pPr>
            <w:r>
              <w:t>Tutor/Senior Tutor and exam office.</w:t>
            </w:r>
          </w:p>
        </w:tc>
      </w:tr>
      <w:tr>
        <w:trPr>
          <w:cantSplit w:val="true"/>
        </w:trPr>
        <w:tc>
          <w:tcPr>
            <w:tcW w:type="dxa" w:w="3402"/>
            <w:shd w:fill="F5F7F8"/>
            <w:tcMar>
              <w:top w:w="55" w:type="dxa"/>
              <w:start w:w="70" w:type="dxa"/>
              <w:bottom w:w="55" w:type="dxa"/>
              <w:end w:w="70" w:type="dxa"/>
            </w:tcMar>
            <w:vAlign w:val="top"/>
          </w:tcPr>
          <w:p>
            <w:pPr>
              <w:pStyle w:val="TableText"/>
            </w:pPr>
            <w:r>
              <w:t>Harassment/violence?</w:t>
            </w:r>
          </w:p>
        </w:tc>
        <w:tc>
          <w:tcPr>
            <w:tcW w:type="dxa" w:w="3402"/>
            <w:shd w:fill="F5F7F8"/>
            <w:tcMar>
              <w:top w:w="55" w:type="dxa"/>
              <w:start w:w="70" w:type="dxa"/>
              <w:bottom w:w="55" w:type="dxa"/>
              <w:end w:w="70" w:type="dxa"/>
            </w:tcMar>
            <w:vAlign w:val="top"/>
          </w:tcPr>
          <w:p>
            <w:pPr>
              <w:pStyle w:val="TableText"/>
            </w:pPr>
            <w:r>
              <w:t>Specialist support or safe College route.</w:t>
            </w:r>
          </w:p>
        </w:tc>
        <w:tc>
          <w:tcPr>
            <w:tcW w:type="dxa" w:w="2948"/>
            <w:shd w:fill="F5F7F8"/>
            <w:tcMar>
              <w:top w:w="55" w:type="dxa"/>
              <w:start w:w="70" w:type="dxa"/>
              <w:bottom w:w="55" w:type="dxa"/>
              <w:end w:w="70" w:type="dxa"/>
            </w:tcMar>
            <w:vAlign w:val="top"/>
          </w:tcPr>
          <w:p>
            <w:pPr>
              <w:pStyle w:val="TableText"/>
            </w:pPr>
            <w:r>
              <w:t>Formal procedure, SU Advice, police where appropriate.</w:t>
            </w:r>
          </w:p>
        </w:tc>
      </w:tr>
      <w:tr>
        <w:trPr>
          <w:cantSplit w:val="true"/>
        </w:trPr>
        <w:tc>
          <w:tcPr>
            <w:tcW w:type="dxa" w:w="3402"/>
            <w:tcMar>
              <w:top w:w="55" w:type="dxa"/>
              <w:start w:w="70" w:type="dxa"/>
              <w:bottom w:w="55" w:type="dxa"/>
              <w:end w:w="70" w:type="dxa"/>
            </w:tcMar>
            <w:vAlign w:val="top"/>
          </w:tcPr>
          <w:p>
            <w:pPr>
              <w:pStyle w:val="TableText"/>
            </w:pPr>
            <w:r>
              <w:t>Visa?</w:t>
            </w:r>
          </w:p>
        </w:tc>
        <w:tc>
          <w:tcPr>
            <w:tcW w:type="dxa" w:w="3402"/>
            <w:tcMar>
              <w:top w:w="55" w:type="dxa"/>
              <w:start w:w="70" w:type="dxa"/>
              <w:bottom w:w="55" w:type="dxa"/>
              <w:end w:w="70" w:type="dxa"/>
            </w:tcMar>
            <w:vAlign w:val="top"/>
          </w:tcPr>
          <w:p>
            <w:pPr>
              <w:pStyle w:val="TableText"/>
            </w:pPr>
            <w:r>
              <w:t>International Student Office.</w:t>
            </w:r>
          </w:p>
        </w:tc>
        <w:tc>
          <w:tcPr>
            <w:tcW w:type="dxa" w:w="2948"/>
            <w:tcMar>
              <w:top w:w="55" w:type="dxa"/>
              <w:start w:w="70" w:type="dxa"/>
              <w:bottom w:w="55" w:type="dxa"/>
              <w:end w:w="70" w:type="dxa"/>
            </w:tcMar>
            <w:vAlign w:val="top"/>
          </w:tcPr>
          <w:p>
            <w:pPr>
              <w:pStyle w:val="TableText"/>
            </w:pPr>
            <w:r>
              <w:t>Qualified immigration route; Student Registry/College status.</w:t>
            </w:r>
          </w:p>
        </w:tc>
      </w:tr>
      <w:tr>
        <w:trPr>
          <w:cantSplit w:val="true"/>
        </w:trPr>
        <w:tc>
          <w:tcPr>
            <w:tcW w:type="dxa" w:w="3402"/>
            <w:shd w:fill="F5F7F8"/>
            <w:tcMar>
              <w:top w:w="55" w:type="dxa"/>
              <w:start w:w="70" w:type="dxa"/>
              <w:bottom w:w="55" w:type="dxa"/>
              <w:end w:w="70" w:type="dxa"/>
            </w:tcMar>
            <w:vAlign w:val="top"/>
          </w:tcPr>
          <w:p>
            <w:pPr>
              <w:pStyle w:val="TableText"/>
            </w:pPr>
            <w:r>
              <w:t>Unsure who has authority?</w:t>
            </w:r>
          </w:p>
        </w:tc>
        <w:tc>
          <w:tcPr>
            <w:tcW w:type="dxa" w:w="3402"/>
            <w:shd w:fill="F5F7F8"/>
            <w:tcMar>
              <w:top w:w="55" w:type="dxa"/>
              <w:start w:w="70" w:type="dxa"/>
              <w:bottom w:w="55" w:type="dxa"/>
              <w:end w:w="70" w:type="dxa"/>
            </w:tcMar>
            <w:vAlign w:val="top"/>
          </w:tcPr>
          <w:p>
            <w:pPr>
              <w:pStyle w:val="TableText"/>
            </w:pPr>
            <w:r>
              <w:t>Ask: University, Faculty, course or College?</w:t>
            </w:r>
          </w:p>
        </w:tc>
        <w:tc>
          <w:tcPr>
            <w:tcW w:type="dxa" w:w="2948"/>
            <w:shd w:fill="F5F7F8"/>
            <w:tcMar>
              <w:top w:w="55" w:type="dxa"/>
              <w:start w:w="70" w:type="dxa"/>
              <w:bottom w:w="55" w:type="dxa"/>
              <w:end w:w="70" w:type="dxa"/>
            </w:tcMar>
            <w:vAlign w:val="top"/>
          </w:tcPr>
          <w:p>
            <w:pPr>
              <w:pStyle w:val="TableText"/>
            </w:pPr>
            <w:r>
              <w:t>Cambridge SU Student Advice. [SU01]</w:t>
            </w:r>
          </w:p>
        </w:tc>
      </w:tr>
    </w:tbl>
    <w:p>
      <w:pPr>
        <w:spacing w:after="20"/>
      </w:pPr>
    </w:p>
    <w:p>
      <w:pPr>
        <w:pStyle w:val="Heading2"/>
        <w:keepNext/>
      </w:pPr>
      <w:r>
        <w:t>Appendix H — Crisis contacts</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005"/>
        <w:gridCol w:w="3061"/>
        <w:gridCol w:w="3685"/>
      </w:tblGrid>
      <w:tr>
        <w:trPr>
          <w:tblHeader w:val="true"/>
          <w:cantSplit w:val="true"/>
        </w:trPr>
        <w:tc>
          <w:tcPr>
            <w:tcW w:type="dxa" w:w="3005"/>
            <w:shd w:fill="17324D"/>
            <w:tcMar>
              <w:top w:w="70" w:type="dxa"/>
              <w:start w:w="80" w:type="dxa"/>
              <w:bottom w:w="70" w:type="dxa"/>
              <w:end w:w="80" w:type="dxa"/>
            </w:tcMar>
            <w:vAlign w:val="center"/>
          </w:tcPr>
          <w:p>
            <w:pPr>
              <w:pStyle w:val="TableText"/>
              <w:jc w:val="left"/>
            </w:pPr>
            <w:r>
              <w:rPr>
                <w:b/>
                <w:color w:val="FFFFFF"/>
                <w:sz w:val="15"/>
              </w:rPr>
              <w:t>Situation</w:t>
            </w:r>
          </w:p>
        </w:tc>
        <w:tc>
          <w:tcPr>
            <w:tcW w:type="dxa" w:w="3061"/>
            <w:shd w:fill="17324D"/>
            <w:tcMar>
              <w:top w:w="70" w:type="dxa"/>
              <w:start w:w="80" w:type="dxa"/>
              <w:bottom w:w="70" w:type="dxa"/>
              <w:end w:w="80" w:type="dxa"/>
            </w:tcMar>
            <w:vAlign w:val="center"/>
          </w:tcPr>
          <w:p>
            <w:pPr>
              <w:pStyle w:val="TableText"/>
              <w:jc w:val="left"/>
            </w:pPr>
            <w:r>
              <w:rPr>
                <w:b/>
                <w:color w:val="FFFFFF"/>
                <w:sz w:val="15"/>
              </w:rPr>
              <w:t>Contact</w:t>
            </w:r>
          </w:p>
        </w:tc>
        <w:tc>
          <w:tcPr>
            <w:tcW w:type="dxa" w:w="3685"/>
            <w:shd w:fill="17324D"/>
            <w:tcMar>
              <w:top w:w="70" w:type="dxa"/>
              <w:start w:w="80" w:type="dxa"/>
              <w:bottom w:w="70" w:type="dxa"/>
              <w:end w:w="80" w:type="dxa"/>
            </w:tcMar>
            <w:vAlign w:val="center"/>
          </w:tcPr>
          <w:p>
            <w:pPr>
              <w:pStyle w:val="TableText"/>
              <w:jc w:val="left"/>
            </w:pPr>
            <w:r>
              <w:rPr>
                <w:b/>
                <w:color w:val="FFFFFF"/>
                <w:sz w:val="15"/>
              </w:rPr>
              <w:t>Notes</w:t>
            </w:r>
          </w:p>
        </w:tc>
      </w:tr>
      <w:tr>
        <w:trPr>
          <w:cantSplit w:val="true"/>
        </w:trPr>
        <w:tc>
          <w:tcPr>
            <w:tcW w:type="dxa" w:w="3005"/>
            <w:tcMar>
              <w:top w:w="55" w:type="dxa"/>
              <w:start w:w="70" w:type="dxa"/>
              <w:bottom w:w="55" w:type="dxa"/>
              <w:end w:w="70" w:type="dxa"/>
            </w:tcMar>
            <w:vAlign w:val="top"/>
          </w:tcPr>
          <w:p>
            <w:pPr>
              <w:pStyle w:val="TableText"/>
            </w:pPr>
            <w:r>
              <w:t>Immediate danger / serious emergency</w:t>
            </w:r>
          </w:p>
        </w:tc>
        <w:tc>
          <w:tcPr>
            <w:tcW w:type="dxa" w:w="3061"/>
            <w:tcMar>
              <w:top w:w="55" w:type="dxa"/>
              <w:start w:w="70" w:type="dxa"/>
              <w:bottom w:w="55" w:type="dxa"/>
              <w:end w:w="70" w:type="dxa"/>
            </w:tcMar>
            <w:vAlign w:val="top"/>
          </w:tcPr>
          <w:p>
            <w:pPr>
              <w:pStyle w:val="TableText"/>
            </w:pPr>
            <w:r>
              <w:t>999 or 112</w:t>
            </w:r>
          </w:p>
        </w:tc>
        <w:tc>
          <w:tcPr>
            <w:tcW w:type="dxa" w:w="3685"/>
            <w:tcMar>
              <w:top w:w="55" w:type="dxa"/>
              <w:start w:w="70" w:type="dxa"/>
              <w:bottom w:w="55" w:type="dxa"/>
              <w:end w:w="70" w:type="dxa"/>
            </w:tcMar>
            <w:vAlign w:val="top"/>
          </w:tcPr>
          <w:p>
            <w:pPr>
              <w:pStyle w:val="TableText"/>
            </w:pPr>
            <w:r>
              <w:t>Give exact College gate/building; alert Lodge where safe.</w:t>
            </w:r>
          </w:p>
        </w:tc>
      </w:tr>
      <w:tr>
        <w:trPr>
          <w:cantSplit w:val="true"/>
        </w:trPr>
        <w:tc>
          <w:tcPr>
            <w:tcW w:type="dxa" w:w="3005"/>
            <w:shd w:fill="F5F7F8"/>
            <w:tcMar>
              <w:top w:w="55" w:type="dxa"/>
              <w:start w:w="70" w:type="dxa"/>
              <w:bottom w:w="55" w:type="dxa"/>
              <w:end w:w="70" w:type="dxa"/>
            </w:tcMar>
            <w:vAlign w:val="top"/>
          </w:tcPr>
          <w:p>
            <w:pPr>
              <w:pStyle w:val="TableText"/>
            </w:pPr>
            <w:r>
              <w:t>Urgent medical advice</w:t>
            </w:r>
          </w:p>
        </w:tc>
        <w:tc>
          <w:tcPr>
            <w:tcW w:type="dxa" w:w="3061"/>
            <w:shd w:fill="F5F7F8"/>
            <w:tcMar>
              <w:top w:w="55" w:type="dxa"/>
              <w:start w:w="70" w:type="dxa"/>
              <w:bottom w:w="55" w:type="dxa"/>
              <w:end w:w="70" w:type="dxa"/>
            </w:tcMar>
            <w:vAlign w:val="top"/>
          </w:tcPr>
          <w:p>
            <w:pPr>
              <w:pStyle w:val="TableText"/>
            </w:pPr>
            <w:r>
              <w:t>NHS 111 / 111 online</w:t>
            </w:r>
          </w:p>
        </w:tc>
        <w:tc>
          <w:tcPr>
            <w:tcW w:type="dxa" w:w="3685"/>
            <w:shd w:fill="F5F7F8"/>
            <w:tcMar>
              <w:top w:w="55" w:type="dxa"/>
              <w:start w:w="70" w:type="dxa"/>
              <w:bottom w:w="55" w:type="dxa"/>
              <w:end w:w="70" w:type="dxa"/>
            </w:tcMar>
            <w:vAlign w:val="top"/>
          </w:tcPr>
          <w:p>
            <w:pPr>
              <w:pStyle w:val="TableText"/>
            </w:pPr>
            <w:r>
              <w:t>Not for immediate life-threatening emergency. [N01]</w:t>
            </w:r>
          </w:p>
        </w:tc>
      </w:tr>
      <w:tr>
        <w:trPr>
          <w:cantSplit w:val="true"/>
        </w:trPr>
        <w:tc>
          <w:tcPr>
            <w:tcW w:type="dxa" w:w="3005"/>
            <w:tcMar>
              <w:top w:w="55" w:type="dxa"/>
              <w:start w:w="70" w:type="dxa"/>
              <w:bottom w:w="55" w:type="dxa"/>
              <w:end w:w="70" w:type="dxa"/>
            </w:tcMar>
            <w:vAlign w:val="top"/>
          </w:tcPr>
          <w:p>
            <w:pPr>
              <w:pStyle w:val="TableText"/>
            </w:pPr>
            <w:r>
              <w:t>Emotional support now</w:t>
            </w:r>
          </w:p>
        </w:tc>
        <w:tc>
          <w:tcPr>
            <w:tcW w:type="dxa" w:w="3061"/>
            <w:tcMar>
              <w:top w:w="55" w:type="dxa"/>
              <w:start w:w="70" w:type="dxa"/>
              <w:bottom w:w="55" w:type="dxa"/>
              <w:end w:w="70" w:type="dxa"/>
            </w:tcMar>
            <w:vAlign w:val="top"/>
          </w:tcPr>
          <w:p>
            <w:pPr>
              <w:pStyle w:val="TableText"/>
            </w:pPr>
            <w:r>
              <w:t>Samaritans 116 123</w:t>
            </w:r>
          </w:p>
        </w:tc>
        <w:tc>
          <w:tcPr>
            <w:tcW w:type="dxa" w:w="3685"/>
            <w:tcMar>
              <w:top w:w="55" w:type="dxa"/>
              <w:start w:w="70" w:type="dxa"/>
              <w:bottom w:w="55" w:type="dxa"/>
              <w:end w:w="70" w:type="dxa"/>
            </w:tcMar>
            <w:vAlign w:val="top"/>
          </w:tcPr>
          <w:p>
            <w:pPr>
              <w:pStyle w:val="TableText"/>
            </w:pPr>
            <w:r>
              <w:t>Free confidential listening; not an emergency-dispatch service. [N02]</w:t>
            </w:r>
          </w:p>
        </w:tc>
      </w:tr>
      <w:tr>
        <w:trPr>
          <w:cantSplit w:val="true"/>
        </w:trPr>
        <w:tc>
          <w:tcPr>
            <w:tcW w:type="dxa" w:w="3005"/>
            <w:shd w:fill="F5F7F8"/>
            <w:tcMar>
              <w:top w:w="55" w:type="dxa"/>
              <w:start w:w="70" w:type="dxa"/>
              <w:bottom w:w="55" w:type="dxa"/>
              <w:end w:w="70" w:type="dxa"/>
            </w:tcMar>
            <w:vAlign w:val="top"/>
          </w:tcPr>
          <w:p>
            <w:pPr>
              <w:pStyle w:val="TableText"/>
            </w:pPr>
            <w:r>
              <w:t>College practical/security incident</w:t>
            </w:r>
          </w:p>
        </w:tc>
        <w:tc>
          <w:tcPr>
            <w:tcW w:type="dxa" w:w="3061"/>
            <w:shd w:fill="F5F7F8"/>
            <w:tcMar>
              <w:top w:w="55" w:type="dxa"/>
              <w:start w:w="70" w:type="dxa"/>
              <w:bottom w:w="55" w:type="dxa"/>
              <w:end w:w="70" w:type="dxa"/>
            </w:tcMar>
            <w:vAlign w:val="top"/>
          </w:tcPr>
          <w:p>
            <w:pPr>
              <w:pStyle w:val="TableText"/>
            </w:pPr>
            <w:r>
              <w:t>Your Porters’ Lodge</w:t>
            </w:r>
          </w:p>
        </w:tc>
        <w:tc>
          <w:tcPr>
            <w:tcW w:type="dxa" w:w="3685"/>
            <w:shd w:fill="F5F7F8"/>
            <w:tcMar>
              <w:top w:w="55" w:type="dxa"/>
              <w:start w:w="70" w:type="dxa"/>
              <w:bottom w:w="55" w:type="dxa"/>
              <w:end w:w="70" w:type="dxa"/>
            </w:tcMar>
            <w:vAlign w:val="top"/>
          </w:tcPr>
          <w:p>
            <w:pPr>
              <w:pStyle w:val="TableText"/>
            </w:pPr>
            <w:r>
              <w:t>Store the direct number; role and opening vary.</w:t>
            </w:r>
          </w:p>
        </w:tc>
      </w:tr>
      <w:tr>
        <w:trPr>
          <w:cantSplit w:val="true"/>
        </w:trPr>
        <w:tc>
          <w:tcPr>
            <w:tcW w:type="dxa" w:w="3005"/>
            <w:tcMar>
              <w:top w:w="55" w:type="dxa"/>
              <w:start w:w="70" w:type="dxa"/>
              <w:bottom w:w="55" w:type="dxa"/>
              <w:end w:w="70" w:type="dxa"/>
            </w:tcMar>
            <w:vAlign w:val="top"/>
          </w:tcPr>
          <w:p>
            <w:pPr>
              <w:pStyle w:val="TableText"/>
            </w:pPr>
            <w:r>
              <w:t>University mental-health/wellbeing</w:t>
            </w:r>
          </w:p>
        </w:tc>
        <w:tc>
          <w:tcPr>
            <w:tcW w:type="dxa" w:w="3061"/>
            <w:tcMar>
              <w:top w:w="55" w:type="dxa"/>
              <w:start w:w="70" w:type="dxa"/>
              <w:bottom w:w="55" w:type="dxa"/>
              <w:end w:w="70" w:type="dxa"/>
            </w:tcMar>
            <w:vAlign w:val="top"/>
          </w:tcPr>
          <w:p>
            <w:pPr>
              <w:pStyle w:val="TableText"/>
            </w:pPr>
            <w:r>
              <w:t>Student Support</w:t>
            </w:r>
          </w:p>
        </w:tc>
        <w:tc>
          <w:tcPr>
            <w:tcW w:type="dxa" w:w="3685"/>
            <w:tcMar>
              <w:top w:w="55" w:type="dxa"/>
              <w:start w:w="70" w:type="dxa"/>
              <w:bottom w:w="55" w:type="dxa"/>
              <w:end w:w="70" w:type="dxa"/>
            </w:tcMar>
            <w:vAlign w:val="top"/>
          </w:tcPr>
          <w:p>
            <w:pPr>
              <w:pStyle w:val="TableText"/>
            </w:pPr>
            <w:r>
              <w:t>Central services; check current access and hours. [U11] [U17]</w:t>
            </w:r>
          </w:p>
        </w:tc>
      </w:tr>
      <w:tr>
        <w:trPr>
          <w:cantSplit w:val="true"/>
        </w:trPr>
        <w:tc>
          <w:tcPr>
            <w:tcW w:type="dxa" w:w="3005"/>
            <w:shd w:fill="F5F7F8"/>
            <w:tcMar>
              <w:top w:w="55" w:type="dxa"/>
              <w:start w:w="70" w:type="dxa"/>
              <w:bottom w:w="55" w:type="dxa"/>
              <w:end w:w="70" w:type="dxa"/>
            </w:tcMar>
            <w:vAlign w:val="top"/>
          </w:tcPr>
          <w:p>
            <w:pPr>
              <w:pStyle w:val="TableText"/>
            </w:pPr>
            <w:r>
              <w:t>Harassment/sexual violence support</w:t>
            </w:r>
          </w:p>
        </w:tc>
        <w:tc>
          <w:tcPr>
            <w:tcW w:type="dxa" w:w="3061"/>
            <w:shd w:fill="F5F7F8"/>
            <w:tcMar>
              <w:top w:w="55" w:type="dxa"/>
              <w:start w:w="70" w:type="dxa"/>
              <w:bottom w:w="55" w:type="dxa"/>
              <w:end w:w="70" w:type="dxa"/>
            </w:tcMar>
            <w:vAlign w:val="top"/>
          </w:tcPr>
          <w:p>
            <w:pPr>
              <w:pStyle w:val="TableText"/>
            </w:pPr>
            <w:r>
              <w:t>Harassment and Violence Support Service</w:t>
            </w:r>
          </w:p>
        </w:tc>
        <w:tc>
          <w:tcPr>
            <w:tcW w:type="dxa" w:w="3685"/>
            <w:shd w:fill="F5F7F8"/>
            <w:tcMar>
              <w:top w:w="55" w:type="dxa"/>
              <w:start w:w="70" w:type="dxa"/>
              <w:bottom w:w="55" w:type="dxa"/>
              <w:end w:w="70" w:type="dxa"/>
            </w:tcMar>
            <w:vAlign w:val="top"/>
          </w:tcPr>
          <w:p>
            <w:pPr>
              <w:pStyle w:val="TableText"/>
            </w:pPr>
            <w:r>
              <w:t>Specialist support; formal reporting is separate. [U13]</w:t>
            </w:r>
          </w:p>
        </w:tc>
      </w:tr>
      <w:tr>
        <w:trPr>
          <w:cantSplit w:val="true"/>
        </w:trPr>
        <w:tc>
          <w:tcPr>
            <w:tcW w:type="dxa" w:w="3005"/>
            <w:tcMar>
              <w:top w:w="55" w:type="dxa"/>
              <w:start w:w="70" w:type="dxa"/>
              <w:bottom w:w="55" w:type="dxa"/>
              <w:end w:w="70" w:type="dxa"/>
            </w:tcMar>
            <w:vAlign w:val="top"/>
          </w:tcPr>
          <w:p>
            <w:pPr>
              <w:pStyle w:val="TableText"/>
            </w:pPr>
            <w:r>
              <w:t>Independent student advice</w:t>
            </w:r>
          </w:p>
        </w:tc>
        <w:tc>
          <w:tcPr>
            <w:tcW w:type="dxa" w:w="3061"/>
            <w:tcMar>
              <w:top w:w="55" w:type="dxa"/>
              <w:start w:w="70" w:type="dxa"/>
              <w:bottom w:w="55" w:type="dxa"/>
              <w:end w:w="70" w:type="dxa"/>
            </w:tcMar>
            <w:vAlign w:val="top"/>
          </w:tcPr>
          <w:p>
            <w:pPr>
              <w:pStyle w:val="TableText"/>
            </w:pPr>
            <w:r>
              <w:t>Cambridge SU Student Advice</w:t>
            </w:r>
          </w:p>
        </w:tc>
        <w:tc>
          <w:tcPr>
            <w:tcW w:type="dxa" w:w="3685"/>
            <w:tcMar>
              <w:top w:w="55" w:type="dxa"/>
              <w:start w:w="70" w:type="dxa"/>
              <w:bottom w:w="55" w:type="dxa"/>
              <w:end w:w="70" w:type="dxa"/>
            </w:tcMar>
            <w:vAlign w:val="top"/>
          </w:tcPr>
          <w:p>
            <w:pPr>
              <w:pStyle w:val="TableText"/>
            </w:pPr>
            <w:r>
              <w:t>Free, confidential and impartial within service remit. [SU01]</w:t>
            </w:r>
          </w:p>
        </w:tc>
      </w:tr>
      <w:tr>
        <w:trPr>
          <w:cantSplit w:val="true"/>
        </w:trPr>
        <w:tc>
          <w:tcPr>
            <w:tcW w:type="dxa" w:w="3005"/>
            <w:shd w:fill="F5F7F8"/>
            <w:tcMar>
              <w:top w:w="55" w:type="dxa"/>
              <w:start w:w="70" w:type="dxa"/>
              <w:bottom w:w="55" w:type="dxa"/>
              <w:end w:w="70" w:type="dxa"/>
            </w:tcMar>
            <w:vAlign w:val="top"/>
          </w:tcPr>
          <w:p>
            <w:pPr>
              <w:pStyle w:val="TableText"/>
            </w:pPr>
            <w:r>
              <w:t>Visa/immigration</w:t>
            </w:r>
          </w:p>
        </w:tc>
        <w:tc>
          <w:tcPr>
            <w:tcW w:type="dxa" w:w="3061"/>
            <w:shd w:fill="F5F7F8"/>
            <w:tcMar>
              <w:top w:w="55" w:type="dxa"/>
              <w:start w:w="70" w:type="dxa"/>
              <w:bottom w:w="55" w:type="dxa"/>
              <w:end w:w="70" w:type="dxa"/>
            </w:tcMar>
            <w:vAlign w:val="top"/>
          </w:tcPr>
          <w:p>
            <w:pPr>
              <w:pStyle w:val="TableText"/>
            </w:pPr>
            <w:r>
              <w:t>International Student Office</w:t>
            </w:r>
          </w:p>
        </w:tc>
        <w:tc>
          <w:tcPr>
            <w:tcW w:type="dxa" w:w="3685"/>
            <w:shd w:fill="F5F7F8"/>
            <w:tcMar>
              <w:top w:w="55" w:type="dxa"/>
              <w:start w:w="70" w:type="dxa"/>
              <w:bottom w:w="55" w:type="dxa"/>
              <w:end w:w="70" w:type="dxa"/>
            </w:tcMar>
            <w:vAlign w:val="top"/>
          </w:tcPr>
          <w:p>
            <w:pPr>
              <w:pStyle w:val="TableText"/>
            </w:pPr>
            <w:r>
              <w:t>Contact before intermission, withdrawal or work/status change. [U15]</w:t>
            </w:r>
          </w:p>
        </w:tc>
      </w:tr>
    </w:tbl>
    <w:p>
      <w:pPr>
        <w:spacing w:after="20"/>
      </w:pPr>
    </w:p>
    <w:p>
      <w:pPr>
        <w:pStyle w:val="Heading2"/>
        <w:keepNext/>
      </w:pPr>
      <w:r>
        <w:t>Appendix I — A compact funding and bill calendar</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665"/>
        <w:gridCol w:w="7087"/>
      </w:tblGrid>
      <w:tr>
        <w:trPr>
          <w:tblHeader w:val="true"/>
          <w:cantSplit w:val="true"/>
        </w:trPr>
        <w:tc>
          <w:tcPr>
            <w:tcW w:type="dxa" w:w="2664"/>
            <w:shd w:fill="17324D"/>
            <w:tcMar>
              <w:top w:w="70" w:type="dxa"/>
              <w:start w:w="80" w:type="dxa"/>
              <w:bottom w:w="70" w:type="dxa"/>
              <w:end w:w="80" w:type="dxa"/>
            </w:tcMar>
            <w:vAlign w:val="center"/>
          </w:tcPr>
          <w:p>
            <w:pPr>
              <w:pStyle w:val="TableText"/>
              <w:jc w:val="left"/>
            </w:pPr>
            <w:r>
              <w:rPr>
                <w:b/>
                <w:color w:val="FFFFFF"/>
                <w:sz w:val="15"/>
              </w:rPr>
              <w:t>Month / trigger</w:t>
            </w:r>
          </w:p>
        </w:tc>
        <w:tc>
          <w:tcPr>
            <w:tcW w:type="dxa" w:w="7087"/>
            <w:shd w:fill="17324D"/>
            <w:tcMar>
              <w:top w:w="70" w:type="dxa"/>
              <w:start w:w="80" w:type="dxa"/>
              <w:bottom w:w="70" w:type="dxa"/>
              <w:end w:w="80" w:type="dxa"/>
            </w:tcMar>
            <w:vAlign w:val="center"/>
          </w:tcPr>
          <w:p>
            <w:pPr>
              <w:pStyle w:val="TableText"/>
              <w:jc w:val="left"/>
            </w:pPr>
            <w:r>
              <w:rPr>
                <w:b/>
                <w:color w:val="FFFFFF"/>
                <w:sz w:val="15"/>
              </w:rPr>
              <w:t>Check</w:t>
            </w:r>
          </w:p>
        </w:tc>
      </w:tr>
      <w:tr>
        <w:trPr>
          <w:cantSplit w:val="true"/>
        </w:trPr>
        <w:tc>
          <w:tcPr>
            <w:tcW w:type="dxa" w:w="2664"/>
            <w:tcMar>
              <w:top w:w="55" w:type="dxa"/>
              <w:start w:w="70" w:type="dxa"/>
              <w:bottom w:w="55" w:type="dxa"/>
              <w:end w:w="70" w:type="dxa"/>
            </w:tcMar>
            <w:vAlign w:val="top"/>
          </w:tcPr>
          <w:p>
            <w:pPr>
              <w:pStyle w:val="TableText"/>
            </w:pPr>
            <w:r>
              <w:t>Before application</w:t>
            </w:r>
          </w:p>
        </w:tc>
        <w:tc>
          <w:tcPr>
            <w:tcW w:type="dxa" w:w="7087"/>
            <w:tcMar>
              <w:top w:w="55" w:type="dxa"/>
              <w:start w:w="70" w:type="dxa"/>
              <w:bottom w:w="55" w:type="dxa"/>
              <w:end w:w="70" w:type="dxa"/>
            </w:tcMar>
            <w:vAlign w:val="top"/>
          </w:tcPr>
          <w:p>
            <w:pPr>
              <w:pStyle w:val="TableText"/>
            </w:pPr>
            <w:r>
              <w:t>Second-degree eligibility, fee status, recent-study cost, Foundation Year eligibility.</w:t>
            </w:r>
          </w:p>
        </w:tc>
      </w:tr>
      <w:tr>
        <w:trPr>
          <w:cantSplit w:val="true"/>
        </w:trPr>
        <w:tc>
          <w:tcPr>
            <w:tcW w:type="dxa" w:w="2664"/>
            <w:shd w:fill="F5F7F8"/>
            <w:tcMar>
              <w:top w:w="55" w:type="dxa"/>
              <w:start w:w="70" w:type="dxa"/>
              <w:bottom w:w="55" w:type="dxa"/>
              <w:end w:w="70" w:type="dxa"/>
            </w:tcMar>
            <w:vAlign w:val="top"/>
          </w:tcPr>
          <w:p>
            <w:pPr>
              <w:pStyle w:val="TableText"/>
            </w:pPr>
            <w:r>
              <w:t>Student Finance opens</w:t>
            </w:r>
          </w:p>
        </w:tc>
        <w:tc>
          <w:tcPr>
            <w:tcW w:type="dxa" w:w="7087"/>
            <w:shd w:fill="F5F7F8"/>
            <w:tcMar>
              <w:top w:w="55" w:type="dxa"/>
              <w:start w:w="70" w:type="dxa"/>
              <w:bottom w:w="55" w:type="dxa"/>
              <w:end w:w="70" w:type="dxa"/>
            </w:tcMar>
            <w:vAlign w:val="top"/>
          </w:tcPr>
          <w:p>
            <w:pPr>
              <w:pStyle w:val="TableText"/>
            </w:pPr>
            <w:r>
              <w:t>Apply; consent to household-income sharing; calculate maintenance; begin DSA.</w:t>
            </w:r>
          </w:p>
        </w:tc>
      </w:tr>
      <w:tr>
        <w:trPr>
          <w:cantSplit w:val="true"/>
        </w:trPr>
        <w:tc>
          <w:tcPr>
            <w:tcW w:type="dxa" w:w="2664"/>
            <w:tcMar>
              <w:top w:w="55" w:type="dxa"/>
              <w:start w:w="70" w:type="dxa"/>
              <w:bottom w:w="55" w:type="dxa"/>
              <w:end w:w="70" w:type="dxa"/>
            </w:tcMar>
            <w:vAlign w:val="top"/>
          </w:tcPr>
          <w:p>
            <w:pPr>
              <w:pStyle w:val="TableText"/>
            </w:pPr>
            <w:r>
              <w:t>Offer received</w:t>
            </w:r>
          </w:p>
        </w:tc>
        <w:tc>
          <w:tcPr>
            <w:tcW w:type="dxa" w:w="7087"/>
            <w:tcMar>
              <w:top w:w="55" w:type="dxa"/>
              <w:start w:w="70" w:type="dxa"/>
              <w:bottom w:w="55" w:type="dxa"/>
              <w:end w:w="70" w:type="dxa"/>
            </w:tcMar>
            <w:vAlign w:val="top"/>
          </w:tcPr>
          <w:p>
            <w:pPr>
              <w:pStyle w:val="TableText"/>
            </w:pPr>
            <w:r>
              <w:t>Cambridge Bursary route; College grants; room deposit; childcare quotes; visa funds.</w:t>
            </w:r>
          </w:p>
        </w:tc>
      </w:tr>
      <w:tr>
        <w:trPr>
          <w:cantSplit w:val="true"/>
        </w:trPr>
        <w:tc>
          <w:tcPr>
            <w:tcW w:type="dxa" w:w="2664"/>
            <w:shd w:fill="F5F7F8"/>
            <w:tcMar>
              <w:top w:w="55" w:type="dxa"/>
              <w:start w:w="70" w:type="dxa"/>
              <w:bottom w:w="55" w:type="dxa"/>
              <w:end w:w="70" w:type="dxa"/>
            </w:tcMar>
            <w:vAlign w:val="top"/>
          </w:tcPr>
          <w:p>
            <w:pPr>
              <w:pStyle w:val="TableText"/>
            </w:pPr>
            <w:r>
              <w:t>August–September</w:t>
            </w:r>
          </w:p>
        </w:tc>
        <w:tc>
          <w:tcPr>
            <w:tcW w:type="dxa" w:w="7087"/>
            <w:shd w:fill="F5F7F8"/>
            <w:tcMar>
              <w:top w:w="55" w:type="dxa"/>
              <w:start w:w="70" w:type="dxa"/>
              <w:bottom w:w="55" w:type="dxa"/>
              <w:end w:w="70" w:type="dxa"/>
            </w:tcMar>
            <w:vAlign w:val="top"/>
          </w:tcPr>
          <w:p>
            <w:pPr>
              <w:pStyle w:val="TableText"/>
            </w:pPr>
            <w:r>
              <w:t>Award letters; cash-arrival gap; rent/deposit; emergency reserve; bank and ID.</w:t>
            </w:r>
          </w:p>
        </w:tc>
      </w:tr>
      <w:tr>
        <w:trPr>
          <w:cantSplit w:val="true"/>
        </w:trPr>
        <w:tc>
          <w:tcPr>
            <w:tcW w:type="dxa" w:w="2664"/>
            <w:tcMar>
              <w:top w:w="55" w:type="dxa"/>
              <w:start w:w="70" w:type="dxa"/>
              <w:bottom w:w="55" w:type="dxa"/>
              <w:end w:w="70" w:type="dxa"/>
            </w:tcMar>
            <w:vAlign w:val="top"/>
          </w:tcPr>
          <w:p>
            <w:pPr>
              <w:pStyle w:val="TableText"/>
            </w:pPr>
            <w:r>
              <w:t>Start of each term</w:t>
            </w:r>
          </w:p>
        </w:tc>
        <w:tc>
          <w:tcPr>
            <w:tcW w:type="dxa" w:w="7087"/>
            <w:tcMar>
              <w:top w:w="55" w:type="dxa"/>
              <w:start w:w="70" w:type="dxa"/>
              <w:bottom w:w="55" w:type="dxa"/>
              <w:end w:w="70" w:type="dxa"/>
            </w:tcMar>
            <w:vAlign w:val="top"/>
          </w:tcPr>
          <w:p>
            <w:pPr>
              <w:pStyle w:val="TableText"/>
            </w:pPr>
            <w:r>
              <w:t>College bill line by line; bursary payment; meal/rent charges; grant deadlines.</w:t>
            </w:r>
          </w:p>
        </w:tc>
      </w:tr>
      <w:tr>
        <w:trPr>
          <w:cantSplit w:val="true"/>
        </w:trPr>
        <w:tc>
          <w:tcPr>
            <w:tcW w:type="dxa" w:w="2664"/>
            <w:shd w:fill="F5F7F8"/>
            <w:tcMar>
              <w:top w:w="55" w:type="dxa"/>
              <w:start w:w="70" w:type="dxa"/>
              <w:bottom w:w="55" w:type="dxa"/>
              <w:end w:w="70" w:type="dxa"/>
            </w:tcMar>
            <w:vAlign w:val="top"/>
          </w:tcPr>
          <w:p>
            <w:pPr>
              <w:pStyle w:val="TableText"/>
            </w:pPr>
            <w:r>
              <w:t>Before each vacation</w:t>
            </w:r>
          </w:p>
        </w:tc>
        <w:tc>
          <w:tcPr>
            <w:tcW w:type="dxa" w:w="7087"/>
            <w:shd w:fill="F5F7F8"/>
            <w:tcMar>
              <w:top w:w="55" w:type="dxa"/>
              <w:start w:w="70" w:type="dxa"/>
              <w:bottom w:w="55" w:type="dxa"/>
              <w:end w:w="70" w:type="dxa"/>
            </w:tcMar>
            <w:vAlign w:val="top"/>
          </w:tcPr>
          <w:p>
            <w:pPr>
              <w:pStyle w:val="TableText"/>
            </w:pPr>
            <w:r>
              <w:t>Residence/storage/travel; reduced services; study costs; care coverage.</w:t>
            </w:r>
          </w:p>
        </w:tc>
      </w:tr>
      <w:tr>
        <w:trPr>
          <w:cantSplit w:val="true"/>
        </w:trPr>
        <w:tc>
          <w:tcPr>
            <w:tcW w:type="dxa" w:w="2664"/>
            <w:tcMar>
              <w:top w:w="55" w:type="dxa"/>
              <w:start w:w="70" w:type="dxa"/>
              <w:bottom w:w="55" w:type="dxa"/>
              <w:end w:w="70" w:type="dxa"/>
            </w:tcMar>
            <w:vAlign w:val="top"/>
          </w:tcPr>
          <w:p>
            <w:pPr>
              <w:pStyle w:val="TableText"/>
            </w:pPr>
            <w:r>
              <w:t>Lent</w:t>
            </w:r>
          </w:p>
        </w:tc>
        <w:tc>
          <w:tcPr>
            <w:tcW w:type="dxa" w:w="7087"/>
            <w:tcMar>
              <w:top w:w="55" w:type="dxa"/>
              <w:start w:w="70" w:type="dxa"/>
              <w:bottom w:w="55" w:type="dxa"/>
              <w:end w:w="70" w:type="dxa"/>
            </w:tcMar>
            <w:vAlign w:val="top"/>
          </w:tcPr>
          <w:p>
            <w:pPr>
              <w:pStyle w:val="TableText"/>
            </w:pPr>
            <w:r>
              <w:t>Next-year housing deposit; summer grants/internships; exam access deadlines.</w:t>
            </w:r>
          </w:p>
        </w:tc>
      </w:tr>
      <w:tr>
        <w:trPr>
          <w:cantSplit w:val="true"/>
        </w:trPr>
        <w:tc>
          <w:tcPr>
            <w:tcW w:type="dxa" w:w="2664"/>
            <w:shd w:fill="F5F7F8"/>
            <w:tcMar>
              <w:top w:w="55" w:type="dxa"/>
              <w:start w:w="70" w:type="dxa"/>
              <w:bottom w:w="55" w:type="dxa"/>
              <w:end w:w="70" w:type="dxa"/>
            </w:tcMar>
            <w:vAlign w:val="top"/>
          </w:tcPr>
          <w:p>
            <w:pPr>
              <w:pStyle w:val="TableText"/>
            </w:pPr>
            <w:r>
              <w:t>Easter / summer</w:t>
            </w:r>
          </w:p>
        </w:tc>
        <w:tc>
          <w:tcPr>
            <w:tcW w:type="dxa" w:w="7087"/>
            <w:shd w:fill="F5F7F8"/>
            <w:tcMar>
              <w:top w:w="55" w:type="dxa"/>
              <w:start w:w="70" w:type="dxa"/>
              <w:bottom w:w="55" w:type="dxa"/>
              <w:end w:w="70" w:type="dxa"/>
            </w:tcMar>
            <w:vAlign w:val="top"/>
          </w:tcPr>
          <w:p>
            <w:pPr>
              <w:pStyle w:val="TableText"/>
            </w:pPr>
            <w:r>
              <w:t>Long-vacation rent/income; placement travel; graduation/event spending; finance reapplication.</w:t>
            </w:r>
          </w:p>
        </w:tc>
      </w:tr>
    </w:tbl>
    <w:p>
      <w:pPr>
        <w:spacing w:after="20"/>
      </w:pPr>
    </w:p>
    <w:p>
      <w:pPr>
        <w:pStyle w:val="Heading2"/>
        <w:keepNext/>
      </w:pPr>
      <w:r>
        <w:t>Appendix J — Sample annual budget stress test</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3969"/>
        <w:gridCol w:w="2835"/>
        <w:gridCol w:w="2948"/>
      </w:tblGrid>
      <w:tr>
        <w:trPr>
          <w:tblHeader w:val="true"/>
          <w:cantSplit w:val="true"/>
        </w:trPr>
        <w:tc>
          <w:tcPr>
            <w:tcW w:type="dxa" w:w="3969"/>
            <w:shd w:fill="17324D"/>
            <w:tcMar>
              <w:top w:w="70" w:type="dxa"/>
              <w:start w:w="80" w:type="dxa"/>
              <w:bottom w:w="70" w:type="dxa"/>
              <w:end w:w="80" w:type="dxa"/>
            </w:tcMar>
            <w:vAlign w:val="center"/>
          </w:tcPr>
          <w:p>
            <w:pPr>
              <w:pStyle w:val="TableText"/>
              <w:jc w:val="left"/>
            </w:pPr>
            <w:r>
              <w:rPr>
                <w:b/>
                <w:color w:val="FFFFFF"/>
                <w:sz w:val="15"/>
              </w:rPr>
              <w:t>Annual item</w:t>
            </w:r>
          </w:p>
        </w:tc>
        <w:tc>
          <w:tcPr>
            <w:tcW w:type="dxa" w:w="2835"/>
            <w:shd w:fill="17324D"/>
            <w:tcMar>
              <w:top w:w="70" w:type="dxa"/>
              <w:start w:w="80" w:type="dxa"/>
              <w:bottom w:w="70" w:type="dxa"/>
              <w:end w:w="80" w:type="dxa"/>
            </w:tcMar>
            <w:vAlign w:val="center"/>
          </w:tcPr>
          <w:p>
            <w:pPr>
              <w:pStyle w:val="TableText"/>
              <w:jc w:val="left"/>
            </w:pPr>
            <w:r>
              <w:rPr>
                <w:b/>
                <w:color w:val="FFFFFF"/>
                <w:sz w:val="15"/>
              </w:rPr>
              <w:t>Single in College: illustrative</w:t>
            </w:r>
          </w:p>
        </w:tc>
        <w:tc>
          <w:tcPr>
            <w:tcW w:type="dxa" w:w="2948"/>
            <w:shd w:fill="17324D"/>
            <w:tcMar>
              <w:top w:w="70" w:type="dxa"/>
              <w:start w:w="80" w:type="dxa"/>
              <w:bottom w:w="70" w:type="dxa"/>
              <w:end w:w="80" w:type="dxa"/>
            </w:tcMar>
            <w:vAlign w:val="center"/>
          </w:tcPr>
          <w:p>
            <w:pPr>
              <w:pStyle w:val="TableText"/>
              <w:jc w:val="left"/>
            </w:pPr>
            <w:r>
              <w:rPr>
                <w:b/>
                <w:color w:val="FFFFFF"/>
                <w:sz w:val="15"/>
              </w:rPr>
              <w:t>Parent/household in private rent: illustrative</w:t>
            </w:r>
          </w:p>
        </w:tc>
      </w:tr>
      <w:tr>
        <w:trPr>
          <w:cantSplit w:val="true"/>
        </w:trPr>
        <w:tc>
          <w:tcPr>
            <w:tcW w:type="dxa" w:w="3969"/>
            <w:tcMar>
              <w:top w:w="55" w:type="dxa"/>
              <w:start w:w="70" w:type="dxa"/>
              <w:bottom w:w="55" w:type="dxa"/>
              <w:end w:w="70" w:type="dxa"/>
            </w:tcMar>
            <w:vAlign w:val="top"/>
          </w:tcPr>
          <w:p>
            <w:pPr>
              <w:pStyle w:val="TableText"/>
            </w:pPr>
            <w:r>
              <w:t>Housing/utilities</w:t>
            </w:r>
          </w:p>
        </w:tc>
        <w:tc>
          <w:tcPr>
            <w:tcW w:type="dxa" w:w="2835"/>
            <w:tcMar>
              <w:top w:w="55" w:type="dxa"/>
              <w:start w:w="70" w:type="dxa"/>
              <w:bottom w:w="55" w:type="dxa"/>
              <w:end w:w="70" w:type="dxa"/>
            </w:tcMar>
            <w:vAlign w:val="top"/>
          </w:tcPr>
          <w:p>
            <w:pPr>
              <w:pStyle w:val="TableText"/>
            </w:pPr>
            <w:r>
              <w:t>£9,000–£12,500</w:t>
            </w:r>
          </w:p>
        </w:tc>
        <w:tc>
          <w:tcPr>
            <w:tcW w:type="dxa" w:w="2948"/>
            <w:tcMar>
              <w:top w:w="55" w:type="dxa"/>
              <w:start w:w="70" w:type="dxa"/>
              <w:bottom w:w="55" w:type="dxa"/>
              <w:end w:w="70" w:type="dxa"/>
            </w:tcMar>
            <w:vAlign w:val="top"/>
          </w:tcPr>
          <w:p>
            <w:pPr>
              <w:pStyle w:val="TableText"/>
            </w:pPr>
            <w:r>
              <w:t>£16,000–£25,000</w:t>
            </w:r>
          </w:p>
        </w:tc>
      </w:tr>
      <w:tr>
        <w:trPr>
          <w:cantSplit w:val="true"/>
        </w:trPr>
        <w:tc>
          <w:tcPr>
            <w:tcW w:type="dxa" w:w="3969"/>
            <w:shd w:fill="F5F7F8"/>
            <w:tcMar>
              <w:top w:w="55" w:type="dxa"/>
              <w:start w:w="70" w:type="dxa"/>
              <w:bottom w:w="55" w:type="dxa"/>
              <w:end w:w="70" w:type="dxa"/>
            </w:tcMar>
            <w:vAlign w:val="top"/>
          </w:tcPr>
          <w:p>
            <w:pPr>
              <w:pStyle w:val="TableText"/>
            </w:pPr>
            <w:r>
              <w:t>Food/household</w:t>
            </w:r>
          </w:p>
        </w:tc>
        <w:tc>
          <w:tcPr>
            <w:tcW w:type="dxa" w:w="2835"/>
            <w:shd w:fill="F5F7F8"/>
            <w:tcMar>
              <w:top w:w="55" w:type="dxa"/>
              <w:start w:w="70" w:type="dxa"/>
              <w:bottom w:w="55" w:type="dxa"/>
              <w:end w:w="70" w:type="dxa"/>
            </w:tcMar>
            <w:vAlign w:val="top"/>
          </w:tcPr>
          <w:p>
            <w:pPr>
              <w:pStyle w:val="TableText"/>
            </w:pPr>
            <w:r>
              <w:t>£2,500–£4,000</w:t>
            </w:r>
          </w:p>
        </w:tc>
        <w:tc>
          <w:tcPr>
            <w:tcW w:type="dxa" w:w="2948"/>
            <w:shd w:fill="F5F7F8"/>
            <w:tcMar>
              <w:top w:w="55" w:type="dxa"/>
              <w:start w:w="70" w:type="dxa"/>
              <w:bottom w:w="55" w:type="dxa"/>
              <w:end w:w="70" w:type="dxa"/>
            </w:tcMar>
            <w:vAlign w:val="top"/>
          </w:tcPr>
          <w:p>
            <w:pPr>
              <w:pStyle w:val="TableText"/>
            </w:pPr>
            <w:r>
              <w:t>£5,500–£9,000</w:t>
            </w:r>
          </w:p>
        </w:tc>
      </w:tr>
      <w:tr>
        <w:trPr>
          <w:cantSplit w:val="true"/>
        </w:trPr>
        <w:tc>
          <w:tcPr>
            <w:tcW w:type="dxa" w:w="3969"/>
            <w:tcMar>
              <w:top w:w="55" w:type="dxa"/>
              <w:start w:w="70" w:type="dxa"/>
              <w:bottom w:w="55" w:type="dxa"/>
              <w:end w:w="70" w:type="dxa"/>
            </w:tcMar>
            <w:vAlign w:val="top"/>
          </w:tcPr>
          <w:p>
            <w:pPr>
              <w:pStyle w:val="TableText"/>
            </w:pPr>
            <w:r>
              <w:t>Transport</w:t>
            </w:r>
          </w:p>
        </w:tc>
        <w:tc>
          <w:tcPr>
            <w:tcW w:type="dxa" w:w="2835"/>
            <w:tcMar>
              <w:top w:w="55" w:type="dxa"/>
              <w:start w:w="70" w:type="dxa"/>
              <w:bottom w:w="55" w:type="dxa"/>
              <w:end w:w="70" w:type="dxa"/>
            </w:tcMar>
            <w:vAlign w:val="top"/>
          </w:tcPr>
          <w:p>
            <w:pPr>
              <w:pStyle w:val="TableText"/>
            </w:pPr>
            <w:r>
              <w:t>£400–£1,200</w:t>
            </w:r>
          </w:p>
        </w:tc>
        <w:tc>
          <w:tcPr>
            <w:tcW w:type="dxa" w:w="2948"/>
            <w:tcMar>
              <w:top w:w="55" w:type="dxa"/>
              <w:start w:w="70" w:type="dxa"/>
              <w:bottom w:w="55" w:type="dxa"/>
              <w:end w:w="70" w:type="dxa"/>
            </w:tcMar>
            <w:vAlign w:val="top"/>
          </w:tcPr>
          <w:p>
            <w:pPr>
              <w:pStyle w:val="TableText"/>
            </w:pPr>
            <w:r>
              <w:t>£1,000–£3,000</w:t>
            </w:r>
          </w:p>
        </w:tc>
      </w:tr>
      <w:tr>
        <w:trPr>
          <w:cantSplit w:val="true"/>
        </w:trPr>
        <w:tc>
          <w:tcPr>
            <w:tcW w:type="dxa" w:w="3969"/>
            <w:shd w:fill="F5F7F8"/>
            <w:tcMar>
              <w:top w:w="55" w:type="dxa"/>
              <w:start w:w="70" w:type="dxa"/>
              <w:bottom w:w="55" w:type="dxa"/>
              <w:end w:w="70" w:type="dxa"/>
            </w:tcMar>
            <w:vAlign w:val="top"/>
          </w:tcPr>
          <w:p>
            <w:pPr>
              <w:pStyle w:val="TableText"/>
            </w:pPr>
            <w:r>
              <w:t>Study/technology</w:t>
            </w:r>
          </w:p>
        </w:tc>
        <w:tc>
          <w:tcPr>
            <w:tcW w:type="dxa" w:w="2835"/>
            <w:shd w:fill="F5F7F8"/>
            <w:tcMar>
              <w:top w:w="55" w:type="dxa"/>
              <w:start w:w="70" w:type="dxa"/>
              <w:bottom w:w="55" w:type="dxa"/>
              <w:end w:w="70" w:type="dxa"/>
            </w:tcMar>
            <w:vAlign w:val="top"/>
          </w:tcPr>
          <w:p>
            <w:pPr>
              <w:pStyle w:val="TableText"/>
            </w:pPr>
            <w:r>
              <w:t>£400–£1,200</w:t>
            </w:r>
          </w:p>
        </w:tc>
        <w:tc>
          <w:tcPr>
            <w:tcW w:type="dxa" w:w="2948"/>
            <w:shd w:fill="F5F7F8"/>
            <w:tcMar>
              <w:top w:w="55" w:type="dxa"/>
              <w:start w:w="70" w:type="dxa"/>
              <w:bottom w:w="55" w:type="dxa"/>
              <w:end w:w="70" w:type="dxa"/>
            </w:tcMar>
            <w:vAlign w:val="top"/>
          </w:tcPr>
          <w:p>
            <w:pPr>
              <w:pStyle w:val="TableText"/>
            </w:pPr>
            <w:r>
              <w:t>£500–£1,500</w:t>
            </w:r>
          </w:p>
        </w:tc>
      </w:tr>
      <w:tr>
        <w:trPr>
          <w:cantSplit w:val="true"/>
        </w:trPr>
        <w:tc>
          <w:tcPr>
            <w:tcW w:type="dxa" w:w="3969"/>
            <w:tcMar>
              <w:top w:w="55" w:type="dxa"/>
              <w:start w:w="70" w:type="dxa"/>
              <w:bottom w:w="55" w:type="dxa"/>
              <w:end w:w="70" w:type="dxa"/>
            </w:tcMar>
            <w:vAlign w:val="top"/>
          </w:tcPr>
          <w:p>
            <w:pPr>
              <w:pStyle w:val="TableText"/>
            </w:pPr>
            <w:r>
              <w:t>Health/access</w:t>
            </w:r>
          </w:p>
        </w:tc>
        <w:tc>
          <w:tcPr>
            <w:tcW w:type="dxa" w:w="2835"/>
            <w:tcMar>
              <w:top w:w="55" w:type="dxa"/>
              <w:start w:w="70" w:type="dxa"/>
              <w:bottom w:w="55" w:type="dxa"/>
              <w:end w:w="70" w:type="dxa"/>
            </w:tcMar>
            <w:vAlign w:val="top"/>
          </w:tcPr>
          <w:p>
            <w:pPr>
              <w:pStyle w:val="TableText"/>
            </w:pPr>
            <w:r>
              <w:t>£200–£1,200</w:t>
            </w:r>
          </w:p>
        </w:tc>
        <w:tc>
          <w:tcPr>
            <w:tcW w:type="dxa" w:w="2948"/>
            <w:tcMar>
              <w:top w:w="55" w:type="dxa"/>
              <w:start w:w="70" w:type="dxa"/>
              <w:bottom w:w="55" w:type="dxa"/>
              <w:end w:w="70" w:type="dxa"/>
            </w:tcMar>
            <w:vAlign w:val="top"/>
          </w:tcPr>
          <w:p>
            <w:pPr>
              <w:pStyle w:val="TableText"/>
            </w:pPr>
            <w:r>
              <w:t>£300–£2,000</w:t>
            </w:r>
          </w:p>
        </w:tc>
      </w:tr>
      <w:tr>
        <w:trPr>
          <w:cantSplit w:val="true"/>
        </w:trPr>
        <w:tc>
          <w:tcPr>
            <w:tcW w:type="dxa" w:w="3969"/>
            <w:shd w:fill="F5F7F8"/>
            <w:tcMar>
              <w:top w:w="55" w:type="dxa"/>
              <w:start w:w="70" w:type="dxa"/>
              <w:bottom w:w="55" w:type="dxa"/>
              <w:end w:w="70" w:type="dxa"/>
            </w:tcMar>
            <w:vAlign w:val="top"/>
          </w:tcPr>
          <w:p>
            <w:pPr>
              <w:pStyle w:val="TableText"/>
            </w:pPr>
            <w:r>
              <w:t>Childcare</w:t>
            </w:r>
          </w:p>
        </w:tc>
        <w:tc>
          <w:tcPr>
            <w:tcW w:type="dxa" w:w="2835"/>
            <w:shd w:fill="F5F7F8"/>
            <w:tcMar>
              <w:top w:w="55" w:type="dxa"/>
              <w:start w:w="70" w:type="dxa"/>
              <w:bottom w:w="55" w:type="dxa"/>
              <w:end w:w="70" w:type="dxa"/>
            </w:tcMar>
            <w:vAlign w:val="top"/>
          </w:tcPr>
          <w:p>
            <w:pPr>
              <w:pStyle w:val="TableText"/>
            </w:pPr>
            <w:r>
              <w:t>—</w:t>
            </w:r>
          </w:p>
        </w:tc>
        <w:tc>
          <w:tcPr>
            <w:tcW w:type="dxa" w:w="2948"/>
            <w:shd w:fill="F5F7F8"/>
            <w:tcMar>
              <w:top w:w="55" w:type="dxa"/>
              <w:start w:w="70" w:type="dxa"/>
              <w:bottom w:w="55" w:type="dxa"/>
              <w:end w:w="70" w:type="dxa"/>
            </w:tcMar>
            <w:vAlign w:val="top"/>
          </w:tcPr>
          <w:p>
            <w:pPr>
              <w:pStyle w:val="TableText"/>
            </w:pPr>
            <w:r>
              <w:t>£0–£18,000+ before support</w:t>
            </w:r>
          </w:p>
        </w:tc>
      </w:tr>
      <w:tr>
        <w:trPr>
          <w:cantSplit w:val="true"/>
        </w:trPr>
        <w:tc>
          <w:tcPr>
            <w:tcW w:type="dxa" w:w="3969"/>
            <w:tcMar>
              <w:top w:w="55" w:type="dxa"/>
              <w:start w:w="70" w:type="dxa"/>
              <w:bottom w:w="55" w:type="dxa"/>
              <w:end w:w="70" w:type="dxa"/>
            </w:tcMar>
            <w:vAlign w:val="top"/>
          </w:tcPr>
          <w:p>
            <w:pPr>
              <w:pStyle w:val="TableText"/>
            </w:pPr>
            <w:r>
              <w:t>Social/formals/one event</w:t>
            </w:r>
          </w:p>
        </w:tc>
        <w:tc>
          <w:tcPr>
            <w:tcW w:type="dxa" w:w="2835"/>
            <w:tcMar>
              <w:top w:w="55" w:type="dxa"/>
              <w:start w:w="70" w:type="dxa"/>
              <w:bottom w:w="55" w:type="dxa"/>
              <w:end w:w="70" w:type="dxa"/>
            </w:tcMar>
            <w:vAlign w:val="top"/>
          </w:tcPr>
          <w:p>
            <w:pPr>
              <w:pStyle w:val="TableText"/>
            </w:pPr>
            <w:r>
              <w:t>£300–£1,500</w:t>
            </w:r>
          </w:p>
        </w:tc>
        <w:tc>
          <w:tcPr>
            <w:tcW w:type="dxa" w:w="2948"/>
            <w:tcMar>
              <w:top w:w="55" w:type="dxa"/>
              <w:start w:w="70" w:type="dxa"/>
              <w:bottom w:w="55" w:type="dxa"/>
              <w:end w:w="70" w:type="dxa"/>
            </w:tcMar>
            <w:vAlign w:val="top"/>
          </w:tcPr>
          <w:p>
            <w:pPr>
              <w:pStyle w:val="TableText"/>
            </w:pPr>
            <w:r>
              <w:t>£200–£1,200</w:t>
            </w:r>
          </w:p>
        </w:tc>
      </w:tr>
      <w:tr>
        <w:trPr>
          <w:cantSplit w:val="true"/>
        </w:trPr>
        <w:tc>
          <w:tcPr>
            <w:tcW w:type="dxa" w:w="3969"/>
            <w:shd w:fill="F5F7F8"/>
            <w:tcMar>
              <w:top w:w="55" w:type="dxa"/>
              <w:start w:w="70" w:type="dxa"/>
              <w:bottom w:w="55" w:type="dxa"/>
              <w:end w:w="70" w:type="dxa"/>
            </w:tcMar>
            <w:vAlign w:val="top"/>
          </w:tcPr>
          <w:p>
            <w:pPr>
              <w:pStyle w:val="TableText"/>
            </w:pPr>
            <w:r>
              <w:t>Contingency</w:t>
            </w:r>
          </w:p>
        </w:tc>
        <w:tc>
          <w:tcPr>
            <w:tcW w:type="dxa" w:w="2835"/>
            <w:shd w:fill="F5F7F8"/>
            <w:tcMar>
              <w:top w:w="55" w:type="dxa"/>
              <w:start w:w="70" w:type="dxa"/>
              <w:bottom w:w="55" w:type="dxa"/>
              <w:end w:w="70" w:type="dxa"/>
            </w:tcMar>
            <w:vAlign w:val="top"/>
          </w:tcPr>
          <w:p>
            <w:pPr>
              <w:pStyle w:val="TableText"/>
            </w:pPr>
            <w:r>
              <w:t>£900–£2,000</w:t>
            </w:r>
          </w:p>
        </w:tc>
        <w:tc>
          <w:tcPr>
            <w:tcW w:type="dxa" w:w="2948"/>
            <w:shd w:fill="F5F7F8"/>
            <w:tcMar>
              <w:top w:w="55" w:type="dxa"/>
              <w:start w:w="70" w:type="dxa"/>
              <w:bottom w:w="55" w:type="dxa"/>
              <w:end w:w="70" w:type="dxa"/>
            </w:tcMar>
            <w:vAlign w:val="top"/>
          </w:tcPr>
          <w:p>
            <w:pPr>
              <w:pStyle w:val="TableText"/>
            </w:pPr>
            <w:r>
              <w:t>£1,500–£4,000</w:t>
            </w:r>
          </w:p>
        </w:tc>
      </w:tr>
      <w:tr>
        <w:trPr>
          <w:cantSplit w:val="true"/>
        </w:trPr>
        <w:tc>
          <w:tcPr>
            <w:tcW w:type="dxa" w:w="3969"/>
            <w:tcMar>
              <w:top w:w="55" w:type="dxa"/>
              <w:start w:w="70" w:type="dxa"/>
              <w:bottom w:w="55" w:type="dxa"/>
              <w:end w:w="70" w:type="dxa"/>
            </w:tcMar>
            <w:vAlign w:val="top"/>
          </w:tcPr>
          <w:p>
            <w:pPr>
              <w:pStyle w:val="TableText"/>
            </w:pPr>
            <w:r>
              <w:t>Planning total, excluding tuition</w:t>
            </w:r>
          </w:p>
        </w:tc>
        <w:tc>
          <w:tcPr>
            <w:tcW w:type="dxa" w:w="2835"/>
            <w:tcMar>
              <w:top w:w="55" w:type="dxa"/>
              <w:start w:w="70" w:type="dxa"/>
              <w:bottom w:w="55" w:type="dxa"/>
              <w:end w:w="70" w:type="dxa"/>
            </w:tcMar>
            <w:vAlign w:val="top"/>
          </w:tcPr>
          <w:p>
            <w:pPr>
              <w:pStyle w:val="TableText"/>
            </w:pPr>
            <w:r>
              <w:t>About £13,700–£23,600</w:t>
            </w:r>
          </w:p>
        </w:tc>
        <w:tc>
          <w:tcPr>
            <w:tcW w:type="dxa" w:w="2948"/>
            <w:tcMar>
              <w:top w:w="55" w:type="dxa"/>
              <w:start w:w="70" w:type="dxa"/>
              <w:bottom w:w="55" w:type="dxa"/>
              <w:end w:w="70" w:type="dxa"/>
            </w:tcMar>
            <w:vAlign w:val="top"/>
          </w:tcPr>
          <w:p>
            <w:pPr>
              <w:pStyle w:val="TableText"/>
            </w:pPr>
            <w:r>
              <w:t>About £25,000–£63,700+</w:t>
            </w:r>
          </w:p>
        </w:tc>
      </w:tr>
    </w:tbl>
    <w:p>
      <w:pPr>
        <w:spacing w:after="20"/>
      </w:pPr>
    </w:p>
    <w:p>
      <w:pPr>
        <w:pStyle w:val="Source"/>
      </w:pPr>
      <w:r>
        <w:rPr>
          <w:b/>
        </w:rPr>
        <w:t xml:space="preserve">Sources and status: </w:t>
      </w:r>
      <w:r>
        <w:t>Illustrative stress-test ranges only. Compare with the University’s 2026–27 average of £15,660 for twelve months for a single student. [U06] Live private rent and childcare can move the household total substantially.</w:t>
      </w:r>
    </w:p>
    <w:p>
      <w:pPr>
        <w:pStyle w:val="Heading2"/>
        <w:keepNext/>
      </w:pPr>
      <w:r>
        <w:t>Appendix K — Information to recheck every year</w:t>
      </w:r>
    </w:p>
    <w:p>
      <w:pPr>
        <w:pStyle w:val="ListBullet"/>
        <w:spacing w:after="30" w:line="247" w:lineRule="auto"/>
        <w:ind w:left="312" w:hanging="142"/>
      </w:pPr>
      <w:r>
        <w:t>Mature definition, participating January-round courses/Colleges, UCAS and My Cambridge Application deadlines.</w:t>
      </w:r>
    </w:p>
    <w:p>
      <w:pPr>
        <w:pStyle w:val="ListBullet"/>
        <w:spacing w:after="30" w:line="247" w:lineRule="auto"/>
        <w:ind w:left="312" w:hanging="142"/>
      </w:pPr>
      <w:r>
        <w:t>Tuition fees, fee-status guidance, international College fee, Student Finance and Cambridge Bursary thresholds.</w:t>
      </w:r>
    </w:p>
    <w:p>
      <w:pPr>
        <w:pStyle w:val="ListBullet"/>
        <w:spacing w:after="30" w:line="247" w:lineRule="auto"/>
        <w:ind w:left="312" w:hanging="142"/>
      </w:pPr>
      <w:r>
        <w:t>Living-cost estimate, College room bands, licence length, catering charges, deposits and family housing.</w:t>
      </w:r>
    </w:p>
    <w:p>
      <w:pPr>
        <w:pStyle w:val="ListBullet"/>
        <w:spacing w:after="30" w:line="247" w:lineRule="auto"/>
        <w:ind w:left="312" w:hanging="142"/>
      </w:pPr>
      <w:r>
        <w:t>Childcare Grant, University nursery eligibility, waiting lists, school admission dates and Council Tax rules.</w:t>
      </w:r>
    </w:p>
    <w:p>
      <w:pPr>
        <w:pStyle w:val="ListBullet"/>
        <w:spacing w:after="30" w:line="247" w:lineRule="auto"/>
        <w:ind w:left="312" w:hanging="142"/>
      </w:pPr>
      <w:r>
        <w:t>ADRC evidence/assessment deadlines, exam-access process and names of counselling/mental-health services.</w:t>
      </w:r>
    </w:p>
    <w:p>
      <w:pPr>
        <w:pStyle w:val="ListBullet"/>
        <w:spacing w:after="30" w:line="247" w:lineRule="auto"/>
        <w:ind w:left="312" w:hanging="142"/>
      </w:pPr>
      <w:r>
        <w:t>Formal Hall nights, price, guest rules, dress, diet and vacation operation for your College.</w:t>
      </w:r>
    </w:p>
    <w:p>
      <w:pPr>
        <w:pStyle w:val="ListBullet"/>
        <w:spacing w:after="30" w:line="247" w:lineRule="auto"/>
        <w:ind w:left="312" w:hanging="142"/>
      </w:pPr>
      <w:r>
        <w:t>May Ball/June Event existence, date, price, ballot, transfer/refund, access and dress terms.</w:t>
      </w:r>
    </w:p>
    <w:p>
      <w:pPr>
        <w:pStyle w:val="ListBullet"/>
        <w:spacing w:after="30" w:line="247" w:lineRule="auto"/>
        <w:ind w:left="312" w:hanging="142"/>
      </w:pPr>
      <w:r>
        <w:t>Term dates, course handbooks, examination formats, AI/academic-integrity rules and class-list practice.</w:t>
      </w:r>
    </w:p>
    <w:p>
      <w:pPr>
        <w:pStyle w:val="ListBullet"/>
        <w:spacing w:after="30" w:line="247" w:lineRule="auto"/>
        <w:ind w:left="312" w:hanging="142"/>
      </w:pPr>
      <w:r>
        <w:t>Porters’ Lodge, GP, crisis, Tutor, Senior Tutor, harassment and complaints contacts.</w:t>
      </w:r>
    </w:p>
    <w:p>
      <w:pPr>
        <w:pStyle w:val="ListBullet"/>
        <w:spacing w:after="30" w:line="247" w:lineRule="auto"/>
        <w:ind w:left="312" w:hanging="142"/>
      </w:pPr>
      <w:r>
        <w:t>Visa work limits, reporting duties and effect of intermission/withdrawal for international students.</w:t>
      </w:r>
    </w:p>
    <w:p>
      <w:pPr>
        <w:pStyle w:val="Heading2"/>
        <w:keepNext/>
      </w:pPr>
      <w:r>
        <w:t>Appendix K2 — What Cambridge does not publish clearly</w:t>
      </w:r>
    </w:p>
    <w:p>
      <w:pPr/>
      <w:r>
        <w:t>The absence of consistent public information is itself a practical finding. The following gaps should make a reader ask rather than assume:</w:t>
      </w:r>
    </w:p>
    <w:p>
      <w:pPr>
        <w:pStyle w:val="ListBullet"/>
      </w:pPr>
      <w:r>
        <w:t>A single, current College-by-College comparison of undergraduate contract length, vacation residence, family/couple housing, kitchens and all compulsory charges.</w:t>
      </w:r>
    </w:p>
    <w:p>
      <w:pPr>
        <w:pStyle w:val="ListBullet"/>
      </w:pPr>
      <w:r>
        <w:t>A consistent public calendar and menu archive for Formal Hall, including guest, diet and accessibility rules.</w:t>
      </w:r>
    </w:p>
    <w:p>
      <w:pPr>
        <w:pStyle w:val="ListBullet"/>
      </w:pPr>
      <w:r>
        <w:t>Comparable data on College hardship funds, typical awards and decision times.</w:t>
      </w:r>
    </w:p>
    <w:p>
      <w:pPr>
        <w:pStyle w:val="ListBullet"/>
      </w:pPr>
      <w:r>
        <w:t>Mature-undergraduate numbers broken down by age band, parenting/caring, living arrangement and course—not only the 21+ administrative category.</w:t>
      </w:r>
    </w:p>
    <w:p>
      <w:pPr>
        <w:pStyle w:val="ListBullet"/>
      </w:pPr>
      <w:r>
        <w:t>Reliable public data on childcare demand, waiting time and the gap between nursery hours and teaching/social schedules.</w:t>
      </w:r>
    </w:p>
    <w:p>
      <w:pPr>
        <w:pStyle w:val="ListBullet"/>
      </w:pPr>
      <w:r>
        <w:t>A University-wide statement of what welfare, library, catering and accommodation support operates in each vacation.</w:t>
      </w:r>
    </w:p>
    <w:p>
      <w:pPr>
        <w:pStyle w:val="ListBullet"/>
      </w:pPr>
      <w:r>
        <w:t>Comparable mature-student continuation, intermission and degree-outcome data, with enough context to avoid misleading league tables.</w:t>
      </w:r>
    </w:p>
    <w:p>
      <w:pPr>
        <w:pStyle w:val="ListBullet"/>
      </w:pPr>
      <w:r>
        <w:t>A central, stable archive of May Ball/June Event prices, refund terms and access provision; committees and sites change annually.</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9"/>
            <w:tcMar>
              <w:top w:w="80" w:type="dxa"/>
              <w:start w:w="100" w:type="dxa"/>
              <w:bottom w:w="80" w:type="dxa"/>
              <w:end w:w="100" w:type="dxa"/>
            </w:tcMar>
            <w:shd w:fill="D5A72E" w:val="clear"/>
          </w:tcPr>
          <w:p/>
        </w:tc>
        <w:tc>
          <w:tcPr>
            <w:tcW w:type="dxa" w:w="9877"/>
            <w:tcMar>
              <w:top w:w="80" w:type="dxa"/>
              <w:start w:w="100" w:type="dxa"/>
              <w:bottom w:w="80" w:type="dxa"/>
              <w:end w:w="100" w:type="dxa"/>
            </w:tcMar>
            <w:shd w:fill="FBF6E7" w:val="clear"/>
            <w:vAlign w:val="center"/>
          </w:tcPr>
          <w:p>
            <w:pPr>
              <w:spacing w:after="0"/>
            </w:pPr>
            <w:r>
              <w:rPr>
                <w:rFonts w:ascii="Lato" w:hAnsi="Lato"/>
                <w:b/>
                <w:color w:val="D5A72E"/>
                <w:sz w:val="16"/>
              </w:rPr>
              <w:t>HOW TO USE AN INFORMATION GAP</w:t>
            </w:r>
            <w:r>
              <w:rPr>
                <w:rFonts w:ascii="Lato" w:hAnsi="Lato"/>
                <w:color w:val="222222"/>
                <w:sz w:val="16"/>
              </w:rPr>
              <w:br/>
              <w:t>Ask the relevant office for the current written document, not a reassurance. “Please send the current licence/handbook/price list and confirm which clause applies to me” is usually more useful than “Is it normally fine?”</w:t>
            </w:r>
          </w:p>
        </w:tc>
      </w:tr>
    </w:tbl>
    <w:p>
      <w:pPr>
        <w:pStyle w:val="Heading2"/>
        <w:keepNext/>
      </w:pPr>
      <w:r>
        <w:t>Appendix L — Resource directory</w:t>
      </w:r>
    </w:p>
    <w:tbl>
      <w:tblPr>
        <w:tblW w:type="dxa" w:w="10037"/>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757"/>
        <w:gridCol w:w="1875"/>
        <w:gridCol w:w="3860"/>
        <w:gridCol w:w="1544"/>
      </w:tblGrid>
      <w:tr>
        <w:trPr>
          <w:tblHeader w:val="true"/>
          <w:cantSplit w:val="true"/>
        </w:trPr>
        <w:tc>
          <w:tcPr>
            <w:tcW w:type="dxa" w:w="2757"/>
            <w:shd w:fill="17324D"/>
            <w:tcMar>
              <w:top w:w="70" w:type="dxa"/>
              <w:start w:w="80" w:type="dxa"/>
              <w:bottom w:w="70" w:type="dxa"/>
              <w:end w:w="80" w:type="dxa"/>
            </w:tcMar>
            <w:vAlign w:val="center"/>
          </w:tcPr>
          <w:p>
            <w:pPr>
              <w:pStyle w:val="TableText"/>
              <w:jc w:val="left"/>
            </w:pPr>
            <w:r>
              <w:rPr>
                <w:b/>
                <w:color w:val="FFFFFF"/>
                <w:sz w:val="15"/>
              </w:rPr>
              <w:t>Resource</w:t>
            </w:r>
          </w:p>
        </w:tc>
        <w:tc>
          <w:tcPr>
            <w:tcW w:type="dxa" w:w="1875"/>
            <w:shd w:fill="17324D"/>
            <w:tcMar>
              <w:top w:w="70" w:type="dxa"/>
              <w:start w:w="80" w:type="dxa"/>
              <w:bottom w:w="70" w:type="dxa"/>
              <w:end w:w="80" w:type="dxa"/>
            </w:tcMar>
            <w:vAlign w:val="center"/>
          </w:tcPr>
          <w:p>
            <w:pPr>
              <w:pStyle w:val="TableText"/>
              <w:jc w:val="left"/>
            </w:pPr>
            <w:r>
              <w:rPr>
                <w:b/>
                <w:color w:val="FFFFFF"/>
                <w:sz w:val="15"/>
              </w:rPr>
              <w:t>Level</w:t>
            </w:r>
          </w:p>
        </w:tc>
        <w:tc>
          <w:tcPr>
            <w:tcW w:type="dxa" w:w="3860"/>
            <w:shd w:fill="17324D"/>
            <w:tcMar>
              <w:top w:w="70" w:type="dxa"/>
              <w:start w:w="80" w:type="dxa"/>
              <w:bottom w:w="70" w:type="dxa"/>
              <w:end w:w="80" w:type="dxa"/>
            </w:tcMar>
            <w:vAlign w:val="center"/>
          </w:tcPr>
          <w:p>
            <w:pPr>
              <w:pStyle w:val="TableText"/>
              <w:jc w:val="left"/>
            </w:pPr>
            <w:r>
              <w:rPr>
                <w:b/>
                <w:color w:val="FFFFFF"/>
                <w:sz w:val="15"/>
              </w:rPr>
              <w:t>Use it for</w:t>
            </w:r>
          </w:p>
        </w:tc>
        <w:tc>
          <w:tcPr>
            <w:tcW w:type="dxa" w:w="1544"/>
            <w:shd w:fill="17324D"/>
            <w:tcMar>
              <w:top w:w="70" w:type="dxa"/>
              <w:start w:w="80" w:type="dxa"/>
              <w:bottom w:w="70" w:type="dxa"/>
              <w:end w:w="80" w:type="dxa"/>
            </w:tcMar>
            <w:vAlign w:val="center"/>
          </w:tcPr>
          <w:p>
            <w:pPr>
              <w:pStyle w:val="TableText"/>
              <w:jc w:val="left"/>
            </w:pPr>
            <w:r>
              <w:rPr>
                <w:b/>
                <w:color w:val="FFFFFF"/>
                <w:sz w:val="15"/>
              </w:rPr>
              <w:t>Source code</w:t>
            </w:r>
          </w:p>
        </w:tc>
      </w:tr>
      <w:tr>
        <w:trPr>
          <w:cantSplit w:val="true"/>
        </w:trPr>
        <w:tc>
          <w:tcPr>
            <w:tcW w:type="dxa" w:w="2757"/>
            <w:tcMar>
              <w:top w:w="55" w:type="dxa"/>
              <w:start w:w="70" w:type="dxa"/>
              <w:bottom w:w="55" w:type="dxa"/>
              <w:end w:w="70" w:type="dxa"/>
            </w:tcMar>
            <w:vAlign w:val="top"/>
          </w:tcPr>
          <w:p>
            <w:pPr>
              <w:pStyle w:val="TableText"/>
            </w:pPr>
            <w:r>
              <w:t>Mature undergraduate admissions</w:t>
            </w:r>
          </w:p>
        </w:tc>
        <w:tc>
          <w:tcPr>
            <w:tcW w:type="dxa" w:w="1875"/>
            <w:tcMar>
              <w:top w:w="55" w:type="dxa"/>
              <w:start w:w="70" w:type="dxa"/>
              <w:bottom w:w="55" w:type="dxa"/>
              <w:end w:w="70" w:type="dxa"/>
            </w:tcMar>
            <w:vAlign w:val="top"/>
          </w:tcPr>
          <w:p>
            <w:pPr>
              <w:pStyle w:val="TableText"/>
            </w:pPr>
            <w:r>
              <w:t>University-wide</w:t>
            </w:r>
          </w:p>
        </w:tc>
        <w:tc>
          <w:tcPr>
            <w:tcW w:type="dxa" w:w="3860"/>
            <w:tcMar>
              <w:top w:w="55" w:type="dxa"/>
              <w:start w:w="70" w:type="dxa"/>
              <w:bottom w:w="55" w:type="dxa"/>
              <w:end w:w="70" w:type="dxa"/>
            </w:tcMar>
            <w:vAlign w:val="top"/>
          </w:tcPr>
          <w:p>
            <w:pPr>
              <w:pStyle w:val="TableText"/>
            </w:pPr>
            <w:r>
              <w:t>Definition, route, mature Colleges, dates</w:t>
            </w:r>
          </w:p>
        </w:tc>
        <w:tc>
          <w:tcPr>
            <w:tcW w:type="dxa" w:w="1544"/>
            <w:tcMar>
              <w:top w:w="55" w:type="dxa"/>
              <w:start w:w="70" w:type="dxa"/>
              <w:bottom w:w="55" w:type="dxa"/>
              <w:end w:w="70" w:type="dxa"/>
            </w:tcMar>
            <w:vAlign w:val="top"/>
          </w:tcPr>
          <w:p>
            <w:pPr>
              <w:pStyle w:val="TableText"/>
            </w:pPr>
            <w:r>
              <w:t>U01</w:t>
            </w:r>
          </w:p>
        </w:tc>
      </w:tr>
      <w:tr>
        <w:trPr>
          <w:cantSplit w:val="true"/>
        </w:trPr>
        <w:tc>
          <w:tcPr>
            <w:tcW w:type="dxa" w:w="2757"/>
            <w:shd w:fill="F5F7F8"/>
            <w:tcMar>
              <w:top w:w="55" w:type="dxa"/>
              <w:start w:w="70" w:type="dxa"/>
              <w:bottom w:w="55" w:type="dxa"/>
              <w:end w:w="70" w:type="dxa"/>
            </w:tcMar>
            <w:vAlign w:val="top"/>
          </w:tcPr>
          <w:p>
            <w:pPr>
              <w:pStyle w:val="TableText"/>
            </w:pPr>
            <w:r>
              <w:t>Undergraduate study site</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Courses, application, fees and Colleges</w:t>
            </w:r>
          </w:p>
        </w:tc>
        <w:tc>
          <w:tcPr>
            <w:tcW w:type="dxa" w:w="1544"/>
            <w:shd w:fill="F5F7F8"/>
            <w:tcMar>
              <w:top w:w="55" w:type="dxa"/>
              <w:start w:w="70" w:type="dxa"/>
              <w:bottom w:w="55" w:type="dxa"/>
              <w:end w:w="70" w:type="dxa"/>
            </w:tcMar>
            <w:vAlign w:val="top"/>
          </w:tcPr>
          <w:p>
            <w:pPr>
              <w:pStyle w:val="TableText"/>
            </w:pPr>
            <w:r>
              <w:t>U08 / U33 / U34</w:t>
            </w:r>
          </w:p>
        </w:tc>
      </w:tr>
      <w:tr>
        <w:trPr>
          <w:cantSplit w:val="true"/>
        </w:trPr>
        <w:tc>
          <w:tcPr>
            <w:tcW w:type="dxa" w:w="2757"/>
            <w:tcMar>
              <w:top w:w="55" w:type="dxa"/>
              <w:start w:w="70" w:type="dxa"/>
              <w:bottom w:w="55" w:type="dxa"/>
              <w:end w:w="70" w:type="dxa"/>
            </w:tcMar>
            <w:vAlign w:val="top"/>
          </w:tcPr>
          <w:p>
            <w:pPr>
              <w:pStyle w:val="TableText"/>
            </w:pPr>
            <w:r>
              <w:t>Accessibility and Disability Resource Centre</w:t>
            </w:r>
          </w:p>
        </w:tc>
        <w:tc>
          <w:tcPr>
            <w:tcW w:type="dxa" w:w="1875"/>
            <w:tcMar>
              <w:top w:w="55" w:type="dxa"/>
              <w:start w:w="70" w:type="dxa"/>
              <w:bottom w:w="55" w:type="dxa"/>
              <w:end w:w="70" w:type="dxa"/>
            </w:tcMar>
            <w:vAlign w:val="top"/>
          </w:tcPr>
          <w:p>
            <w:pPr>
              <w:pStyle w:val="TableText"/>
            </w:pPr>
            <w:r>
              <w:t>University-wide</w:t>
            </w:r>
          </w:p>
        </w:tc>
        <w:tc>
          <w:tcPr>
            <w:tcW w:type="dxa" w:w="3860"/>
            <w:tcMar>
              <w:top w:w="55" w:type="dxa"/>
              <w:start w:w="70" w:type="dxa"/>
              <w:bottom w:w="55" w:type="dxa"/>
              <w:end w:w="70" w:type="dxa"/>
            </w:tcMar>
            <w:vAlign w:val="top"/>
          </w:tcPr>
          <w:p>
            <w:pPr>
              <w:pStyle w:val="TableText"/>
            </w:pPr>
            <w:r>
              <w:t>Disability/neurodiversity advice and support documents</w:t>
            </w:r>
          </w:p>
        </w:tc>
        <w:tc>
          <w:tcPr>
            <w:tcW w:type="dxa" w:w="1544"/>
            <w:tcMar>
              <w:top w:w="55" w:type="dxa"/>
              <w:start w:w="70" w:type="dxa"/>
              <w:bottom w:w="55" w:type="dxa"/>
              <w:end w:w="70" w:type="dxa"/>
            </w:tcMar>
            <w:vAlign w:val="top"/>
          </w:tcPr>
          <w:p>
            <w:pPr>
              <w:pStyle w:val="TableText"/>
            </w:pPr>
            <w:r>
              <w:t>U12</w:t>
            </w:r>
          </w:p>
        </w:tc>
      </w:tr>
      <w:tr>
        <w:trPr>
          <w:cantSplit w:val="true"/>
        </w:trPr>
        <w:tc>
          <w:tcPr>
            <w:tcW w:type="dxa" w:w="2757"/>
            <w:shd w:fill="F5F7F8"/>
            <w:tcMar>
              <w:top w:w="55" w:type="dxa"/>
              <w:start w:w="70" w:type="dxa"/>
              <w:bottom w:w="55" w:type="dxa"/>
              <w:end w:w="70" w:type="dxa"/>
            </w:tcMar>
            <w:vAlign w:val="top"/>
          </w:tcPr>
          <w:p>
            <w:pPr>
              <w:pStyle w:val="TableText"/>
            </w:pPr>
            <w:r>
              <w:t>Student Support</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Counselling, mental-health and wellbeing services</w:t>
            </w:r>
          </w:p>
        </w:tc>
        <w:tc>
          <w:tcPr>
            <w:tcW w:type="dxa" w:w="1544"/>
            <w:shd w:fill="F5F7F8"/>
            <w:tcMar>
              <w:top w:w="55" w:type="dxa"/>
              <w:start w:w="70" w:type="dxa"/>
              <w:bottom w:w="55" w:type="dxa"/>
              <w:end w:w="70" w:type="dxa"/>
            </w:tcMar>
            <w:vAlign w:val="top"/>
          </w:tcPr>
          <w:p>
            <w:pPr>
              <w:pStyle w:val="TableText"/>
            </w:pPr>
            <w:r>
              <w:t>U11 / U17</w:t>
            </w:r>
          </w:p>
        </w:tc>
      </w:tr>
      <w:tr>
        <w:trPr>
          <w:cantSplit w:val="true"/>
        </w:trPr>
        <w:tc>
          <w:tcPr>
            <w:tcW w:type="dxa" w:w="2757"/>
            <w:tcMar>
              <w:top w:w="55" w:type="dxa"/>
              <w:start w:w="70" w:type="dxa"/>
              <w:bottom w:w="55" w:type="dxa"/>
              <w:end w:w="70" w:type="dxa"/>
            </w:tcMar>
            <w:vAlign w:val="top"/>
          </w:tcPr>
          <w:p>
            <w:pPr>
              <w:pStyle w:val="TableText"/>
            </w:pPr>
            <w:r>
              <w:t>Harassment and Violence Support Service</w:t>
            </w:r>
          </w:p>
        </w:tc>
        <w:tc>
          <w:tcPr>
            <w:tcW w:type="dxa" w:w="1875"/>
            <w:tcMar>
              <w:top w:w="55" w:type="dxa"/>
              <w:start w:w="70" w:type="dxa"/>
              <w:bottom w:w="55" w:type="dxa"/>
              <w:end w:w="70" w:type="dxa"/>
            </w:tcMar>
            <w:vAlign w:val="top"/>
          </w:tcPr>
          <w:p>
            <w:pPr>
              <w:pStyle w:val="TableText"/>
            </w:pPr>
            <w:r>
              <w:t>University-wide</w:t>
            </w:r>
          </w:p>
        </w:tc>
        <w:tc>
          <w:tcPr>
            <w:tcW w:type="dxa" w:w="3860"/>
            <w:tcMar>
              <w:top w:w="55" w:type="dxa"/>
              <w:start w:w="70" w:type="dxa"/>
              <w:bottom w:w="55" w:type="dxa"/>
              <w:end w:w="70" w:type="dxa"/>
            </w:tcMar>
            <w:vAlign w:val="top"/>
          </w:tcPr>
          <w:p>
            <w:pPr>
              <w:pStyle w:val="TableText"/>
            </w:pPr>
            <w:r>
              <w:t>Specialist confidential support and options</w:t>
            </w:r>
          </w:p>
        </w:tc>
        <w:tc>
          <w:tcPr>
            <w:tcW w:type="dxa" w:w="1544"/>
            <w:tcMar>
              <w:top w:w="55" w:type="dxa"/>
              <w:start w:w="70" w:type="dxa"/>
              <w:bottom w:w="55" w:type="dxa"/>
              <w:end w:w="70" w:type="dxa"/>
            </w:tcMar>
            <w:vAlign w:val="top"/>
          </w:tcPr>
          <w:p>
            <w:pPr>
              <w:pStyle w:val="TableText"/>
            </w:pPr>
            <w:r>
              <w:t>U13</w:t>
            </w:r>
          </w:p>
        </w:tc>
      </w:tr>
      <w:tr>
        <w:trPr>
          <w:cantSplit w:val="true"/>
        </w:trPr>
        <w:tc>
          <w:tcPr>
            <w:tcW w:type="dxa" w:w="2757"/>
            <w:shd w:fill="F5F7F8"/>
            <w:tcMar>
              <w:top w:w="55" w:type="dxa"/>
              <w:start w:w="70" w:type="dxa"/>
              <w:bottom w:w="55" w:type="dxa"/>
              <w:end w:w="70" w:type="dxa"/>
            </w:tcMar>
            <w:vAlign w:val="top"/>
          </w:tcPr>
          <w:p>
            <w:pPr>
              <w:pStyle w:val="TableText"/>
            </w:pPr>
            <w:r>
              <w:t>International Student Office</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Visa and immigration advice</w:t>
            </w:r>
          </w:p>
        </w:tc>
        <w:tc>
          <w:tcPr>
            <w:tcW w:type="dxa" w:w="1544"/>
            <w:shd w:fill="F5F7F8"/>
            <w:tcMar>
              <w:top w:w="55" w:type="dxa"/>
              <w:start w:w="70" w:type="dxa"/>
              <w:bottom w:w="55" w:type="dxa"/>
              <w:end w:w="70" w:type="dxa"/>
            </w:tcMar>
            <w:vAlign w:val="top"/>
          </w:tcPr>
          <w:p>
            <w:pPr>
              <w:pStyle w:val="TableText"/>
            </w:pPr>
            <w:r>
              <w:t>U15</w:t>
            </w:r>
          </w:p>
        </w:tc>
      </w:tr>
      <w:tr>
        <w:trPr>
          <w:cantSplit w:val="true"/>
        </w:trPr>
        <w:tc>
          <w:tcPr>
            <w:tcW w:type="dxa" w:w="2757"/>
            <w:tcMar>
              <w:top w:w="55" w:type="dxa"/>
              <w:start w:w="70" w:type="dxa"/>
              <w:bottom w:w="55" w:type="dxa"/>
              <w:end w:w="70" w:type="dxa"/>
            </w:tcMar>
            <w:vAlign w:val="top"/>
          </w:tcPr>
          <w:p>
            <w:pPr>
              <w:pStyle w:val="TableText"/>
            </w:pPr>
            <w:r>
              <w:t>Cambridge SU Student Advice</w:t>
            </w:r>
          </w:p>
        </w:tc>
        <w:tc>
          <w:tcPr>
            <w:tcW w:type="dxa" w:w="1875"/>
            <w:tcMar>
              <w:top w:w="55" w:type="dxa"/>
              <w:start w:w="70" w:type="dxa"/>
              <w:bottom w:w="55" w:type="dxa"/>
              <w:end w:w="70" w:type="dxa"/>
            </w:tcMar>
            <w:vAlign w:val="top"/>
          </w:tcPr>
          <w:p>
            <w:pPr>
              <w:pStyle w:val="TableText"/>
            </w:pPr>
            <w:r>
              <w:t>Students’ Union</w:t>
            </w:r>
          </w:p>
        </w:tc>
        <w:tc>
          <w:tcPr>
            <w:tcW w:type="dxa" w:w="3860"/>
            <w:tcMar>
              <w:top w:w="55" w:type="dxa"/>
              <w:start w:w="70" w:type="dxa"/>
              <w:bottom w:w="55" w:type="dxa"/>
              <w:end w:w="70" w:type="dxa"/>
            </w:tcMar>
            <w:vAlign w:val="top"/>
          </w:tcPr>
          <w:p>
            <w:pPr>
              <w:pStyle w:val="TableText"/>
            </w:pPr>
            <w:r>
              <w:t>Independent confidential procedural advice</w:t>
            </w:r>
          </w:p>
        </w:tc>
        <w:tc>
          <w:tcPr>
            <w:tcW w:type="dxa" w:w="1544"/>
            <w:tcMar>
              <w:top w:w="55" w:type="dxa"/>
              <w:start w:w="70" w:type="dxa"/>
              <w:bottom w:w="55" w:type="dxa"/>
              <w:end w:w="70" w:type="dxa"/>
            </w:tcMar>
            <w:vAlign w:val="top"/>
          </w:tcPr>
          <w:p>
            <w:pPr>
              <w:pStyle w:val="TableText"/>
            </w:pPr>
            <w:r>
              <w:t>SU01</w:t>
            </w:r>
          </w:p>
        </w:tc>
      </w:tr>
      <w:tr>
        <w:trPr>
          <w:cantSplit w:val="true"/>
        </w:trPr>
        <w:tc>
          <w:tcPr>
            <w:tcW w:type="dxa" w:w="2757"/>
            <w:shd w:fill="F5F7F8"/>
            <w:tcMar>
              <w:top w:w="55" w:type="dxa"/>
              <w:start w:w="70" w:type="dxa"/>
              <w:bottom w:w="55" w:type="dxa"/>
              <w:end w:w="70" w:type="dxa"/>
            </w:tcMar>
            <w:vAlign w:val="top"/>
          </w:tcPr>
          <w:p>
            <w:pPr>
              <w:pStyle w:val="TableText"/>
            </w:pPr>
            <w:r>
              <w:t>University Library</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Research collections, electronic resources and study spaces</w:t>
            </w:r>
          </w:p>
        </w:tc>
        <w:tc>
          <w:tcPr>
            <w:tcW w:type="dxa" w:w="1544"/>
            <w:shd w:fill="F5F7F8"/>
            <w:tcMar>
              <w:top w:w="55" w:type="dxa"/>
              <w:start w:w="70" w:type="dxa"/>
              <w:bottom w:w="55" w:type="dxa"/>
              <w:end w:w="70" w:type="dxa"/>
            </w:tcMar>
            <w:vAlign w:val="top"/>
          </w:tcPr>
          <w:p>
            <w:pPr>
              <w:pStyle w:val="TableText"/>
            </w:pPr>
            <w:r>
              <w:t>U20</w:t>
            </w:r>
          </w:p>
        </w:tc>
      </w:tr>
      <w:tr>
        <w:trPr>
          <w:cantSplit w:val="true"/>
        </w:trPr>
        <w:tc>
          <w:tcPr>
            <w:tcW w:type="dxa" w:w="2757"/>
            <w:tcMar>
              <w:top w:w="55" w:type="dxa"/>
              <w:start w:w="70" w:type="dxa"/>
              <w:bottom w:w="55" w:type="dxa"/>
              <w:end w:w="70" w:type="dxa"/>
            </w:tcMar>
            <w:vAlign w:val="top"/>
          </w:tcPr>
          <w:p>
            <w:pPr>
              <w:pStyle w:val="TableText"/>
            </w:pPr>
            <w:r>
              <w:t>University Information Services</w:t>
            </w:r>
          </w:p>
        </w:tc>
        <w:tc>
          <w:tcPr>
            <w:tcW w:type="dxa" w:w="1875"/>
            <w:tcMar>
              <w:top w:w="55" w:type="dxa"/>
              <w:start w:w="70" w:type="dxa"/>
              <w:bottom w:w="55" w:type="dxa"/>
              <w:end w:w="70" w:type="dxa"/>
            </w:tcMar>
            <w:vAlign w:val="top"/>
          </w:tcPr>
          <w:p>
            <w:pPr>
              <w:pStyle w:val="TableText"/>
            </w:pPr>
            <w:r>
              <w:t>University-wide</w:t>
            </w:r>
          </w:p>
        </w:tc>
        <w:tc>
          <w:tcPr>
            <w:tcW w:type="dxa" w:w="3860"/>
            <w:tcMar>
              <w:top w:w="55" w:type="dxa"/>
              <w:start w:w="70" w:type="dxa"/>
              <w:bottom w:w="55" w:type="dxa"/>
              <w:end w:w="70" w:type="dxa"/>
            </w:tcMar>
            <w:vAlign w:val="top"/>
          </w:tcPr>
          <w:p>
            <w:pPr>
              <w:pStyle w:val="TableText"/>
            </w:pPr>
            <w:r>
              <w:t>Accounts, software, security and IT help</w:t>
            </w:r>
          </w:p>
        </w:tc>
        <w:tc>
          <w:tcPr>
            <w:tcW w:type="dxa" w:w="1544"/>
            <w:tcMar>
              <w:top w:w="55" w:type="dxa"/>
              <w:start w:w="70" w:type="dxa"/>
              <w:bottom w:w="55" w:type="dxa"/>
              <w:end w:w="70" w:type="dxa"/>
            </w:tcMar>
            <w:vAlign w:val="top"/>
          </w:tcPr>
          <w:p>
            <w:pPr>
              <w:pStyle w:val="TableText"/>
            </w:pPr>
            <w:r>
              <w:t>U28</w:t>
            </w:r>
          </w:p>
        </w:tc>
      </w:tr>
      <w:tr>
        <w:trPr>
          <w:cantSplit w:val="true"/>
        </w:trPr>
        <w:tc>
          <w:tcPr>
            <w:tcW w:type="dxa" w:w="2757"/>
            <w:shd w:fill="F5F7F8"/>
            <w:tcMar>
              <w:top w:w="55" w:type="dxa"/>
              <w:start w:w="70" w:type="dxa"/>
              <w:bottom w:w="55" w:type="dxa"/>
              <w:end w:w="70" w:type="dxa"/>
            </w:tcMar>
            <w:vAlign w:val="top"/>
          </w:tcPr>
          <w:p>
            <w:pPr>
              <w:pStyle w:val="TableText"/>
            </w:pPr>
            <w:r>
              <w:t>Careers Service</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Career change, applications, employers and appointments</w:t>
            </w:r>
          </w:p>
        </w:tc>
        <w:tc>
          <w:tcPr>
            <w:tcW w:type="dxa" w:w="1544"/>
            <w:shd w:fill="F5F7F8"/>
            <w:tcMar>
              <w:top w:w="55" w:type="dxa"/>
              <w:start w:w="70" w:type="dxa"/>
              <w:bottom w:w="55" w:type="dxa"/>
              <w:end w:w="70" w:type="dxa"/>
            </w:tcMar>
            <w:vAlign w:val="top"/>
          </w:tcPr>
          <w:p>
            <w:pPr>
              <w:pStyle w:val="TableText"/>
            </w:pPr>
            <w:r>
              <w:t>U21</w:t>
            </w:r>
          </w:p>
        </w:tc>
      </w:tr>
      <w:tr>
        <w:trPr>
          <w:cantSplit w:val="true"/>
        </w:trPr>
        <w:tc>
          <w:tcPr>
            <w:tcW w:type="dxa" w:w="2757"/>
            <w:tcMar>
              <w:top w:w="55" w:type="dxa"/>
              <w:start w:w="70" w:type="dxa"/>
              <w:bottom w:w="55" w:type="dxa"/>
              <w:end w:w="70" w:type="dxa"/>
            </w:tcMar>
            <w:vAlign w:val="top"/>
          </w:tcPr>
          <w:p>
            <w:pPr>
              <w:pStyle w:val="TableText"/>
            </w:pPr>
            <w:r>
              <w:t>Childcare Services</w:t>
            </w:r>
          </w:p>
        </w:tc>
        <w:tc>
          <w:tcPr>
            <w:tcW w:type="dxa" w:w="1875"/>
            <w:tcMar>
              <w:top w:w="55" w:type="dxa"/>
              <w:start w:w="70" w:type="dxa"/>
              <w:bottom w:w="55" w:type="dxa"/>
              <w:end w:w="70" w:type="dxa"/>
            </w:tcMar>
            <w:vAlign w:val="top"/>
          </w:tcPr>
          <w:p>
            <w:pPr>
              <w:pStyle w:val="TableText"/>
            </w:pPr>
            <w:r>
              <w:t>University-wide</w:t>
            </w:r>
          </w:p>
        </w:tc>
        <w:tc>
          <w:tcPr>
            <w:tcW w:type="dxa" w:w="3860"/>
            <w:tcMar>
              <w:top w:w="55" w:type="dxa"/>
              <w:start w:w="70" w:type="dxa"/>
              <w:bottom w:w="55" w:type="dxa"/>
              <w:end w:w="70" w:type="dxa"/>
            </w:tcMar>
            <w:vAlign w:val="top"/>
          </w:tcPr>
          <w:p>
            <w:pPr>
              <w:pStyle w:val="TableText"/>
            </w:pPr>
            <w:r>
              <w:t>Nurseries, holiday provision, funds and family information</w:t>
            </w:r>
          </w:p>
        </w:tc>
        <w:tc>
          <w:tcPr>
            <w:tcW w:type="dxa" w:w="1544"/>
            <w:tcMar>
              <w:top w:w="55" w:type="dxa"/>
              <w:start w:w="70" w:type="dxa"/>
              <w:bottom w:w="55" w:type="dxa"/>
              <w:end w:w="70" w:type="dxa"/>
            </w:tcMar>
            <w:vAlign w:val="top"/>
          </w:tcPr>
          <w:p>
            <w:pPr>
              <w:pStyle w:val="TableText"/>
            </w:pPr>
            <w:r>
              <w:t>U18 / U31</w:t>
            </w:r>
          </w:p>
        </w:tc>
      </w:tr>
      <w:tr>
        <w:trPr>
          <w:cantSplit w:val="true"/>
        </w:trPr>
        <w:tc>
          <w:tcPr>
            <w:tcW w:type="dxa" w:w="2757"/>
            <w:shd w:fill="F5F7F8"/>
            <w:tcMar>
              <w:top w:w="55" w:type="dxa"/>
              <w:start w:w="70" w:type="dxa"/>
              <w:bottom w:w="55" w:type="dxa"/>
              <w:end w:w="70" w:type="dxa"/>
            </w:tcMar>
            <w:vAlign w:val="top"/>
          </w:tcPr>
          <w:p>
            <w:pPr>
              <w:pStyle w:val="TableText"/>
            </w:pPr>
            <w:r>
              <w:t>University Sports Centre</w:t>
            </w:r>
          </w:p>
        </w:tc>
        <w:tc>
          <w:tcPr>
            <w:tcW w:type="dxa" w:w="1875"/>
            <w:shd w:fill="F5F7F8"/>
            <w:tcMar>
              <w:top w:w="55" w:type="dxa"/>
              <w:start w:w="70" w:type="dxa"/>
              <w:bottom w:w="55" w:type="dxa"/>
              <w:end w:w="70" w:type="dxa"/>
            </w:tcMar>
            <w:vAlign w:val="top"/>
          </w:tcPr>
          <w:p>
            <w:pPr>
              <w:pStyle w:val="TableText"/>
            </w:pPr>
            <w:r>
              <w:t>University-wide</w:t>
            </w:r>
          </w:p>
        </w:tc>
        <w:tc>
          <w:tcPr>
            <w:tcW w:type="dxa" w:w="3860"/>
            <w:shd w:fill="F5F7F8"/>
            <w:tcMar>
              <w:top w:w="55" w:type="dxa"/>
              <w:start w:w="70" w:type="dxa"/>
              <w:bottom w:w="55" w:type="dxa"/>
              <w:end w:w="70" w:type="dxa"/>
            </w:tcMar>
            <w:vAlign w:val="top"/>
          </w:tcPr>
          <w:p>
            <w:pPr>
              <w:pStyle w:val="TableText"/>
            </w:pPr>
            <w:r>
              <w:t>Gym, classes, courts and sport</w:t>
            </w:r>
          </w:p>
        </w:tc>
        <w:tc>
          <w:tcPr>
            <w:tcW w:type="dxa" w:w="1544"/>
            <w:shd w:fill="F5F7F8"/>
            <w:tcMar>
              <w:top w:w="55" w:type="dxa"/>
              <w:start w:w="70" w:type="dxa"/>
              <w:bottom w:w="55" w:type="dxa"/>
              <w:end w:w="70" w:type="dxa"/>
            </w:tcMar>
            <w:vAlign w:val="top"/>
          </w:tcPr>
          <w:p>
            <w:pPr>
              <w:pStyle w:val="TableText"/>
            </w:pPr>
            <w:r>
              <w:t>U19</w:t>
            </w:r>
          </w:p>
        </w:tc>
      </w:tr>
      <w:tr>
        <w:trPr>
          <w:cantSplit w:val="true"/>
        </w:trPr>
        <w:tc>
          <w:tcPr>
            <w:tcW w:type="dxa" w:w="2757"/>
            <w:tcMar>
              <w:top w:w="55" w:type="dxa"/>
              <w:start w:w="70" w:type="dxa"/>
              <w:bottom w:w="55" w:type="dxa"/>
              <w:end w:w="70" w:type="dxa"/>
            </w:tcMar>
            <w:vAlign w:val="top"/>
          </w:tcPr>
          <w:p>
            <w:pPr>
              <w:pStyle w:val="TableText"/>
            </w:pPr>
            <w:r>
              <w:t>Cambridgeshire school admissions</w:t>
            </w:r>
          </w:p>
        </w:tc>
        <w:tc>
          <w:tcPr>
            <w:tcW w:type="dxa" w:w="1875"/>
            <w:tcMar>
              <w:top w:w="55" w:type="dxa"/>
              <w:start w:w="70" w:type="dxa"/>
              <w:bottom w:w="55" w:type="dxa"/>
              <w:end w:w="70" w:type="dxa"/>
            </w:tcMar>
            <w:vAlign w:val="top"/>
          </w:tcPr>
          <w:p>
            <w:pPr>
              <w:pStyle w:val="TableText"/>
            </w:pPr>
            <w:r>
              <w:t>External local authority</w:t>
            </w:r>
          </w:p>
        </w:tc>
        <w:tc>
          <w:tcPr>
            <w:tcW w:type="dxa" w:w="3860"/>
            <w:tcMar>
              <w:top w:w="55" w:type="dxa"/>
              <w:start w:w="70" w:type="dxa"/>
              <w:bottom w:w="55" w:type="dxa"/>
              <w:end w:w="70" w:type="dxa"/>
            </w:tcMar>
            <w:vAlign w:val="top"/>
          </w:tcPr>
          <w:p>
            <w:pPr>
              <w:pStyle w:val="TableText"/>
            </w:pPr>
            <w:r>
              <w:t>School applications and in-year process</w:t>
            </w:r>
          </w:p>
        </w:tc>
        <w:tc>
          <w:tcPr>
            <w:tcW w:type="dxa" w:w="1544"/>
            <w:tcMar>
              <w:top w:w="55" w:type="dxa"/>
              <w:start w:w="70" w:type="dxa"/>
              <w:bottom w:w="55" w:type="dxa"/>
              <w:end w:w="70" w:type="dxa"/>
            </w:tcMar>
            <w:vAlign w:val="top"/>
          </w:tcPr>
          <w:p>
            <w:pPr>
              <w:pStyle w:val="TableText"/>
            </w:pPr>
            <w:r>
              <w:t>L01</w:t>
            </w:r>
          </w:p>
        </w:tc>
      </w:tr>
      <w:tr>
        <w:trPr>
          <w:cantSplit w:val="true"/>
        </w:trPr>
        <w:tc>
          <w:tcPr>
            <w:tcW w:type="dxa" w:w="2757"/>
            <w:shd w:fill="F5F7F8"/>
            <w:tcMar>
              <w:top w:w="55" w:type="dxa"/>
              <w:start w:w="70" w:type="dxa"/>
              <w:bottom w:w="55" w:type="dxa"/>
              <w:end w:w="70" w:type="dxa"/>
            </w:tcMar>
            <w:vAlign w:val="top"/>
          </w:tcPr>
          <w:p>
            <w:pPr>
              <w:pStyle w:val="TableText"/>
            </w:pPr>
            <w:r>
              <w:t>Council Tax student guidance</w:t>
            </w:r>
          </w:p>
        </w:tc>
        <w:tc>
          <w:tcPr>
            <w:tcW w:type="dxa" w:w="1875"/>
            <w:shd w:fill="F5F7F8"/>
            <w:tcMar>
              <w:top w:w="55" w:type="dxa"/>
              <w:start w:w="70" w:type="dxa"/>
              <w:bottom w:w="55" w:type="dxa"/>
              <w:end w:w="70" w:type="dxa"/>
            </w:tcMar>
            <w:vAlign w:val="top"/>
          </w:tcPr>
          <w:p>
            <w:pPr>
              <w:pStyle w:val="TableText"/>
            </w:pPr>
            <w:r>
              <w:t>External local authority</w:t>
            </w:r>
          </w:p>
        </w:tc>
        <w:tc>
          <w:tcPr>
            <w:tcW w:type="dxa" w:w="3860"/>
            <w:shd w:fill="F5F7F8"/>
            <w:tcMar>
              <w:top w:w="55" w:type="dxa"/>
              <w:start w:w="70" w:type="dxa"/>
              <w:bottom w:w="55" w:type="dxa"/>
              <w:end w:w="70" w:type="dxa"/>
            </w:tcMar>
            <w:vAlign w:val="top"/>
          </w:tcPr>
          <w:p>
            <w:pPr>
              <w:pStyle w:val="TableText"/>
            </w:pPr>
            <w:r>
              <w:t>Exemptions and mixed-household discount</w:t>
            </w:r>
          </w:p>
        </w:tc>
        <w:tc>
          <w:tcPr>
            <w:tcW w:type="dxa" w:w="1544"/>
            <w:shd w:fill="F5F7F8"/>
            <w:tcMar>
              <w:top w:w="55" w:type="dxa"/>
              <w:start w:w="70" w:type="dxa"/>
              <w:bottom w:w="55" w:type="dxa"/>
              <w:end w:w="70" w:type="dxa"/>
            </w:tcMar>
            <w:vAlign w:val="top"/>
          </w:tcPr>
          <w:p>
            <w:pPr>
              <w:pStyle w:val="TableText"/>
            </w:pPr>
            <w:r>
              <w:t>L02</w:t>
            </w:r>
          </w:p>
        </w:tc>
      </w:tr>
      <w:tr>
        <w:trPr>
          <w:cantSplit w:val="true"/>
        </w:trPr>
        <w:tc>
          <w:tcPr>
            <w:tcW w:type="dxa" w:w="2757"/>
            <w:tcMar>
              <w:top w:w="55" w:type="dxa"/>
              <w:start w:w="70" w:type="dxa"/>
              <w:bottom w:w="55" w:type="dxa"/>
              <w:end w:w="70" w:type="dxa"/>
            </w:tcMar>
            <w:vAlign w:val="top"/>
          </w:tcPr>
          <w:p>
            <w:pPr>
              <w:pStyle w:val="TableText"/>
            </w:pPr>
            <w:r>
              <w:t>NHS 111</w:t>
            </w:r>
          </w:p>
        </w:tc>
        <w:tc>
          <w:tcPr>
            <w:tcW w:type="dxa" w:w="1875"/>
            <w:tcMar>
              <w:top w:w="55" w:type="dxa"/>
              <w:start w:w="70" w:type="dxa"/>
              <w:bottom w:w="55" w:type="dxa"/>
              <w:end w:w="70" w:type="dxa"/>
            </w:tcMar>
            <w:vAlign w:val="top"/>
          </w:tcPr>
          <w:p>
            <w:pPr>
              <w:pStyle w:val="TableText"/>
            </w:pPr>
            <w:r>
              <w:t>External NHS</w:t>
            </w:r>
          </w:p>
        </w:tc>
        <w:tc>
          <w:tcPr>
            <w:tcW w:type="dxa" w:w="3860"/>
            <w:tcMar>
              <w:top w:w="55" w:type="dxa"/>
              <w:start w:w="70" w:type="dxa"/>
              <w:bottom w:w="55" w:type="dxa"/>
              <w:end w:w="70" w:type="dxa"/>
            </w:tcMar>
            <w:vAlign w:val="top"/>
          </w:tcPr>
          <w:p>
            <w:pPr>
              <w:pStyle w:val="TableText"/>
            </w:pPr>
            <w:r>
              <w:t>Urgent medical advice</w:t>
            </w:r>
          </w:p>
        </w:tc>
        <w:tc>
          <w:tcPr>
            <w:tcW w:type="dxa" w:w="1544"/>
            <w:tcMar>
              <w:top w:w="55" w:type="dxa"/>
              <w:start w:w="70" w:type="dxa"/>
              <w:bottom w:w="55" w:type="dxa"/>
              <w:end w:w="70" w:type="dxa"/>
            </w:tcMar>
            <w:vAlign w:val="top"/>
          </w:tcPr>
          <w:p>
            <w:pPr>
              <w:pStyle w:val="TableText"/>
            </w:pPr>
            <w:r>
              <w:t>N01</w:t>
            </w:r>
          </w:p>
        </w:tc>
      </w:tr>
      <w:tr>
        <w:trPr>
          <w:cantSplit w:val="true"/>
        </w:trPr>
        <w:tc>
          <w:tcPr>
            <w:tcW w:type="dxa" w:w="2757"/>
            <w:shd w:fill="F5F7F8"/>
            <w:tcMar>
              <w:top w:w="55" w:type="dxa"/>
              <w:start w:w="70" w:type="dxa"/>
              <w:bottom w:w="55" w:type="dxa"/>
              <w:end w:w="70" w:type="dxa"/>
            </w:tcMar>
            <w:vAlign w:val="top"/>
          </w:tcPr>
          <w:p>
            <w:pPr>
              <w:pStyle w:val="TableText"/>
            </w:pPr>
            <w:r>
              <w:t>Samaritans</w:t>
            </w:r>
          </w:p>
        </w:tc>
        <w:tc>
          <w:tcPr>
            <w:tcW w:type="dxa" w:w="1875"/>
            <w:shd w:fill="F5F7F8"/>
            <w:tcMar>
              <w:top w:w="55" w:type="dxa"/>
              <w:start w:w="70" w:type="dxa"/>
              <w:bottom w:w="55" w:type="dxa"/>
              <w:end w:w="70" w:type="dxa"/>
            </w:tcMar>
            <w:vAlign w:val="top"/>
          </w:tcPr>
          <w:p>
            <w:pPr>
              <w:pStyle w:val="TableText"/>
            </w:pPr>
            <w:r>
              <w:t>External charity</w:t>
            </w:r>
          </w:p>
        </w:tc>
        <w:tc>
          <w:tcPr>
            <w:tcW w:type="dxa" w:w="3860"/>
            <w:shd w:fill="F5F7F8"/>
            <w:tcMar>
              <w:top w:w="55" w:type="dxa"/>
              <w:start w:w="70" w:type="dxa"/>
              <w:bottom w:w="55" w:type="dxa"/>
              <w:end w:w="70" w:type="dxa"/>
            </w:tcMar>
            <w:vAlign w:val="top"/>
          </w:tcPr>
          <w:p>
            <w:pPr>
              <w:pStyle w:val="TableText"/>
            </w:pPr>
            <w:r>
              <w:t>24-hour emotional support phone line</w:t>
            </w:r>
          </w:p>
        </w:tc>
        <w:tc>
          <w:tcPr>
            <w:tcW w:type="dxa" w:w="1544"/>
            <w:shd w:fill="F5F7F8"/>
            <w:tcMar>
              <w:top w:w="55" w:type="dxa"/>
              <w:start w:w="70" w:type="dxa"/>
              <w:bottom w:w="55" w:type="dxa"/>
              <w:end w:w="70" w:type="dxa"/>
            </w:tcMar>
            <w:vAlign w:val="top"/>
          </w:tcPr>
          <w:p>
            <w:pPr>
              <w:pStyle w:val="TableText"/>
            </w:pPr>
            <w:r>
              <w:t>N02</w:t>
            </w:r>
          </w:p>
        </w:tc>
      </w:tr>
      <w:tr>
        <w:trPr>
          <w:cantSplit w:val="true"/>
        </w:trPr>
        <w:tc>
          <w:tcPr>
            <w:tcW w:type="dxa" w:w="2757"/>
            <w:tcMar>
              <w:top w:w="55" w:type="dxa"/>
              <w:start w:w="70" w:type="dxa"/>
              <w:bottom w:w="55" w:type="dxa"/>
              <w:end w:w="70" w:type="dxa"/>
            </w:tcMar>
            <w:vAlign w:val="top"/>
          </w:tcPr>
          <w:p>
            <w:pPr>
              <w:pStyle w:val="TableText"/>
            </w:pPr>
            <w:r>
              <w:t>MayBall.info</w:t>
            </w:r>
          </w:p>
        </w:tc>
        <w:tc>
          <w:tcPr>
            <w:tcW w:type="dxa" w:w="1875"/>
            <w:tcMar>
              <w:top w:w="55" w:type="dxa"/>
              <w:start w:w="70" w:type="dxa"/>
              <w:bottom w:w="55" w:type="dxa"/>
              <w:end w:w="70" w:type="dxa"/>
            </w:tcMar>
            <w:vAlign w:val="top"/>
          </w:tcPr>
          <w:p>
            <w:pPr>
              <w:pStyle w:val="TableText"/>
            </w:pPr>
            <w:r>
              <w:t>Student/community external</w:t>
            </w:r>
          </w:p>
        </w:tc>
        <w:tc>
          <w:tcPr>
            <w:tcW w:type="dxa" w:w="3860"/>
            <w:tcMar>
              <w:top w:w="55" w:type="dxa"/>
              <w:start w:w="70" w:type="dxa"/>
              <w:bottom w:w="55" w:type="dxa"/>
              <w:end w:w="70" w:type="dxa"/>
            </w:tcMar>
            <w:vAlign w:val="top"/>
          </w:tcPr>
          <w:p>
            <w:pPr>
              <w:pStyle w:val="TableText"/>
            </w:pPr>
            <w:r>
              <w:t>Current/archived event dates and prices; verify official terms</w:t>
            </w:r>
          </w:p>
        </w:tc>
        <w:tc>
          <w:tcPr>
            <w:tcW w:type="dxa" w:w="1544"/>
            <w:tcMar>
              <w:top w:w="55" w:type="dxa"/>
              <w:start w:w="70" w:type="dxa"/>
              <w:bottom w:w="55" w:type="dxa"/>
              <w:end w:w="70" w:type="dxa"/>
            </w:tcMar>
            <w:vAlign w:val="top"/>
          </w:tcPr>
          <w:p>
            <w:pPr>
              <w:pStyle w:val="TableText"/>
            </w:pPr>
            <w:r>
              <w:t>E01 / E02</w:t>
            </w:r>
          </w:p>
        </w:tc>
      </w:tr>
      <w:tr>
        <w:trPr>
          <w:cantSplit w:val="true"/>
        </w:trPr>
        <w:tc>
          <w:tcPr>
            <w:tcW w:type="dxa" w:w="2757"/>
            <w:shd w:fill="F5F7F8"/>
            <w:tcMar>
              <w:top w:w="55" w:type="dxa"/>
              <w:start w:w="70" w:type="dxa"/>
              <w:bottom w:w="55" w:type="dxa"/>
              <w:end w:w="70" w:type="dxa"/>
            </w:tcMar>
            <w:vAlign w:val="top"/>
          </w:tcPr>
          <w:p>
            <w:pPr>
              <w:pStyle w:val="TableText"/>
            </w:pPr>
            <w:r>
              <w:t>CUCBC Bumps</w:t>
            </w:r>
          </w:p>
        </w:tc>
        <w:tc>
          <w:tcPr>
            <w:tcW w:type="dxa" w:w="1875"/>
            <w:shd w:fill="F5F7F8"/>
            <w:tcMar>
              <w:top w:w="55" w:type="dxa"/>
              <w:start w:w="70" w:type="dxa"/>
              <w:bottom w:w="55" w:type="dxa"/>
              <w:end w:w="70" w:type="dxa"/>
            </w:tcMar>
            <w:vAlign w:val="top"/>
          </w:tcPr>
          <w:p>
            <w:pPr>
              <w:pStyle w:val="TableText"/>
            </w:pPr>
            <w:r>
              <w:t>University sporting body</w:t>
            </w:r>
          </w:p>
        </w:tc>
        <w:tc>
          <w:tcPr>
            <w:tcW w:type="dxa" w:w="3860"/>
            <w:shd w:fill="F5F7F8"/>
            <w:tcMar>
              <w:top w:w="55" w:type="dxa"/>
              <w:start w:w="70" w:type="dxa"/>
              <w:bottom w:w="55" w:type="dxa"/>
              <w:end w:w="70" w:type="dxa"/>
            </w:tcMar>
            <w:vAlign w:val="top"/>
          </w:tcPr>
          <w:p>
            <w:pPr>
              <w:pStyle w:val="TableText"/>
            </w:pPr>
            <w:r>
              <w:t>Race rules, divisions and schedules</w:t>
            </w:r>
          </w:p>
        </w:tc>
        <w:tc>
          <w:tcPr>
            <w:tcW w:type="dxa" w:w="1544"/>
            <w:shd w:fill="F5F7F8"/>
            <w:tcMar>
              <w:top w:w="55" w:type="dxa"/>
              <w:start w:w="70" w:type="dxa"/>
              <w:bottom w:w="55" w:type="dxa"/>
              <w:end w:w="70" w:type="dxa"/>
            </w:tcMar>
            <w:vAlign w:val="top"/>
          </w:tcPr>
          <w:p>
            <w:pPr>
              <w:pStyle w:val="TableText"/>
            </w:pPr>
            <w:r>
              <w:t>E04</w:t>
            </w:r>
          </w:p>
        </w:tc>
      </w:tr>
    </w:tbl>
    <w:p>
      <w:pPr>
        <w:spacing w:after="20"/>
      </w:pPr>
    </w:p>
    <w:p>
      <w:pPr>
        <w:pStyle w:val="Heading2"/>
        <w:keepNext/>
      </w:pPr>
      <w:r>
        <w:t>Appendix M — College websites</w:t>
      </w:r>
    </w:p>
    <w:tbl>
      <w:tblPr>
        <w:tblW w:type="dxa" w:w="9752"/>
        <w:jc w:val="center"/>
        <w:tblLayout w:type="fixed"/>
        <w:tblLook w:firstColumn="1" w:firstRow="1" w:lastColumn="0" w:lastRow="0" w:noHBand="0" w:noVBand="1" w:val="04A0"/>
        <w:tblBorders>
          <w:top w:val="single" w:sz="4" w:space="0" w:color="B7C4CC"/>
          <w:left w:val="single" w:sz="4" w:space="0" w:color="B7C4CC"/>
          <w:bottom w:val="single" w:sz="4" w:space="0" w:color="B7C4CC"/>
          <w:right w:val="single" w:sz="4" w:space="0" w:color="B7C4CC"/>
          <w:insideH w:val="single" w:sz="4" w:space="0" w:color="B7C4CC"/>
          <w:insideV w:val="single" w:sz="4" w:space="0" w:color="B7C4CC"/>
        </w:tblBorders>
      </w:tblPr>
      <w:tblGrid>
        <w:gridCol w:w="2324"/>
        <w:gridCol w:w="4309"/>
        <w:gridCol w:w="3118"/>
      </w:tblGrid>
      <w:tr>
        <w:trPr>
          <w:tblHeader w:val="true"/>
          <w:cantSplit w:val="true"/>
        </w:trPr>
        <w:tc>
          <w:tcPr>
            <w:tcW w:type="dxa" w:w="2324"/>
            <w:shd w:fill="17324D"/>
            <w:tcMar>
              <w:top w:w="70" w:type="dxa"/>
              <w:start w:w="80" w:type="dxa"/>
              <w:bottom w:w="70" w:type="dxa"/>
              <w:end w:w="80" w:type="dxa"/>
            </w:tcMar>
            <w:vAlign w:val="center"/>
          </w:tcPr>
          <w:p>
            <w:pPr>
              <w:pStyle w:val="TableSmall"/>
              <w:jc w:val="left"/>
            </w:pPr>
            <w:r>
              <w:rPr>
                <w:b/>
                <w:color w:val="FFFFFF"/>
                <w:sz w:val="13"/>
              </w:rPr>
              <w:t>College</w:t>
            </w:r>
          </w:p>
        </w:tc>
        <w:tc>
          <w:tcPr>
            <w:tcW w:type="dxa" w:w="4309"/>
            <w:shd w:fill="17324D"/>
            <w:tcMar>
              <w:top w:w="70" w:type="dxa"/>
              <w:start w:w="80" w:type="dxa"/>
              <w:bottom w:w="70" w:type="dxa"/>
              <w:end w:w="80" w:type="dxa"/>
            </w:tcMar>
            <w:vAlign w:val="center"/>
          </w:tcPr>
          <w:p>
            <w:pPr>
              <w:pStyle w:val="TableSmall"/>
              <w:jc w:val="left"/>
            </w:pPr>
            <w:r>
              <w:rPr>
                <w:b/>
                <w:color w:val="FFFFFF"/>
                <w:sz w:val="13"/>
              </w:rPr>
              <w:t>Official website</w:t>
            </w:r>
          </w:p>
        </w:tc>
        <w:tc>
          <w:tcPr>
            <w:tcW w:type="dxa" w:w="3118"/>
            <w:shd w:fill="17324D"/>
            <w:tcMar>
              <w:top w:w="70" w:type="dxa"/>
              <w:start w:w="80" w:type="dxa"/>
              <w:bottom w:w="70" w:type="dxa"/>
              <w:end w:w="80" w:type="dxa"/>
            </w:tcMar>
            <w:vAlign w:val="center"/>
          </w:tcPr>
          <w:p>
            <w:pPr>
              <w:pStyle w:val="TableSmall"/>
              <w:jc w:val="left"/>
            </w:pPr>
            <w:r>
              <w:rPr>
                <w:b/>
                <w:color w:val="FFFFFF"/>
                <w:sz w:val="13"/>
              </w:rPr>
              <w:t>Use</w:t>
            </w:r>
          </w:p>
        </w:tc>
      </w:tr>
      <w:tr>
        <w:trPr>
          <w:cantSplit w:val="true"/>
        </w:trPr>
        <w:tc>
          <w:tcPr>
            <w:tcW w:type="dxa" w:w="2324"/>
            <w:tcMar>
              <w:top w:w="55" w:type="dxa"/>
              <w:start w:w="70" w:type="dxa"/>
              <w:bottom w:w="55" w:type="dxa"/>
              <w:end w:w="70" w:type="dxa"/>
            </w:tcMar>
            <w:vAlign w:val="top"/>
          </w:tcPr>
          <w:p>
            <w:pPr>
              <w:pStyle w:val="TableSmall"/>
            </w:pPr>
            <w:r>
              <w:rPr>
                <w:sz w:val="13"/>
              </w:rPr>
              <w:t>Christ's</w:t>
            </w:r>
          </w:p>
        </w:tc>
        <w:tc>
          <w:tcPr>
            <w:tcW w:type="dxa" w:w="4309"/>
            <w:tcMar>
              <w:top w:w="55" w:type="dxa"/>
              <w:start w:w="70" w:type="dxa"/>
              <w:bottom w:w="55" w:type="dxa"/>
              <w:end w:w="70" w:type="dxa"/>
            </w:tcMar>
            <w:vAlign w:val="top"/>
          </w:tcPr>
          <w:p>
            <w:pPr>
              <w:pStyle w:val="TableSmall"/>
            </w:pPr>
            <w:hyperlink r:id="rId15">
              <w:r>
                <w:rPr>
                  <w:color w:val="0E7C86"/>
                  <w:u w:val="single"/>
                  <w:rFonts w:ascii="Lato" w:hAnsi="Lato"/>
                </w:rPr>
                <w:t>https://www.christs.cam.ac.uk/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Churchill</w:t>
            </w:r>
          </w:p>
        </w:tc>
        <w:tc>
          <w:tcPr>
            <w:tcW w:type="dxa" w:w="4309"/>
            <w:shd w:fill="F5F7F8"/>
            <w:tcMar>
              <w:top w:w="55" w:type="dxa"/>
              <w:start w:w="70" w:type="dxa"/>
              <w:bottom w:w="55" w:type="dxa"/>
              <w:end w:w="70" w:type="dxa"/>
            </w:tcMar>
            <w:vAlign w:val="top"/>
          </w:tcPr>
          <w:p>
            <w:pPr>
              <w:pStyle w:val="TableSmall"/>
            </w:pPr>
            <w:hyperlink r:id="rId16">
              <w:r>
                <w:rPr>
                  <w:color w:val="0E7C86"/>
                  <w:u w:val="single"/>
                  <w:rFonts w:ascii="Lato" w:hAnsi="Lato"/>
                </w:rPr>
                <w:t>https://www.chu.cam.ac.uk/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Clare</w:t>
            </w:r>
          </w:p>
        </w:tc>
        <w:tc>
          <w:tcPr>
            <w:tcW w:type="dxa" w:w="4309"/>
            <w:tcMar>
              <w:top w:w="55" w:type="dxa"/>
              <w:start w:w="70" w:type="dxa"/>
              <w:bottom w:w="55" w:type="dxa"/>
              <w:end w:w="70" w:type="dxa"/>
            </w:tcMar>
            <w:vAlign w:val="top"/>
          </w:tcPr>
          <w:p>
            <w:pPr>
              <w:pStyle w:val="TableSmall"/>
            </w:pPr>
            <w:hyperlink r:id="rId17">
              <w:r>
                <w:rPr>
                  <w:color w:val="0E7C86"/>
                  <w:u w:val="single"/>
                  <w:rFonts w:ascii="Lato" w:hAnsi="Lato"/>
                </w:rPr>
                <w:t>https://www.clare.cam.ac.uk/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Corpus Christi</w:t>
            </w:r>
          </w:p>
        </w:tc>
        <w:tc>
          <w:tcPr>
            <w:tcW w:type="dxa" w:w="4309"/>
            <w:shd w:fill="F5F7F8"/>
            <w:tcMar>
              <w:top w:w="55" w:type="dxa"/>
              <w:start w:w="70" w:type="dxa"/>
              <w:bottom w:w="55" w:type="dxa"/>
              <w:end w:w="70" w:type="dxa"/>
            </w:tcMar>
            <w:vAlign w:val="top"/>
          </w:tcPr>
          <w:p>
            <w:pPr>
              <w:pStyle w:val="TableSmall"/>
            </w:pPr>
            <w:hyperlink r:id="rId18">
              <w:r>
                <w:rPr>
                  <w:color w:val="0E7C86"/>
                  <w:u w:val="single"/>
                  <w:rFonts w:ascii="Lato" w:hAnsi="Lato"/>
                </w:rPr>
                <w:t>https://www.corpus.cam.ac.uk/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Downing</w:t>
            </w:r>
          </w:p>
        </w:tc>
        <w:tc>
          <w:tcPr>
            <w:tcW w:type="dxa" w:w="4309"/>
            <w:tcMar>
              <w:top w:w="55" w:type="dxa"/>
              <w:start w:w="70" w:type="dxa"/>
              <w:bottom w:w="55" w:type="dxa"/>
              <w:end w:w="70" w:type="dxa"/>
            </w:tcMar>
            <w:vAlign w:val="top"/>
          </w:tcPr>
          <w:p>
            <w:pPr>
              <w:pStyle w:val="TableSmall"/>
            </w:pPr>
            <w:hyperlink r:id="rId19">
              <w:r>
                <w:rPr>
                  <w:color w:val="0E7C86"/>
                  <w:u w:val="single"/>
                  <w:rFonts w:ascii="Lato" w:hAnsi="Lato"/>
                </w:rPr>
                <w:t>https://www.dow.cam.ac.uk/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Emmanuel</w:t>
            </w:r>
          </w:p>
        </w:tc>
        <w:tc>
          <w:tcPr>
            <w:tcW w:type="dxa" w:w="4309"/>
            <w:shd w:fill="F5F7F8"/>
            <w:tcMar>
              <w:top w:w="55" w:type="dxa"/>
              <w:start w:w="70" w:type="dxa"/>
              <w:bottom w:w="55" w:type="dxa"/>
              <w:end w:w="70" w:type="dxa"/>
            </w:tcMar>
            <w:vAlign w:val="top"/>
          </w:tcPr>
          <w:p>
            <w:pPr>
              <w:pStyle w:val="TableSmall"/>
            </w:pPr>
            <w:hyperlink r:id="rId20">
              <w:r>
                <w:rPr>
                  <w:color w:val="0E7C86"/>
                  <w:u w:val="single"/>
                  <w:rFonts w:ascii="Lato" w:hAnsi="Lato"/>
                </w:rPr>
                <w:t>https://www.emma.cam.ac.uk/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Fitzwilliam</w:t>
            </w:r>
          </w:p>
        </w:tc>
        <w:tc>
          <w:tcPr>
            <w:tcW w:type="dxa" w:w="4309"/>
            <w:tcMar>
              <w:top w:w="55" w:type="dxa"/>
              <w:start w:w="70" w:type="dxa"/>
              <w:bottom w:w="55" w:type="dxa"/>
              <w:end w:w="70" w:type="dxa"/>
            </w:tcMar>
            <w:vAlign w:val="top"/>
          </w:tcPr>
          <w:p>
            <w:pPr>
              <w:pStyle w:val="TableSmall"/>
            </w:pPr>
            <w:hyperlink r:id="rId21">
              <w:r>
                <w:rPr>
                  <w:color w:val="0E7C86"/>
                  <w:u w:val="single"/>
                  <w:rFonts w:ascii="Lato" w:hAnsi="Lato"/>
                </w:rPr>
                <w:t>https://www.fitz.cam.ac.uk/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Girton</w:t>
            </w:r>
          </w:p>
        </w:tc>
        <w:tc>
          <w:tcPr>
            <w:tcW w:type="dxa" w:w="4309"/>
            <w:shd w:fill="F5F7F8"/>
            <w:tcMar>
              <w:top w:w="55" w:type="dxa"/>
              <w:start w:w="70" w:type="dxa"/>
              <w:bottom w:w="55" w:type="dxa"/>
              <w:end w:w="70" w:type="dxa"/>
            </w:tcMar>
            <w:vAlign w:val="top"/>
          </w:tcPr>
          <w:p>
            <w:pPr>
              <w:pStyle w:val="TableSmall"/>
            </w:pPr>
            <w:hyperlink r:id="rId22">
              <w:r>
                <w:rPr>
                  <w:color w:val="0E7C86"/>
                  <w:u w:val="single"/>
                  <w:rFonts w:ascii="Lato" w:hAnsi="Lato"/>
                </w:rPr>
                <w:t>https://www.girton.cam.ac.uk/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Gonville &amp; Caius</w:t>
            </w:r>
          </w:p>
        </w:tc>
        <w:tc>
          <w:tcPr>
            <w:tcW w:type="dxa" w:w="4309"/>
            <w:tcMar>
              <w:top w:w="55" w:type="dxa"/>
              <w:start w:w="70" w:type="dxa"/>
              <w:bottom w:w="55" w:type="dxa"/>
              <w:end w:w="70" w:type="dxa"/>
            </w:tcMar>
            <w:vAlign w:val="top"/>
          </w:tcPr>
          <w:p>
            <w:pPr>
              <w:pStyle w:val="TableSmall"/>
            </w:pPr>
            <w:hyperlink r:id="rId23">
              <w:r>
                <w:rPr>
                  <w:color w:val="0E7C86"/>
                  <w:u w:val="single"/>
                  <w:rFonts w:ascii="Lato" w:hAnsi="Lato"/>
                </w:rPr>
                <w:t>https://www.cai.cam.ac.uk/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Homerton</w:t>
            </w:r>
          </w:p>
        </w:tc>
        <w:tc>
          <w:tcPr>
            <w:tcW w:type="dxa" w:w="4309"/>
            <w:shd w:fill="F5F7F8"/>
            <w:tcMar>
              <w:top w:w="55" w:type="dxa"/>
              <w:start w:w="70" w:type="dxa"/>
              <w:bottom w:w="55" w:type="dxa"/>
              <w:end w:w="70" w:type="dxa"/>
            </w:tcMar>
            <w:vAlign w:val="top"/>
          </w:tcPr>
          <w:p>
            <w:pPr>
              <w:pStyle w:val="TableSmall"/>
            </w:pPr>
            <w:hyperlink r:id="rId24">
              <w:r>
                <w:rPr>
                  <w:color w:val="0E7C86"/>
                  <w:u w:val="single"/>
                  <w:rFonts w:ascii="Lato" w:hAnsi="Lato"/>
                </w:rPr>
                <w:t>https://www.homerton.cam.ac.uk/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Hughes Hall</w:t>
            </w:r>
          </w:p>
        </w:tc>
        <w:tc>
          <w:tcPr>
            <w:tcW w:type="dxa" w:w="4309"/>
            <w:tcMar>
              <w:top w:w="55" w:type="dxa"/>
              <w:start w:w="70" w:type="dxa"/>
              <w:bottom w:w="55" w:type="dxa"/>
              <w:end w:w="70" w:type="dxa"/>
            </w:tcMar>
            <w:vAlign w:val="top"/>
          </w:tcPr>
          <w:p>
            <w:pPr>
              <w:pStyle w:val="TableSmall"/>
            </w:pPr>
            <w:hyperlink r:id="rId25">
              <w:r>
                <w:rPr>
                  <w:color w:val="0E7C86"/>
                  <w:u w:val="single"/>
                  <w:rFonts w:ascii="Lato" w:hAnsi="Lato"/>
                </w:rPr>
                <w:t>https://www.hughes.cam.ac.uk/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Jesus</w:t>
            </w:r>
          </w:p>
        </w:tc>
        <w:tc>
          <w:tcPr>
            <w:tcW w:type="dxa" w:w="4309"/>
            <w:shd w:fill="F5F7F8"/>
            <w:tcMar>
              <w:top w:w="55" w:type="dxa"/>
              <w:start w:w="70" w:type="dxa"/>
              <w:bottom w:w="55" w:type="dxa"/>
              <w:end w:w="70" w:type="dxa"/>
            </w:tcMar>
            <w:vAlign w:val="top"/>
          </w:tcPr>
          <w:p>
            <w:pPr>
              <w:pStyle w:val="TableSmall"/>
            </w:pPr>
            <w:hyperlink r:id="rId26">
              <w:r>
                <w:rPr>
                  <w:color w:val="0E7C86"/>
                  <w:u w:val="single"/>
                  <w:rFonts w:ascii="Lato" w:hAnsi="Lato"/>
                </w:rPr>
                <w:t>https://www.jesus.cam.ac.uk/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King's</w:t>
            </w:r>
          </w:p>
        </w:tc>
        <w:tc>
          <w:tcPr>
            <w:tcW w:type="dxa" w:w="4309"/>
            <w:tcMar>
              <w:top w:w="55" w:type="dxa"/>
              <w:start w:w="70" w:type="dxa"/>
              <w:bottom w:w="55" w:type="dxa"/>
              <w:end w:w="70" w:type="dxa"/>
            </w:tcMar>
            <w:vAlign w:val="top"/>
          </w:tcPr>
          <w:p>
            <w:pPr>
              <w:pStyle w:val="TableSmall"/>
            </w:pPr>
            <w:hyperlink r:id="rId27">
              <w:r>
                <w:rPr>
                  <w:color w:val="0E7C86"/>
                  <w:u w:val="single"/>
                  <w:rFonts w:ascii="Lato" w:hAnsi="Lato"/>
                </w:rPr>
                <w:t>https://www.kings.cam.ac.uk/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Lucy Cavendish</w:t>
            </w:r>
          </w:p>
        </w:tc>
        <w:tc>
          <w:tcPr>
            <w:tcW w:type="dxa" w:w="4309"/>
            <w:shd w:fill="F5F7F8"/>
            <w:tcMar>
              <w:top w:w="55" w:type="dxa"/>
              <w:start w:w="70" w:type="dxa"/>
              <w:bottom w:w="55" w:type="dxa"/>
              <w:end w:w="70" w:type="dxa"/>
            </w:tcMar>
            <w:vAlign w:val="top"/>
          </w:tcPr>
          <w:p>
            <w:pPr>
              <w:pStyle w:val="TableSmall"/>
            </w:pPr>
            <w:hyperlink r:id="rId28">
              <w:r>
                <w:rPr>
                  <w:color w:val="0E7C86"/>
                  <w:u w:val="single"/>
                  <w:rFonts w:ascii="Lato" w:hAnsi="Lato"/>
                </w:rPr>
                <w:t>https://www.lucy.cam.ac.uk/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Magdalene</w:t>
            </w:r>
          </w:p>
        </w:tc>
        <w:tc>
          <w:tcPr>
            <w:tcW w:type="dxa" w:w="4309"/>
            <w:tcMar>
              <w:top w:w="55" w:type="dxa"/>
              <w:start w:w="70" w:type="dxa"/>
              <w:bottom w:w="55" w:type="dxa"/>
              <w:end w:w="70" w:type="dxa"/>
            </w:tcMar>
            <w:vAlign w:val="top"/>
          </w:tcPr>
          <w:p>
            <w:pPr>
              <w:pStyle w:val="TableSmall"/>
            </w:pPr>
            <w:hyperlink r:id="rId29">
              <w:r>
                <w:rPr>
                  <w:color w:val="0E7C86"/>
                  <w:u w:val="single"/>
                  <w:rFonts w:ascii="Lato" w:hAnsi="Lato"/>
                </w:rPr>
                <w:t>https://www.magd.cam.ac.uk/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Murray Edwards</w:t>
            </w:r>
          </w:p>
        </w:tc>
        <w:tc>
          <w:tcPr>
            <w:tcW w:type="dxa" w:w="4309"/>
            <w:shd w:fill="F5F7F8"/>
            <w:tcMar>
              <w:top w:w="55" w:type="dxa"/>
              <w:start w:w="70" w:type="dxa"/>
              <w:bottom w:w="55" w:type="dxa"/>
              <w:end w:w="70" w:type="dxa"/>
            </w:tcMar>
            <w:vAlign w:val="top"/>
          </w:tcPr>
          <w:p>
            <w:pPr>
              <w:pStyle w:val="TableSmall"/>
            </w:pPr>
            <w:hyperlink r:id="rId30">
              <w:r>
                <w:rPr>
                  <w:color w:val="0E7C86"/>
                  <w:u w:val="single"/>
                  <w:rFonts w:ascii="Lato" w:hAnsi="Lato"/>
                </w:rPr>
                <w:t>https://www.murrayedwards.cam.ac.uk/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Newnham</w:t>
            </w:r>
          </w:p>
        </w:tc>
        <w:tc>
          <w:tcPr>
            <w:tcW w:type="dxa" w:w="4309"/>
            <w:tcMar>
              <w:top w:w="55" w:type="dxa"/>
              <w:start w:w="70" w:type="dxa"/>
              <w:bottom w:w="55" w:type="dxa"/>
              <w:end w:w="70" w:type="dxa"/>
            </w:tcMar>
            <w:vAlign w:val="top"/>
          </w:tcPr>
          <w:p>
            <w:pPr>
              <w:pStyle w:val="TableSmall"/>
            </w:pPr>
            <w:hyperlink r:id="rId31">
              <w:r>
                <w:rPr>
                  <w:color w:val="0E7C86"/>
                  <w:u w:val="single"/>
                  <w:rFonts w:ascii="Lato" w:hAnsi="Lato"/>
                </w:rPr>
                <w:t>https://www.newn.cam.ac.uk/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Pembroke</w:t>
            </w:r>
          </w:p>
        </w:tc>
        <w:tc>
          <w:tcPr>
            <w:tcW w:type="dxa" w:w="4309"/>
            <w:shd w:fill="F5F7F8"/>
            <w:tcMar>
              <w:top w:w="55" w:type="dxa"/>
              <w:start w:w="70" w:type="dxa"/>
              <w:bottom w:w="55" w:type="dxa"/>
              <w:end w:w="70" w:type="dxa"/>
            </w:tcMar>
            <w:vAlign w:val="top"/>
          </w:tcPr>
          <w:p>
            <w:pPr>
              <w:pStyle w:val="TableSmall"/>
            </w:pPr>
            <w:hyperlink r:id="rId32">
              <w:r>
                <w:rPr>
                  <w:color w:val="0E7C86"/>
                  <w:u w:val="single"/>
                  <w:rFonts w:ascii="Lato" w:hAnsi="Lato"/>
                </w:rPr>
                <w:t>https://www.pem.cam.ac.uk/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Peterhouse</w:t>
            </w:r>
          </w:p>
        </w:tc>
        <w:tc>
          <w:tcPr>
            <w:tcW w:type="dxa" w:w="4309"/>
            <w:tcMar>
              <w:top w:w="55" w:type="dxa"/>
              <w:start w:w="70" w:type="dxa"/>
              <w:bottom w:w="55" w:type="dxa"/>
              <w:end w:w="70" w:type="dxa"/>
            </w:tcMar>
            <w:vAlign w:val="top"/>
          </w:tcPr>
          <w:p>
            <w:pPr>
              <w:pStyle w:val="TableSmall"/>
            </w:pPr>
            <w:hyperlink r:id="rId33">
              <w:r>
                <w:rPr>
                  <w:color w:val="0E7C86"/>
                  <w:u w:val="single"/>
                  <w:rFonts w:ascii="Lato" w:hAnsi="Lato"/>
                </w:rPr>
                <w:t>https://www.pet.cam.ac.uk/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Queens'</w:t>
            </w:r>
          </w:p>
        </w:tc>
        <w:tc>
          <w:tcPr>
            <w:tcW w:type="dxa" w:w="4309"/>
            <w:shd w:fill="F5F7F8"/>
            <w:tcMar>
              <w:top w:w="55" w:type="dxa"/>
              <w:start w:w="70" w:type="dxa"/>
              <w:bottom w:w="55" w:type="dxa"/>
              <w:end w:w="70" w:type="dxa"/>
            </w:tcMar>
            <w:vAlign w:val="top"/>
          </w:tcPr>
          <w:p>
            <w:pPr>
              <w:pStyle w:val="TableSmall"/>
            </w:pPr>
            <w:hyperlink r:id="rId34">
              <w:r>
                <w:rPr>
                  <w:color w:val="0E7C86"/>
                  <w:u w:val="single"/>
                  <w:rFonts w:ascii="Lato" w:hAnsi="Lato"/>
                </w:rPr>
                <w:t>https://www.queens.cam.ac.uk/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Robinson</w:t>
            </w:r>
          </w:p>
        </w:tc>
        <w:tc>
          <w:tcPr>
            <w:tcW w:type="dxa" w:w="4309"/>
            <w:tcMar>
              <w:top w:w="55" w:type="dxa"/>
              <w:start w:w="70" w:type="dxa"/>
              <w:bottom w:w="55" w:type="dxa"/>
              <w:end w:w="70" w:type="dxa"/>
            </w:tcMar>
            <w:vAlign w:val="top"/>
          </w:tcPr>
          <w:p>
            <w:pPr>
              <w:pStyle w:val="TableSmall"/>
            </w:pPr>
            <w:hyperlink r:id="rId35">
              <w:r>
                <w:rPr>
                  <w:color w:val="0E7C86"/>
                  <w:u w:val="single"/>
                  <w:rFonts w:ascii="Lato" w:hAnsi="Lato"/>
                </w:rPr>
                <w:t>https://www.robinson.cam.ac.uk/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Selwyn</w:t>
            </w:r>
          </w:p>
        </w:tc>
        <w:tc>
          <w:tcPr>
            <w:tcW w:type="dxa" w:w="4309"/>
            <w:shd w:fill="F5F7F8"/>
            <w:tcMar>
              <w:top w:w="55" w:type="dxa"/>
              <w:start w:w="70" w:type="dxa"/>
              <w:bottom w:w="55" w:type="dxa"/>
              <w:end w:w="70" w:type="dxa"/>
            </w:tcMar>
            <w:vAlign w:val="top"/>
          </w:tcPr>
          <w:p>
            <w:pPr>
              <w:pStyle w:val="TableSmall"/>
            </w:pPr>
            <w:hyperlink r:id="rId36">
              <w:r>
                <w:rPr>
                  <w:color w:val="0E7C86"/>
                  <w:u w:val="single"/>
                  <w:rFonts w:ascii="Lato" w:hAnsi="Lato"/>
                </w:rPr>
                <w:t>https://www.sel.cam.ac.uk/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Sidney Sussex</w:t>
            </w:r>
          </w:p>
        </w:tc>
        <w:tc>
          <w:tcPr>
            <w:tcW w:type="dxa" w:w="4309"/>
            <w:tcMar>
              <w:top w:w="55" w:type="dxa"/>
              <w:start w:w="70" w:type="dxa"/>
              <w:bottom w:w="55" w:type="dxa"/>
              <w:end w:w="70" w:type="dxa"/>
            </w:tcMar>
            <w:vAlign w:val="top"/>
          </w:tcPr>
          <w:p>
            <w:pPr>
              <w:pStyle w:val="TableSmall"/>
            </w:pPr>
            <w:hyperlink r:id="rId37">
              <w:r>
                <w:rPr>
                  <w:color w:val="0E7C86"/>
                  <w:u w:val="single"/>
                  <w:rFonts w:ascii="Lato" w:hAnsi="Lato"/>
                </w:rPr>
                <w:t>https://www.sid.cam.ac.uk/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St Catharine's</w:t>
            </w:r>
          </w:p>
        </w:tc>
        <w:tc>
          <w:tcPr>
            <w:tcW w:type="dxa" w:w="4309"/>
            <w:shd w:fill="F5F7F8"/>
            <w:tcMar>
              <w:top w:w="55" w:type="dxa"/>
              <w:start w:w="70" w:type="dxa"/>
              <w:bottom w:w="55" w:type="dxa"/>
              <w:end w:w="70" w:type="dxa"/>
            </w:tcMar>
            <w:vAlign w:val="top"/>
          </w:tcPr>
          <w:p>
            <w:pPr>
              <w:pStyle w:val="TableSmall"/>
            </w:pPr>
            <w:hyperlink r:id="rId38">
              <w:r>
                <w:rPr>
                  <w:color w:val="0E7C86"/>
                  <w:u w:val="single"/>
                  <w:rFonts w:ascii="Lato" w:hAnsi="Lato"/>
                </w:rPr>
                <w:t>https://www.caths.cam.ac.uk/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St Edmund's</w:t>
            </w:r>
          </w:p>
        </w:tc>
        <w:tc>
          <w:tcPr>
            <w:tcW w:type="dxa" w:w="4309"/>
            <w:tcMar>
              <w:top w:w="55" w:type="dxa"/>
              <w:start w:w="70" w:type="dxa"/>
              <w:bottom w:w="55" w:type="dxa"/>
              <w:end w:w="70" w:type="dxa"/>
            </w:tcMar>
            <w:vAlign w:val="top"/>
          </w:tcPr>
          <w:p>
            <w:pPr>
              <w:pStyle w:val="TableSmall"/>
            </w:pPr>
            <w:hyperlink r:id="rId39">
              <w:r>
                <w:rPr>
                  <w:color w:val="0E7C86"/>
                  <w:u w:val="single"/>
                  <w:rFonts w:ascii="Lato" w:hAnsi="Lato"/>
                </w:rPr>
                <w:t>https://www.st-edmunds.cam.ac.uk/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St John's</w:t>
            </w:r>
          </w:p>
        </w:tc>
        <w:tc>
          <w:tcPr>
            <w:tcW w:type="dxa" w:w="4309"/>
            <w:shd w:fill="F5F7F8"/>
            <w:tcMar>
              <w:top w:w="55" w:type="dxa"/>
              <w:start w:w="70" w:type="dxa"/>
              <w:bottom w:w="55" w:type="dxa"/>
              <w:end w:w="70" w:type="dxa"/>
            </w:tcMar>
            <w:vAlign w:val="top"/>
          </w:tcPr>
          <w:p>
            <w:pPr>
              <w:pStyle w:val="TableSmall"/>
            </w:pPr>
            <w:hyperlink r:id="rId40">
              <w:r>
                <w:rPr>
                  <w:color w:val="0E7C86"/>
                  <w:u w:val="single"/>
                  <w:rFonts w:ascii="Lato" w:hAnsi="Lato"/>
                </w:rPr>
                <w:t>https://www.joh.cam.ac.uk/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Trinity</w:t>
            </w:r>
          </w:p>
        </w:tc>
        <w:tc>
          <w:tcPr>
            <w:tcW w:type="dxa" w:w="4309"/>
            <w:tcMar>
              <w:top w:w="55" w:type="dxa"/>
              <w:start w:w="70" w:type="dxa"/>
              <w:bottom w:w="55" w:type="dxa"/>
              <w:end w:w="70" w:type="dxa"/>
            </w:tcMar>
            <w:vAlign w:val="top"/>
          </w:tcPr>
          <w:p>
            <w:pPr>
              <w:pStyle w:val="TableSmall"/>
            </w:pPr>
            <w:hyperlink r:id="rId41">
              <w:r>
                <w:rPr>
                  <w:color w:val="0E7C86"/>
                  <w:u w:val="single"/>
                  <w:rFonts w:ascii="Lato" w:hAnsi="Lato"/>
                </w:rPr>
                <w:t>https://www.trin.cam.ac.uk/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shd w:fill="F5F7F8"/>
            <w:tcMar>
              <w:top w:w="55" w:type="dxa"/>
              <w:start w:w="70" w:type="dxa"/>
              <w:bottom w:w="55" w:type="dxa"/>
              <w:end w:w="70" w:type="dxa"/>
            </w:tcMar>
            <w:vAlign w:val="top"/>
          </w:tcPr>
          <w:p>
            <w:pPr>
              <w:pStyle w:val="TableSmall"/>
            </w:pPr>
            <w:r>
              <w:rPr>
                <w:sz w:val="13"/>
              </w:rPr>
              <w:t>Trinity Hall</w:t>
            </w:r>
          </w:p>
        </w:tc>
        <w:tc>
          <w:tcPr>
            <w:tcW w:type="dxa" w:w="4309"/>
            <w:shd w:fill="F5F7F8"/>
            <w:tcMar>
              <w:top w:w="55" w:type="dxa"/>
              <w:start w:w="70" w:type="dxa"/>
              <w:bottom w:w="55" w:type="dxa"/>
              <w:end w:w="70" w:type="dxa"/>
            </w:tcMar>
            <w:vAlign w:val="top"/>
          </w:tcPr>
          <w:p>
            <w:pPr>
              <w:pStyle w:val="TableSmall"/>
            </w:pPr>
            <w:hyperlink r:id="rId42">
              <w:r>
                <w:rPr>
                  <w:color w:val="0E7C86"/>
                  <w:u w:val="single"/>
                  <w:rFonts w:ascii="Lato" w:hAnsi="Lato"/>
                </w:rPr>
                <w:t>https://www.trinhall.cam.ac.uk/</w:t>
              </w:r>
            </w:hyperlink>
          </w:p>
        </w:tc>
        <w:tc>
          <w:tcPr>
            <w:tcW w:type="dxa" w:w="3118"/>
            <w:shd w:fill="F5F7F8"/>
            <w:tcMar>
              <w:top w:w="55" w:type="dxa"/>
              <w:start w:w="70" w:type="dxa"/>
              <w:bottom w:w="55" w:type="dxa"/>
              <w:end w:w="70" w:type="dxa"/>
            </w:tcMar>
            <w:vAlign w:val="top"/>
          </w:tcPr>
          <w:p>
            <w:pPr>
              <w:pStyle w:val="TableSmall"/>
            </w:pPr>
            <w:r>
              <w:rPr>
                <w:sz w:val="13"/>
              </w:rPr>
              <w:t>Check admissions, accommodation, current-student handbook, dining and welfare.</w:t>
            </w:r>
          </w:p>
        </w:tc>
      </w:tr>
      <w:tr>
        <w:trPr>
          <w:cantSplit w:val="true"/>
        </w:trPr>
        <w:tc>
          <w:tcPr>
            <w:tcW w:type="dxa" w:w="2324"/>
            <w:tcMar>
              <w:top w:w="55" w:type="dxa"/>
              <w:start w:w="70" w:type="dxa"/>
              <w:bottom w:w="55" w:type="dxa"/>
              <w:end w:w="70" w:type="dxa"/>
            </w:tcMar>
            <w:vAlign w:val="top"/>
          </w:tcPr>
          <w:p>
            <w:pPr>
              <w:pStyle w:val="TableSmall"/>
            </w:pPr>
            <w:r>
              <w:rPr>
                <w:sz w:val="13"/>
              </w:rPr>
              <w:t>Wolfson</w:t>
            </w:r>
          </w:p>
        </w:tc>
        <w:tc>
          <w:tcPr>
            <w:tcW w:type="dxa" w:w="4309"/>
            <w:tcMar>
              <w:top w:w="55" w:type="dxa"/>
              <w:start w:w="70" w:type="dxa"/>
              <w:bottom w:w="55" w:type="dxa"/>
              <w:end w:w="70" w:type="dxa"/>
            </w:tcMar>
            <w:vAlign w:val="top"/>
          </w:tcPr>
          <w:p>
            <w:pPr>
              <w:pStyle w:val="TableSmall"/>
            </w:pPr>
            <w:hyperlink r:id="rId43">
              <w:r>
                <w:rPr>
                  <w:color w:val="0E7C86"/>
                  <w:u w:val="single"/>
                  <w:rFonts w:ascii="Lato" w:hAnsi="Lato"/>
                </w:rPr>
                <w:t>https://www.wolfson.cam.ac.uk/</w:t>
              </w:r>
            </w:hyperlink>
          </w:p>
        </w:tc>
        <w:tc>
          <w:tcPr>
            <w:tcW w:type="dxa" w:w="3118"/>
            <w:tcMar>
              <w:top w:w="55" w:type="dxa"/>
              <w:start w:w="70" w:type="dxa"/>
              <w:bottom w:w="55" w:type="dxa"/>
              <w:end w:w="70" w:type="dxa"/>
            </w:tcMar>
            <w:vAlign w:val="top"/>
          </w:tcPr>
          <w:p>
            <w:pPr>
              <w:pStyle w:val="TableSmall"/>
            </w:pPr>
            <w:r>
              <w:rPr>
                <w:sz w:val="13"/>
              </w:rPr>
              <w:t>Check admissions, accommodation, current-student handbook, dining and welfare.</w:t>
            </w:r>
          </w:p>
        </w:tc>
      </w:tr>
    </w:tbl>
    <w:p>
      <w:pPr>
        <w:spacing w:after="20"/>
      </w:pPr>
    </w:p>
    <w:p>
      <w:pPr>
        <w:pStyle w:val="Heading1"/>
        <w:keepNext/>
      </w:pPr>
      <w:r>
        <w:t>Methodology and limitations</w:t>
      </w:r>
    </w:p>
    <w:p>
      <w:r>
        <w:t>This master report consolidates the original research brief, the completed practical guide and the later supplementary dossier into one new-student handbook. Research was conducted as a practical policy-and-culture review, with information checked to the date on the title page. Current University and College pages were preferred for rules and services; Government, NHS and council pages were used for external entitlements and emergency routes. Student-run event listings were used only where Ball committees do not provide a stable central archive, and are labelled accordingly. College practices were not generalised from one College.</w:t>
      </w:r>
    </w:p>
    <w:p>
      <w:r>
        <w:t>The most serious evidence gap is operational College information. Exact Formal Hall calendars, menus, guest quotas, welfare rotas, room stock and hardship decisions often sit behind login, change each term or are communicated by email. The guide records recurring public patterns and tells the reader what to verify rather than converting absence into certainty. Food and Ball rankings are editorial “best for” signals, not statistical rankings. No fictional student testimony or quotation has been created.</w:t>
      </w:r>
    </w:p>
    <w:p>
      <w:r>
        <w:t>Service names, emergency contacts, tuition/living-cost figures, mature status, term dates and the 2026 event calendar were treated as time-sensitive. Links are direct to the source page where one was available. A page can move after publication; where that happens, begin from the named organisation’s homepage rather than relying on a third-party copy.</w:t>
      </w:r>
    </w:p>
    <w:p>
      <w:r>
        <w:t>This dossier does not reproduce every course regulation or College handbook. It is intended to make the system legible enough that a reader asks the right office the right question, early and in writing.</w:t>
      </w:r>
    </w:p>
    <w:p>
      <w:pPr>
        <w:pStyle w:val="Heading1"/>
        <w:keepNext/>
      </w:pPr>
      <w:r>
        <w:t>Full bibliography and direct links</w:t>
      </w:r>
    </w:p>
    <w:p>
      <w:r>
        <w:t>Source codes used in the text are listed below. Organisation names and page titles are descriptive; the linked page is the current authority to recheck.</w:t>
      </w:r>
    </w:p>
    <w:p>
      <w:pPr>
        <w:pStyle w:val="Source"/>
        <w:spacing w:after="50"/>
      </w:pPr>
      <w:r>
        <w:rPr>
          <w:b/>
        </w:rPr>
        <w:t xml:space="preserve">[U01] University of Cambridge. </w:t>
      </w:r>
      <w:hyperlink r:id="rId44">
        <w:r>
          <w:rPr>
            <w:color w:val="0E7C86"/>
            <w:u w:val="single"/>
            <w:rFonts w:ascii="Lato" w:hAnsi="Lato"/>
          </w:rPr>
          <w:t>Mature student applications</w:t>
        </w:r>
      </w:hyperlink>
      <w:r>
        <w:t xml:space="preserve"> — </w:t>
      </w:r>
      <w:hyperlink r:id="rId44">
        <w:r>
          <w:rPr>
            <w:color w:val="5F6B73"/>
            <w:u w:val="single"/>
            <w:rFonts w:ascii="Lato" w:hAnsi="Lato"/>
          </w:rPr>
          <w:t>https://www.undergraduate.study.cam.ac.uk/apply/before/mature-student-applications</w:t>
        </w:r>
      </w:hyperlink>
    </w:p>
    <w:p>
      <w:pPr>
        <w:pStyle w:val="Source"/>
        <w:spacing w:after="50"/>
      </w:pPr>
      <w:r>
        <w:rPr>
          <w:b/>
        </w:rPr>
        <w:t xml:space="preserve">[U02] University of Cambridge. </w:t>
      </w:r>
      <w:hyperlink r:id="rId45">
        <w:r>
          <w:rPr>
            <w:color w:val="0E7C86"/>
            <w:u w:val="single"/>
            <w:rFonts w:ascii="Lato" w:hAnsi="Lato"/>
          </w:rPr>
          <w:t>How the University and Colleges work</w:t>
        </w:r>
      </w:hyperlink>
      <w:r>
        <w:t xml:space="preserve"> — </w:t>
      </w:r>
      <w:hyperlink r:id="rId45">
        <w:r>
          <w:rPr>
            <w:color w:val="5F6B73"/>
            <w:u w:val="single"/>
            <w:rFonts w:ascii="Lato" w:hAnsi="Lato"/>
          </w:rPr>
          <w:t>https://www.cam.ac.uk/about-the-university/how-the-university-and-colleges-work</w:t>
        </w:r>
      </w:hyperlink>
    </w:p>
    <w:p>
      <w:pPr>
        <w:pStyle w:val="Source"/>
        <w:spacing w:after="50"/>
      </w:pPr>
      <w:r>
        <w:rPr>
          <w:b/>
        </w:rPr>
        <w:t xml:space="preserve">[U03] University of Cambridge. </w:t>
      </w:r>
      <w:hyperlink r:id="rId46">
        <w:r>
          <w:rPr>
            <w:color w:val="0E7C86"/>
            <w:u w:val="single"/>
            <w:rFonts w:ascii="Lato" w:hAnsi="Lato"/>
          </w:rPr>
          <w:t>Teaching and supervisions</w:t>
        </w:r>
      </w:hyperlink>
      <w:r>
        <w:t xml:space="preserve"> — </w:t>
      </w:r>
      <w:hyperlink r:id="rId46">
        <w:r>
          <w:rPr>
            <w:color w:val="5F6B73"/>
            <w:u w:val="single"/>
            <w:rFonts w:ascii="Lato" w:hAnsi="Lato"/>
          </w:rPr>
          <w:t>https://www.undergraduate.study.cam.ac.uk/courses/teaching-supervisions</w:t>
        </w:r>
      </w:hyperlink>
    </w:p>
    <w:p>
      <w:pPr>
        <w:pStyle w:val="Source"/>
        <w:spacing w:after="50"/>
      </w:pPr>
      <w:r>
        <w:rPr>
          <w:b/>
        </w:rPr>
        <w:t xml:space="preserve">[U04] University of Cambridge. </w:t>
      </w:r>
      <w:hyperlink r:id="rId47">
        <w:r>
          <w:rPr>
            <w:color w:val="0E7C86"/>
            <w:u w:val="single"/>
            <w:rFonts w:ascii="Lato" w:hAnsi="Lato"/>
          </w:rPr>
          <w:t>Term dates and calendars</w:t>
        </w:r>
      </w:hyperlink>
      <w:r>
        <w:t xml:space="preserve"> — </w:t>
      </w:r>
      <w:hyperlink r:id="rId47">
        <w:r>
          <w:rPr>
            <w:color w:val="5F6B73"/>
            <w:u w:val="single"/>
            <w:rFonts w:ascii="Lato" w:hAnsi="Lato"/>
          </w:rPr>
          <w:t>https://www.cam.ac.uk/about-the-university/term-dates-and-calendars</w:t>
        </w:r>
      </w:hyperlink>
    </w:p>
    <w:p>
      <w:pPr>
        <w:pStyle w:val="Source"/>
        <w:spacing w:after="50"/>
      </w:pPr>
      <w:r>
        <w:rPr>
          <w:b/>
        </w:rPr>
        <w:t xml:space="preserve">[U05] University of Cambridge. </w:t>
      </w:r>
      <w:hyperlink r:id="rId48">
        <w:r>
          <w:rPr>
            <w:color w:val="0E7C86"/>
            <w:u w:val="single"/>
            <w:rFonts w:ascii="Lato" w:hAnsi="Lato"/>
          </w:rPr>
          <w:t>Tuition fees</w:t>
        </w:r>
      </w:hyperlink>
      <w:r>
        <w:t xml:space="preserve"> — </w:t>
      </w:r>
      <w:hyperlink r:id="rId48">
        <w:r>
          <w:rPr>
            <w:color w:val="5F6B73"/>
            <w:u w:val="single"/>
            <w:rFonts w:ascii="Lato" w:hAnsi="Lato"/>
          </w:rPr>
          <w:t>https://www.undergraduate.study.cam.ac.uk/fees-funding/tuition-fees</w:t>
        </w:r>
      </w:hyperlink>
    </w:p>
    <w:p>
      <w:pPr>
        <w:pStyle w:val="Source"/>
        <w:spacing w:after="50"/>
      </w:pPr>
      <w:r>
        <w:rPr>
          <w:b/>
        </w:rPr>
        <w:t xml:space="preserve">[U06] University of Cambridge. </w:t>
      </w:r>
      <w:hyperlink r:id="rId49">
        <w:r>
          <w:rPr>
            <w:color w:val="0E7C86"/>
            <w:u w:val="single"/>
            <w:rFonts w:ascii="Lato" w:hAnsi="Lato"/>
          </w:rPr>
          <w:t>Living costs</w:t>
        </w:r>
      </w:hyperlink>
      <w:r>
        <w:t xml:space="preserve"> — </w:t>
      </w:r>
      <w:hyperlink r:id="rId49">
        <w:r>
          <w:rPr>
            <w:color w:val="5F6B73"/>
            <w:u w:val="single"/>
            <w:rFonts w:ascii="Lato" w:hAnsi="Lato"/>
          </w:rPr>
          <w:t>https://www.undergraduate.study.cam.ac.uk/fees-funding/living-costs</w:t>
        </w:r>
      </w:hyperlink>
    </w:p>
    <w:p>
      <w:pPr>
        <w:pStyle w:val="Source"/>
        <w:spacing w:after="50"/>
      </w:pPr>
      <w:r>
        <w:rPr>
          <w:b/>
        </w:rPr>
        <w:t xml:space="preserve">[U07] University of Cambridge. </w:t>
      </w:r>
      <w:hyperlink r:id="rId50">
        <w:r>
          <w:rPr>
            <w:color w:val="0E7C86"/>
            <w:u w:val="single"/>
            <w:rFonts w:ascii="Lato" w:hAnsi="Lato"/>
          </w:rPr>
          <w:t>Cambridge Bursary and scholarships</w:t>
        </w:r>
      </w:hyperlink>
      <w:r>
        <w:t xml:space="preserve"> — </w:t>
      </w:r>
      <w:hyperlink r:id="rId50">
        <w:r>
          <w:rPr>
            <w:color w:val="5F6B73"/>
            <w:u w:val="single"/>
            <w:rFonts w:ascii="Lato" w:hAnsi="Lato"/>
          </w:rPr>
          <w:t>https://www.undergraduate.study.cam.ac.uk/fees-funding/scholarships-bursaries</w:t>
        </w:r>
      </w:hyperlink>
    </w:p>
    <w:p>
      <w:pPr>
        <w:pStyle w:val="Source"/>
        <w:spacing w:after="50"/>
      </w:pPr>
      <w:r>
        <w:rPr>
          <w:b/>
        </w:rPr>
        <w:t xml:space="preserve">[U08] University of Cambridge. </w:t>
      </w:r>
      <w:hyperlink r:id="rId51">
        <w:r>
          <w:rPr>
            <w:color w:val="0E7C86"/>
            <w:u w:val="single"/>
            <w:rFonts w:ascii="Lato" w:hAnsi="Lato"/>
          </w:rPr>
          <w:t>Undergraduate courses and entry requirements</w:t>
        </w:r>
      </w:hyperlink>
      <w:r>
        <w:t xml:space="preserve"> — </w:t>
      </w:r>
      <w:hyperlink r:id="rId51">
        <w:r>
          <w:rPr>
            <w:color w:val="5F6B73"/>
            <w:u w:val="single"/>
            <w:rFonts w:ascii="Lato" w:hAnsi="Lato"/>
          </w:rPr>
          <w:t>https://www.undergraduate.study.cam.ac.uk/courses</w:t>
        </w:r>
      </w:hyperlink>
    </w:p>
    <w:p>
      <w:pPr>
        <w:pStyle w:val="Source"/>
        <w:spacing w:after="50"/>
      </w:pPr>
      <w:r>
        <w:rPr>
          <w:b/>
        </w:rPr>
        <w:t xml:space="preserve">[U09] University of Cambridge. </w:t>
      </w:r>
      <w:hyperlink r:id="rId52">
        <w:r>
          <w:rPr>
            <w:color w:val="0E7C86"/>
            <w:u w:val="single"/>
            <w:rFonts w:ascii="Lato" w:hAnsi="Lato"/>
          </w:rPr>
          <w:t>Foundation Year</w:t>
        </w:r>
      </w:hyperlink>
      <w:r>
        <w:t xml:space="preserve"> — </w:t>
      </w:r>
      <w:hyperlink r:id="rId52">
        <w:r>
          <w:rPr>
            <w:color w:val="5F6B73"/>
            <w:u w:val="single"/>
            <w:rFonts w:ascii="Lato" w:hAnsi="Lato"/>
          </w:rPr>
          <w:t>https://www.foundationyear.cam.ac.uk/</w:t>
        </w:r>
      </w:hyperlink>
    </w:p>
    <w:p>
      <w:pPr>
        <w:pStyle w:val="Source"/>
        <w:spacing w:after="50"/>
      </w:pPr>
      <w:r>
        <w:rPr>
          <w:b/>
        </w:rPr>
        <w:t xml:space="preserve">[U10] University of Cambridge. </w:t>
      </w:r>
      <w:hyperlink r:id="rId53">
        <w:r>
          <w:rPr>
            <w:color w:val="0E7C86"/>
            <w:u w:val="single"/>
            <w:rFonts w:ascii="Lato" w:hAnsi="Lato"/>
          </w:rPr>
          <w:t>Second undergraduate degrees</w:t>
        </w:r>
      </w:hyperlink>
      <w:r>
        <w:t xml:space="preserve"> — </w:t>
      </w:r>
      <w:hyperlink r:id="rId53">
        <w:r>
          <w:rPr>
            <w:color w:val="5F6B73"/>
            <w:u w:val="single"/>
            <w:rFonts w:ascii="Lato" w:hAnsi="Lato"/>
          </w:rPr>
          <w:t>https://www.undergraduate.study.cam.ac.uk/apply/before/second-undergraduate-degree</w:t>
        </w:r>
      </w:hyperlink>
    </w:p>
    <w:p>
      <w:pPr>
        <w:pStyle w:val="Source"/>
        <w:spacing w:after="50"/>
      </w:pPr>
      <w:r>
        <w:rPr>
          <w:b/>
        </w:rPr>
        <w:t xml:space="preserve">[U11] University of Cambridge. </w:t>
      </w:r>
      <w:hyperlink r:id="rId54">
        <w:r>
          <w:rPr>
            <w:color w:val="0E7C86"/>
            <w:u w:val="single"/>
            <w:rFonts w:ascii="Lato" w:hAnsi="Lato"/>
          </w:rPr>
          <w:t>Student Support</w:t>
        </w:r>
      </w:hyperlink>
      <w:r>
        <w:t xml:space="preserve"> — </w:t>
      </w:r>
      <w:hyperlink r:id="rId54">
        <w:r>
          <w:rPr>
            <w:color w:val="5F6B73"/>
            <w:u w:val="single"/>
            <w:rFonts w:ascii="Lato" w:hAnsi="Lato"/>
          </w:rPr>
          <w:t>https://www.studentsupport.cam.ac.uk/</w:t>
        </w:r>
      </w:hyperlink>
    </w:p>
    <w:p>
      <w:pPr>
        <w:pStyle w:val="Source"/>
        <w:spacing w:after="50"/>
      </w:pPr>
      <w:r>
        <w:rPr>
          <w:b/>
        </w:rPr>
        <w:t xml:space="preserve">[U12] University of Cambridge. </w:t>
      </w:r>
      <w:hyperlink r:id="rId55">
        <w:r>
          <w:rPr>
            <w:color w:val="0E7C86"/>
            <w:u w:val="single"/>
            <w:rFonts w:ascii="Lato" w:hAnsi="Lato"/>
          </w:rPr>
          <w:t>Accessibility and Disability Resource Centre</w:t>
        </w:r>
      </w:hyperlink>
      <w:r>
        <w:t xml:space="preserve"> — </w:t>
      </w:r>
      <w:hyperlink r:id="rId55">
        <w:r>
          <w:rPr>
            <w:color w:val="5F6B73"/>
            <w:u w:val="single"/>
            <w:rFonts w:ascii="Lato" w:hAnsi="Lato"/>
          </w:rPr>
          <w:t>https://www.disability.admin.cam.ac.uk/</w:t>
        </w:r>
      </w:hyperlink>
    </w:p>
    <w:p>
      <w:pPr>
        <w:pStyle w:val="Source"/>
        <w:spacing w:after="50"/>
      </w:pPr>
      <w:r>
        <w:rPr>
          <w:b/>
        </w:rPr>
        <w:t xml:space="preserve">[U13] University of Cambridge. </w:t>
      </w:r>
      <w:hyperlink r:id="rId56">
        <w:r>
          <w:rPr>
            <w:color w:val="0E7C86"/>
            <w:u w:val="single"/>
            <w:rFonts w:ascii="Lato" w:hAnsi="Lato"/>
          </w:rPr>
          <w:t>Harassment and violence support</w:t>
        </w:r>
      </w:hyperlink>
      <w:r>
        <w:t xml:space="preserve"> — </w:t>
      </w:r>
      <w:hyperlink r:id="rId56">
        <w:r>
          <w:rPr>
            <w:color w:val="5F6B73"/>
            <w:u w:val="single"/>
            <w:rFonts w:ascii="Lato" w:hAnsi="Lato"/>
          </w:rPr>
          <w:t>https://www.studentsupport.cam.ac.uk/harassment-and-violence-support</w:t>
        </w:r>
      </w:hyperlink>
    </w:p>
    <w:p>
      <w:pPr>
        <w:pStyle w:val="Source"/>
        <w:spacing w:after="50"/>
      </w:pPr>
      <w:r>
        <w:rPr>
          <w:b/>
        </w:rPr>
        <w:t xml:space="preserve">[U14] University of Cambridge. </w:t>
      </w:r>
      <w:hyperlink r:id="rId57">
        <w:r>
          <w:rPr>
            <w:color w:val="0E7C86"/>
            <w:u w:val="single"/>
            <w:rFonts w:ascii="Lato" w:hAnsi="Lato"/>
          </w:rPr>
          <w:t>Intermission for undergraduate students</w:t>
        </w:r>
      </w:hyperlink>
      <w:r>
        <w:t xml:space="preserve"> — </w:t>
      </w:r>
      <w:hyperlink r:id="rId57">
        <w:r>
          <w:rPr>
            <w:color w:val="5F6B73"/>
            <w:u w:val="single"/>
            <w:rFonts w:ascii="Lato" w:hAnsi="Lato"/>
          </w:rPr>
          <w:t>https://www.cambridgestudents.cam.ac.uk/your-course/undergraduate-study/your-student-status/intermission</w:t>
        </w:r>
      </w:hyperlink>
    </w:p>
    <w:p>
      <w:pPr>
        <w:pStyle w:val="Source"/>
        <w:spacing w:after="50"/>
      </w:pPr>
      <w:r>
        <w:rPr>
          <w:b/>
        </w:rPr>
        <w:t xml:space="preserve">[U15] University of Cambridge. </w:t>
      </w:r>
      <w:hyperlink r:id="rId58">
        <w:r>
          <w:rPr>
            <w:color w:val="0E7C86"/>
            <w:u w:val="single"/>
            <w:rFonts w:ascii="Lato" w:hAnsi="Lato"/>
          </w:rPr>
          <w:t>International Student Office</w:t>
        </w:r>
      </w:hyperlink>
      <w:r>
        <w:t xml:space="preserve"> — </w:t>
      </w:r>
      <w:hyperlink r:id="rId58">
        <w:r>
          <w:rPr>
            <w:color w:val="5F6B73"/>
            <w:u w:val="single"/>
            <w:rFonts w:ascii="Lato" w:hAnsi="Lato"/>
          </w:rPr>
          <w:t>https://www.internationalstudents.cam.ac.uk/</w:t>
        </w:r>
      </w:hyperlink>
    </w:p>
    <w:p>
      <w:pPr>
        <w:pStyle w:val="Source"/>
        <w:spacing w:after="50"/>
      </w:pPr>
      <w:r>
        <w:rPr>
          <w:b/>
        </w:rPr>
        <w:t xml:space="preserve">[U16] University of Cambridge. </w:t>
      </w:r>
      <w:hyperlink r:id="rId59">
        <w:r>
          <w:rPr>
            <w:color w:val="0E7C86"/>
            <w:u w:val="single"/>
            <w:rFonts w:ascii="Lato" w:hAnsi="Lato"/>
          </w:rPr>
          <w:t>Student complaints</w:t>
        </w:r>
      </w:hyperlink>
      <w:r>
        <w:t xml:space="preserve"> — </w:t>
      </w:r>
      <w:hyperlink r:id="rId59">
        <w:r>
          <w:rPr>
            <w:color w:val="5F6B73"/>
            <w:u w:val="single"/>
            <w:rFonts w:ascii="Lato" w:hAnsi="Lato"/>
          </w:rPr>
          <w:t>https://www.studentcomplaints.admin.cam.ac.uk/</w:t>
        </w:r>
      </w:hyperlink>
    </w:p>
    <w:p>
      <w:pPr>
        <w:pStyle w:val="Source"/>
        <w:spacing w:after="50"/>
      </w:pPr>
      <w:r>
        <w:rPr>
          <w:b/>
        </w:rPr>
        <w:t xml:space="preserve">[U17] University of Cambridge. </w:t>
      </w:r>
      <w:hyperlink r:id="rId60">
        <w:r>
          <w:rPr>
            <w:color w:val="0E7C86"/>
            <w:u w:val="single"/>
            <w:rFonts w:ascii="Lato" w:hAnsi="Lato"/>
          </w:rPr>
          <w:t>University Counselling Service and mental-health support</w:t>
        </w:r>
      </w:hyperlink>
      <w:r>
        <w:t xml:space="preserve"> — </w:t>
      </w:r>
      <w:hyperlink r:id="rId60">
        <w:r>
          <w:rPr>
            <w:color w:val="5F6B73"/>
            <w:u w:val="single"/>
            <w:rFonts w:ascii="Lato" w:hAnsi="Lato"/>
          </w:rPr>
          <w:t>https://www.studentsupport.cam.ac.uk/mental-health-and-wellbeing</w:t>
        </w:r>
      </w:hyperlink>
    </w:p>
    <w:p>
      <w:pPr>
        <w:pStyle w:val="Source"/>
        <w:spacing w:after="50"/>
      </w:pPr>
      <w:r>
        <w:rPr>
          <w:b/>
        </w:rPr>
        <w:t xml:space="preserve">[U18] University of Cambridge. </w:t>
      </w:r>
      <w:hyperlink r:id="rId61">
        <w:r>
          <w:rPr>
            <w:color w:val="0E7C86"/>
            <w:u w:val="single"/>
            <w:rFonts w:ascii="Lato" w:hAnsi="Lato"/>
          </w:rPr>
          <w:t>Childcare Services</w:t>
        </w:r>
      </w:hyperlink>
      <w:r>
        <w:t xml:space="preserve"> — </w:t>
      </w:r>
      <w:hyperlink r:id="rId61">
        <w:r>
          <w:rPr>
            <w:color w:val="5F6B73"/>
            <w:u w:val="single"/>
            <w:rFonts w:ascii="Lato" w:hAnsi="Lato"/>
          </w:rPr>
          <w:t>https://www.childcare.admin.cam.ac.uk/</w:t>
        </w:r>
      </w:hyperlink>
    </w:p>
    <w:p>
      <w:pPr>
        <w:pStyle w:val="Source"/>
        <w:spacing w:after="50"/>
      </w:pPr>
      <w:r>
        <w:rPr>
          <w:b/>
        </w:rPr>
        <w:t xml:space="preserve">[U19] University of Cambridge. </w:t>
      </w:r>
      <w:hyperlink r:id="rId62">
        <w:r>
          <w:rPr>
            <w:color w:val="0E7C86"/>
            <w:u w:val="single"/>
            <w:rFonts w:ascii="Lato" w:hAnsi="Lato"/>
          </w:rPr>
          <w:t>University Sports Centre</w:t>
        </w:r>
      </w:hyperlink>
      <w:r>
        <w:t xml:space="preserve"> — </w:t>
      </w:r>
      <w:hyperlink r:id="rId62">
        <w:r>
          <w:rPr>
            <w:color w:val="5F6B73"/>
            <w:u w:val="single"/>
            <w:rFonts w:ascii="Lato" w:hAnsi="Lato"/>
          </w:rPr>
          <w:t>https://www.sport.cam.ac.uk/</w:t>
        </w:r>
      </w:hyperlink>
    </w:p>
    <w:p>
      <w:pPr>
        <w:pStyle w:val="Source"/>
        <w:spacing w:after="50"/>
      </w:pPr>
      <w:r>
        <w:rPr>
          <w:b/>
        </w:rPr>
        <w:t xml:space="preserve">[U20] University of Cambridge. </w:t>
      </w:r>
      <w:hyperlink r:id="rId63">
        <w:r>
          <w:rPr>
            <w:color w:val="0E7C86"/>
            <w:u w:val="single"/>
            <w:rFonts w:ascii="Lato" w:hAnsi="Lato"/>
          </w:rPr>
          <w:t>University Library</w:t>
        </w:r>
      </w:hyperlink>
      <w:r>
        <w:t xml:space="preserve"> — </w:t>
      </w:r>
      <w:hyperlink r:id="rId63">
        <w:r>
          <w:rPr>
            <w:color w:val="5F6B73"/>
            <w:u w:val="single"/>
            <w:rFonts w:ascii="Lato" w:hAnsi="Lato"/>
          </w:rPr>
          <w:t>https://www.lib.cam.ac.uk/</w:t>
        </w:r>
      </w:hyperlink>
    </w:p>
    <w:p>
      <w:pPr>
        <w:pStyle w:val="Source"/>
        <w:spacing w:after="50"/>
      </w:pPr>
      <w:r>
        <w:rPr>
          <w:b/>
        </w:rPr>
        <w:t xml:space="preserve">[U21] University of Cambridge. </w:t>
      </w:r>
      <w:hyperlink r:id="rId64">
        <w:r>
          <w:rPr>
            <w:color w:val="0E7C86"/>
            <w:u w:val="single"/>
            <w:rFonts w:ascii="Lato" w:hAnsi="Lato"/>
          </w:rPr>
          <w:t>Careers Service</w:t>
        </w:r>
      </w:hyperlink>
      <w:r>
        <w:t xml:space="preserve"> — </w:t>
      </w:r>
      <w:hyperlink r:id="rId64">
        <w:r>
          <w:rPr>
            <w:color w:val="5F6B73"/>
            <w:u w:val="single"/>
            <w:rFonts w:ascii="Lato" w:hAnsi="Lato"/>
          </w:rPr>
          <w:t>https://www.careers.cam.ac.uk/</w:t>
        </w:r>
      </w:hyperlink>
    </w:p>
    <w:p>
      <w:pPr>
        <w:pStyle w:val="Source"/>
        <w:spacing w:after="50"/>
      </w:pPr>
      <w:r>
        <w:rPr>
          <w:b/>
        </w:rPr>
        <w:t xml:space="preserve">[U22] University of Cambridge. </w:t>
      </w:r>
      <w:hyperlink r:id="rId65">
        <w:r>
          <w:rPr>
            <w:color w:val="0E7C86"/>
            <w:u w:val="single"/>
            <w:rFonts w:ascii="Lato" w:hAnsi="Lato"/>
          </w:rPr>
          <w:t>Cambridge glossary</w:t>
        </w:r>
      </w:hyperlink>
      <w:r>
        <w:t xml:space="preserve"> — </w:t>
      </w:r>
      <w:hyperlink r:id="rId65">
        <w:r>
          <w:rPr>
            <w:color w:val="5F6B73"/>
            <w:u w:val="single"/>
            <w:rFonts w:ascii="Lato" w:hAnsi="Lato"/>
          </w:rPr>
          <w:t>https://www.cam.ac.uk/about-the-university/history/cambridge-glossary</w:t>
        </w:r>
      </w:hyperlink>
    </w:p>
    <w:p>
      <w:pPr>
        <w:pStyle w:val="Source"/>
        <w:spacing w:after="50"/>
      </w:pPr>
      <w:r>
        <w:rPr>
          <w:b/>
        </w:rPr>
        <w:t xml:space="preserve">[U23] University of Cambridge. </w:t>
      </w:r>
      <w:hyperlink r:id="rId66">
        <w:r>
          <w:rPr>
            <w:color w:val="0E7C86"/>
            <w:u w:val="single"/>
            <w:rFonts w:ascii="Lato" w:hAnsi="Lato"/>
          </w:rPr>
          <w:t>History of the University</w:t>
        </w:r>
      </w:hyperlink>
      <w:r>
        <w:t xml:space="preserve"> — </w:t>
      </w:r>
      <w:hyperlink r:id="rId66">
        <w:r>
          <w:rPr>
            <w:color w:val="5F6B73"/>
            <w:u w:val="single"/>
            <w:rFonts w:ascii="Lato" w:hAnsi="Lato"/>
          </w:rPr>
          <w:t>https://www.cam.ac.uk/about-the-university/history</w:t>
        </w:r>
      </w:hyperlink>
    </w:p>
    <w:p>
      <w:pPr>
        <w:pStyle w:val="Source"/>
        <w:spacing w:after="50"/>
      </w:pPr>
      <w:r>
        <w:rPr>
          <w:b/>
        </w:rPr>
        <w:t xml:space="preserve">[U24] Institute of Continuing Education. </w:t>
      </w:r>
      <w:hyperlink r:id="rId67">
        <w:r>
          <w:rPr>
            <w:color w:val="0E7C86"/>
            <w:u w:val="single"/>
            <w:rFonts w:ascii="Lato" w:hAnsi="Lato"/>
          </w:rPr>
          <w:t>History of adult and continuing education at Cambridge</w:t>
        </w:r>
      </w:hyperlink>
      <w:r>
        <w:t xml:space="preserve"> — </w:t>
      </w:r>
      <w:hyperlink r:id="rId67">
        <w:r>
          <w:rPr>
            <w:color w:val="5F6B73"/>
            <w:u w:val="single"/>
            <w:rFonts w:ascii="Lato" w:hAnsi="Lato"/>
          </w:rPr>
          <w:t>https://www.ice.cam.ac.uk/about-us/history</w:t>
        </w:r>
      </w:hyperlink>
    </w:p>
    <w:p>
      <w:pPr>
        <w:pStyle w:val="Source"/>
        <w:spacing w:after="50"/>
      </w:pPr>
      <w:r>
        <w:rPr>
          <w:b/>
        </w:rPr>
        <w:t xml:space="preserve">[U25] University of Cambridge. </w:t>
      </w:r>
      <w:hyperlink r:id="rId68">
        <w:r>
          <w:rPr>
            <w:color w:val="0E7C86"/>
            <w:u w:val="single"/>
            <w:rFonts w:ascii="Lato" w:hAnsi="Lato"/>
          </w:rPr>
          <w:t>Legacies of Enslavement inquiry</w:t>
        </w:r>
      </w:hyperlink>
      <w:r>
        <w:t xml:space="preserve"> — </w:t>
      </w:r>
      <w:hyperlink r:id="rId68">
        <w:r>
          <w:rPr>
            <w:color w:val="5F6B73"/>
            <w:u w:val="single"/>
            <w:rFonts w:ascii="Lato" w:hAnsi="Lato"/>
          </w:rPr>
          <w:t>https://www.legaciesofenslavement.cam.ac.uk/</w:t>
        </w:r>
      </w:hyperlink>
    </w:p>
    <w:p>
      <w:pPr>
        <w:pStyle w:val="Source"/>
        <w:spacing w:after="50"/>
      </w:pPr>
      <w:r>
        <w:rPr>
          <w:b/>
        </w:rPr>
        <w:t xml:space="preserve">[U26] University of Cambridge. </w:t>
      </w:r>
      <w:hyperlink r:id="rId69">
        <w:r>
          <w:rPr>
            <w:color w:val="0E7C86"/>
            <w:u w:val="single"/>
            <w:rFonts w:ascii="Lato" w:hAnsi="Lato"/>
          </w:rPr>
          <w:t>Student Registry: examinations and assessment</w:t>
        </w:r>
      </w:hyperlink>
      <w:r>
        <w:t xml:space="preserve"> — </w:t>
      </w:r>
      <w:hyperlink r:id="rId69">
        <w:r>
          <w:rPr>
            <w:color w:val="5F6B73"/>
            <w:u w:val="single"/>
            <w:rFonts w:ascii="Lato" w:hAnsi="Lato"/>
          </w:rPr>
          <w:t>https://www.cambridgestudents.cam.ac.uk/your-course/examinations</w:t>
        </w:r>
      </w:hyperlink>
    </w:p>
    <w:p>
      <w:pPr>
        <w:pStyle w:val="Source"/>
        <w:spacing w:after="50"/>
      </w:pPr>
      <w:r>
        <w:rPr>
          <w:b/>
        </w:rPr>
        <w:t xml:space="preserve">[U27] University of Cambridge. </w:t>
      </w:r>
      <w:hyperlink r:id="rId70">
        <w:r>
          <w:rPr>
            <w:color w:val="0E7C86"/>
            <w:u w:val="single"/>
            <w:rFonts w:ascii="Lato" w:hAnsi="Lato"/>
          </w:rPr>
          <w:t>Responsible use of generative AI in education</w:t>
        </w:r>
      </w:hyperlink>
      <w:r>
        <w:t xml:space="preserve"> — </w:t>
      </w:r>
      <w:hyperlink r:id="rId70">
        <w:r>
          <w:rPr>
            <w:color w:val="5F6B73"/>
            <w:u w:val="single"/>
            <w:rFonts w:ascii="Lato" w:hAnsi="Lato"/>
          </w:rPr>
          <w:t>https://blendedlearning.cam.ac.uk/artificial-intelligence-and-education</w:t>
        </w:r>
      </w:hyperlink>
    </w:p>
    <w:p>
      <w:pPr>
        <w:pStyle w:val="Source"/>
        <w:spacing w:after="50"/>
      </w:pPr>
      <w:r>
        <w:rPr>
          <w:b/>
        </w:rPr>
        <w:t xml:space="preserve">[U28] University of Cambridge. </w:t>
      </w:r>
      <w:hyperlink r:id="rId71">
        <w:r>
          <w:rPr>
            <w:color w:val="0E7C86"/>
            <w:u w:val="single"/>
            <w:rFonts w:ascii="Lato" w:hAnsi="Lato"/>
          </w:rPr>
          <w:t>University Information Services</w:t>
        </w:r>
      </w:hyperlink>
      <w:r>
        <w:t xml:space="preserve"> — </w:t>
      </w:r>
      <w:hyperlink r:id="rId71">
        <w:r>
          <w:rPr>
            <w:color w:val="5F6B73"/>
            <w:u w:val="single"/>
            <w:rFonts w:ascii="Lato" w:hAnsi="Lato"/>
          </w:rPr>
          <w:t>https://help.uis.cam.ac.uk/</w:t>
        </w:r>
      </w:hyperlink>
    </w:p>
    <w:p>
      <w:pPr>
        <w:pStyle w:val="Source"/>
        <w:spacing w:after="50"/>
      </w:pPr>
      <w:r>
        <w:rPr>
          <w:b/>
        </w:rPr>
        <w:t xml:space="preserve">[U29] University of Cambridge. </w:t>
      </w:r>
      <w:hyperlink r:id="rId72">
        <w:r>
          <w:rPr>
            <w:color w:val="0E7C86"/>
            <w:u w:val="single"/>
            <w:rFonts w:ascii="Lato" w:hAnsi="Lato"/>
          </w:rPr>
          <w:t>Language Centre</w:t>
        </w:r>
      </w:hyperlink>
      <w:r>
        <w:t xml:space="preserve"> — </w:t>
      </w:r>
      <w:hyperlink r:id="rId72">
        <w:r>
          <w:rPr>
            <w:color w:val="5F6B73"/>
            <w:u w:val="single"/>
            <w:rFonts w:ascii="Lato" w:hAnsi="Lato"/>
          </w:rPr>
          <w:t>https://www.langcen.cam.ac.uk/</w:t>
        </w:r>
      </w:hyperlink>
    </w:p>
    <w:p>
      <w:pPr>
        <w:pStyle w:val="Source"/>
        <w:spacing w:after="50"/>
      </w:pPr>
      <w:r>
        <w:rPr>
          <w:b/>
        </w:rPr>
        <w:t xml:space="preserve">[U30] University of Cambridge. </w:t>
      </w:r>
      <w:hyperlink r:id="rId73">
        <w:r>
          <w:rPr>
            <w:color w:val="0E7C86"/>
            <w:u w:val="single"/>
            <w:rFonts w:ascii="Lato" w:hAnsi="Lato"/>
          </w:rPr>
          <w:t>Museums and collections</w:t>
        </w:r>
      </w:hyperlink>
      <w:r>
        <w:t xml:space="preserve"> — </w:t>
      </w:r>
      <w:hyperlink r:id="rId73">
        <w:r>
          <w:rPr>
            <w:color w:val="5F6B73"/>
            <w:u w:val="single"/>
            <w:rFonts w:ascii="Lato" w:hAnsi="Lato"/>
          </w:rPr>
          <w:t>https://www.museums.cam.ac.uk/</w:t>
        </w:r>
      </w:hyperlink>
    </w:p>
    <w:p>
      <w:pPr>
        <w:pStyle w:val="Source"/>
        <w:spacing w:after="50"/>
      </w:pPr>
      <w:r>
        <w:rPr>
          <w:b/>
        </w:rPr>
        <w:t xml:space="preserve">[U31] University of Cambridge. </w:t>
      </w:r>
      <w:hyperlink r:id="rId74">
        <w:r>
          <w:rPr>
            <w:color w:val="0E7C86"/>
            <w:u w:val="single"/>
            <w:rFonts w:ascii="Lato" w:hAnsi="Lato"/>
          </w:rPr>
          <w:t>Student parents and families</w:t>
        </w:r>
      </w:hyperlink>
      <w:r>
        <w:t xml:space="preserve"> — </w:t>
      </w:r>
      <w:hyperlink r:id="rId74">
        <w:r>
          <w:rPr>
            <w:color w:val="5F6B73"/>
            <w:u w:val="single"/>
            <w:rFonts w:ascii="Lato" w:hAnsi="Lato"/>
          </w:rPr>
          <w:t>https://www.childcare.admin.cam.ac.uk/student-parents</w:t>
        </w:r>
      </w:hyperlink>
    </w:p>
    <w:p>
      <w:pPr>
        <w:pStyle w:val="Source"/>
        <w:spacing w:after="50"/>
      </w:pPr>
      <w:r>
        <w:rPr>
          <w:b/>
        </w:rPr>
        <w:t xml:space="preserve">[U32] University of Cambridge. </w:t>
      </w:r>
      <w:hyperlink r:id="rId75">
        <w:r>
          <w:rPr>
            <w:color w:val="0E7C86"/>
            <w:u w:val="single"/>
            <w:rFonts w:ascii="Lato" w:hAnsi="Lato"/>
          </w:rPr>
          <w:t>Pregnancy, maternity and parental support</w:t>
        </w:r>
      </w:hyperlink>
      <w:r>
        <w:t xml:space="preserve"> — </w:t>
      </w:r>
      <w:hyperlink r:id="rId75">
        <w:r>
          <w:rPr>
            <w:color w:val="5F6B73"/>
            <w:u w:val="single"/>
            <w:rFonts w:ascii="Lato" w:hAnsi="Lato"/>
          </w:rPr>
          <w:t>https://www.cambridgestudents.cam.ac.uk/your-course/undergraduate-study/your-student-status/pregnancy-and-maternity</w:t>
        </w:r>
      </w:hyperlink>
    </w:p>
    <w:p>
      <w:pPr>
        <w:pStyle w:val="Source"/>
        <w:spacing w:after="50"/>
      </w:pPr>
      <w:r>
        <w:rPr>
          <w:b/>
        </w:rPr>
        <w:t xml:space="preserve">[U33] University of Cambridge. </w:t>
      </w:r>
      <w:hyperlink r:id="rId76">
        <w:r>
          <w:rPr>
            <w:color w:val="0E7C86"/>
            <w:u w:val="single"/>
            <w:rFonts w:ascii="Lato" w:hAnsi="Lato"/>
          </w:rPr>
          <w:t>College A-Z</w:t>
        </w:r>
      </w:hyperlink>
      <w:r>
        <w:t xml:space="preserve"> — </w:t>
      </w:r>
      <w:hyperlink r:id="rId76">
        <w:r>
          <w:rPr>
            <w:color w:val="5F6B73"/>
            <w:u w:val="single"/>
            <w:rFonts w:ascii="Lato" w:hAnsi="Lato"/>
          </w:rPr>
          <w:t>https://www.undergraduate.study.cam.ac.uk/colleges</w:t>
        </w:r>
      </w:hyperlink>
    </w:p>
    <w:p>
      <w:pPr>
        <w:pStyle w:val="Source"/>
        <w:spacing w:after="50"/>
      </w:pPr>
      <w:r>
        <w:rPr>
          <w:b/>
        </w:rPr>
        <w:t xml:space="preserve">[U34] University of Cambridge. </w:t>
      </w:r>
      <w:hyperlink r:id="rId77">
        <w:r>
          <w:rPr>
            <w:color w:val="0E7C86"/>
            <w:u w:val="single"/>
            <w:rFonts w:ascii="Lato" w:hAnsi="Lato"/>
          </w:rPr>
          <w:t>Application dates and deadlines</w:t>
        </w:r>
      </w:hyperlink>
      <w:r>
        <w:t xml:space="preserve"> — </w:t>
      </w:r>
      <w:hyperlink r:id="rId77">
        <w:r>
          <w:rPr>
            <w:color w:val="5F6B73"/>
            <w:u w:val="single"/>
            <w:rFonts w:ascii="Lato" w:hAnsi="Lato"/>
          </w:rPr>
          <w:t>https://www.undergraduate.study.cam.ac.uk/apply/how</w:t>
        </w:r>
      </w:hyperlink>
    </w:p>
    <w:p>
      <w:pPr>
        <w:pStyle w:val="Source"/>
        <w:spacing w:after="50"/>
      </w:pPr>
      <w:r>
        <w:rPr>
          <w:b/>
        </w:rPr>
        <w:t xml:space="preserve">[U35] University of Cambridge. </w:t>
      </w:r>
      <w:hyperlink r:id="rId78">
        <w:r>
          <w:rPr>
            <w:color w:val="0E7C86"/>
            <w:u w:val="single"/>
            <w:rFonts w:ascii="Lato" w:hAnsi="Lato"/>
          </w:rPr>
          <w:t>English language requirements</w:t>
        </w:r>
      </w:hyperlink>
      <w:r>
        <w:t xml:space="preserve"> — </w:t>
      </w:r>
      <w:hyperlink r:id="rId78">
        <w:r>
          <w:rPr>
            <w:color w:val="5F6B73"/>
            <w:u w:val="single"/>
            <w:rFonts w:ascii="Lato" w:hAnsi="Lato"/>
          </w:rPr>
          <w:t>https://www.undergraduate.study.cam.ac.uk/apply/before/english-language-requirements</w:t>
        </w:r>
      </w:hyperlink>
    </w:p>
    <w:p>
      <w:pPr>
        <w:pStyle w:val="Source"/>
        <w:spacing w:after="50"/>
      </w:pPr>
      <w:r>
        <w:rPr>
          <w:b/>
        </w:rPr>
        <w:t xml:space="preserve">[U36] University of Cambridge. </w:t>
      </w:r>
      <w:hyperlink r:id="rId79">
        <w:r>
          <w:rPr>
            <w:color w:val="0E7C86"/>
            <w:u w:val="single"/>
            <w:rFonts w:ascii="Lato" w:hAnsi="Lato"/>
          </w:rPr>
          <w:t>Disability, neurodiversity and admissions</w:t>
        </w:r>
      </w:hyperlink>
      <w:r>
        <w:t xml:space="preserve"> — </w:t>
      </w:r>
      <w:hyperlink r:id="rId79">
        <w:r>
          <w:rPr>
            <w:color w:val="5F6B73"/>
            <w:u w:val="single"/>
            <w:rFonts w:ascii="Lato" w:hAnsi="Lato"/>
          </w:rPr>
          <w:t>https://www.undergraduate.study.cam.ac.uk/apply/before/disabled-applicants</w:t>
        </w:r>
      </w:hyperlink>
    </w:p>
    <w:p>
      <w:pPr>
        <w:pStyle w:val="Source"/>
        <w:spacing w:after="50"/>
      </w:pPr>
      <w:r>
        <w:rPr>
          <w:b/>
        </w:rPr>
        <w:t xml:space="preserve">[U37] University of Cambridge. </w:t>
      </w:r>
      <w:hyperlink r:id="rId80">
        <w:r>
          <w:rPr>
            <w:color w:val="0E7C86"/>
            <w:u w:val="single"/>
            <w:rFonts w:ascii="Lato" w:hAnsi="Lato"/>
          </w:rPr>
          <w:t>Fees and funding for international students</w:t>
        </w:r>
      </w:hyperlink>
      <w:r>
        <w:t xml:space="preserve"> — </w:t>
      </w:r>
      <w:hyperlink r:id="rId80">
        <w:r>
          <w:rPr>
            <w:color w:val="5F6B73"/>
            <w:u w:val="single"/>
            <w:rFonts w:ascii="Lato" w:hAnsi="Lato"/>
          </w:rPr>
          <w:t>https://www.undergraduate.study.cam.ac.uk/international-students/fees-and-costs</w:t>
        </w:r>
      </w:hyperlink>
    </w:p>
    <w:p>
      <w:pPr>
        <w:pStyle w:val="Source"/>
        <w:spacing w:after="50"/>
      </w:pPr>
      <w:r>
        <w:rPr>
          <w:b/>
        </w:rPr>
        <w:t xml:space="preserve">[U38] University of Cambridge. </w:t>
      </w:r>
      <w:hyperlink r:id="rId59">
        <w:r>
          <w:rPr>
            <w:color w:val="0E7C86"/>
            <w:u w:val="single"/>
            <w:rFonts w:ascii="Lato" w:hAnsi="Lato"/>
          </w:rPr>
          <w:t>Student conduct, complaints and appeals</w:t>
        </w:r>
      </w:hyperlink>
      <w:r>
        <w:t xml:space="preserve"> — </w:t>
      </w:r>
      <w:hyperlink r:id="rId59">
        <w:r>
          <w:rPr>
            <w:color w:val="5F6B73"/>
            <w:u w:val="single"/>
            <w:rFonts w:ascii="Lato" w:hAnsi="Lato"/>
          </w:rPr>
          <w:t>https://www.studentcomplaints.admin.cam.ac.uk/</w:t>
        </w:r>
      </w:hyperlink>
    </w:p>
    <w:p>
      <w:pPr>
        <w:pStyle w:val="Source"/>
        <w:spacing w:after="50"/>
      </w:pPr>
      <w:r>
        <w:rPr>
          <w:b/>
        </w:rPr>
        <w:t xml:space="preserve">[U39] University of Cambridge. </w:t>
      </w:r>
      <w:hyperlink r:id="rId81">
        <w:r>
          <w:rPr>
            <w:color w:val="0E7C86"/>
            <w:u w:val="single"/>
            <w:rFonts w:ascii="Lato" w:hAnsi="Lato"/>
          </w:rPr>
          <w:t>Class-list publication information</w:t>
        </w:r>
      </w:hyperlink>
      <w:r>
        <w:t xml:space="preserve"> — </w:t>
      </w:r>
      <w:hyperlink r:id="rId81">
        <w:r>
          <w:rPr>
            <w:color w:val="5F6B73"/>
            <w:u w:val="single"/>
            <w:rFonts w:ascii="Lato" w:hAnsi="Lato"/>
          </w:rPr>
          <w:t>https://www.cambridgestudents.cam.ac.uk/your-course/examinations/results-and-class-lists</w:t>
        </w:r>
      </w:hyperlink>
    </w:p>
    <w:p>
      <w:pPr>
        <w:pStyle w:val="Source"/>
        <w:spacing w:after="50"/>
      </w:pPr>
      <w:r>
        <w:rPr>
          <w:b/>
        </w:rPr>
        <w:t xml:space="preserve">[U40] University of Cambridge. </w:t>
      </w:r>
      <w:hyperlink r:id="rId82">
        <w:r>
          <w:rPr>
            <w:color w:val="0E7C86"/>
            <w:u w:val="single"/>
            <w:rFonts w:ascii="Lato" w:hAnsi="Lato"/>
          </w:rPr>
          <w:t>Chaplaincy and faith communities</w:t>
        </w:r>
      </w:hyperlink>
      <w:r>
        <w:t xml:space="preserve"> — </w:t>
      </w:r>
      <w:hyperlink r:id="rId82">
        <w:r>
          <w:rPr>
            <w:color w:val="5F6B73"/>
            <w:u w:val="single"/>
            <w:rFonts w:ascii="Lato" w:hAnsi="Lato"/>
          </w:rPr>
          <w:t>https://www.studentwellbeing.admin.cam.ac.uk/faith-and-religion</w:t>
        </w:r>
      </w:hyperlink>
    </w:p>
    <w:p>
      <w:pPr>
        <w:pStyle w:val="Source"/>
        <w:spacing w:after="50"/>
      </w:pPr>
      <w:r>
        <w:rPr>
          <w:rFonts w:ascii="Lato" w:hAnsi="Lato"/>
          <w:color w:val="5F6B73"/>
          <w:sz w:val="14"/>
        </w:rPr>
        <w:t xml:space="preserve">[SU01] Cambridge Students’ Union. Student Advice Service — </w:t>
      </w:r>
      <w:hyperlink r:id="rId110">
        <w:r>
          <w:rPr>
            <w:color w:val="0E7C86"/>
            <w:u w:val="single"/>
            <w:rFonts w:ascii="Lato" w:hAnsi="Lato"/>
            <w:sz w:val="14"/>
          </w:rPr>
          <w:t>https://www.cambridgesu.co.uk/advice/student-advice-service/</w:t>
        </w:r>
      </w:hyperlink>
    </w:p>
    <w:p>
      <w:pPr>
        <w:pStyle w:val="Source"/>
        <w:spacing w:after="50"/>
      </w:pPr>
      <w:r>
        <w:rPr>
          <w:rFonts w:ascii="Lato" w:hAnsi="Lato"/>
          <w:color w:val="5F6B73"/>
          <w:sz w:val="14"/>
        </w:rPr>
        <w:t xml:space="preserve">[SU02] Cambridge Students’ Union. Forums — </w:t>
      </w:r>
      <w:hyperlink r:id="rId111">
        <w:r>
          <w:rPr>
            <w:color w:val="0E7C86"/>
            <w:u w:val="single"/>
            <w:rFonts w:ascii="Lato" w:hAnsi="Lato"/>
            <w:sz w:val="14"/>
          </w:rPr>
          <w:t>https://www.cambridgesu.co.uk/makeachange/forums/</w:t>
        </w:r>
      </w:hyperlink>
    </w:p>
    <w:p>
      <w:pPr>
        <w:pStyle w:val="Source"/>
        <w:spacing w:after="50"/>
      </w:pPr>
      <w:r>
        <w:rPr>
          <w:rFonts w:ascii="Lato" w:hAnsi="Lato"/>
          <w:color w:val="5F6B73"/>
          <w:sz w:val="14"/>
        </w:rPr>
        <w:t xml:space="preserve">[SU03] Cambridge Students’ Union. Find a Society — </w:t>
      </w:r>
      <w:hyperlink r:id="rId112">
        <w:r>
          <w:rPr>
            <w:color w:val="0E7C86"/>
            <w:u w:val="single"/>
            <w:rFonts w:ascii="Lato" w:hAnsi="Lato"/>
            <w:sz w:val="14"/>
          </w:rPr>
          <w:t>https://www.cambridgesu.co.uk/opportunities/societies/</w:t>
        </w:r>
      </w:hyperlink>
    </w:p>
    <w:p>
      <w:pPr>
        <w:pStyle w:val="Source"/>
        <w:spacing w:after="50"/>
      </w:pPr>
      <w:r>
        <w:rPr>
          <w:rFonts w:ascii="Lato" w:hAnsi="Lato"/>
          <w:color w:val="5F6B73"/>
          <w:sz w:val="14"/>
        </w:rPr>
        <w:t xml:space="preserve">[SU04] Cambridge Students’ Union. Elected officers and staff — </w:t>
      </w:r>
      <w:hyperlink r:id="rId113">
        <w:r>
          <w:rPr>
            <w:color w:val="0E7C86"/>
            <w:u w:val="single"/>
            <w:rFonts w:ascii="Lato" w:hAnsi="Lato"/>
            <w:sz w:val="14"/>
          </w:rPr>
          <w:t>https://www.cambridgesu.co.uk/aboutus/team/</w:t>
        </w:r>
      </w:hyperlink>
    </w:p>
    <w:p>
      <w:pPr>
        <w:pStyle w:val="Source"/>
        <w:spacing w:after="50"/>
      </w:pPr>
      <w:r>
        <w:rPr>
          <w:b/>
        </w:rPr>
        <w:t xml:space="preserve">[G01] GOV.UK. </w:t>
      </w:r>
      <w:hyperlink r:id="rId87">
        <w:r>
          <w:rPr>
            <w:color w:val="0E7C86"/>
            <w:u w:val="single"/>
            <w:rFonts w:ascii="Lato" w:hAnsi="Lato"/>
          </w:rPr>
          <w:t>Student finance and household income</w:t>
        </w:r>
      </w:hyperlink>
      <w:r>
        <w:t xml:space="preserve"> — </w:t>
      </w:r>
      <w:hyperlink r:id="rId87">
        <w:r>
          <w:rPr>
            <w:color w:val="5F6B73"/>
            <w:u w:val="single"/>
            <w:rFonts w:ascii="Lato" w:hAnsi="Lato"/>
          </w:rPr>
          <w:t>https://www.gov.uk/apply-for-student-finance/household-income</w:t>
        </w:r>
      </w:hyperlink>
    </w:p>
    <w:p>
      <w:pPr>
        <w:pStyle w:val="Source"/>
        <w:spacing w:after="50"/>
      </w:pPr>
      <w:r>
        <w:rPr>
          <w:b/>
        </w:rPr>
        <w:t xml:space="preserve">[G02] GOV.UK. </w:t>
      </w:r>
      <w:hyperlink r:id="rId88">
        <w:r>
          <w:rPr>
            <w:color w:val="0E7C86"/>
            <w:u w:val="single"/>
            <w:rFonts w:ascii="Lato" w:hAnsi="Lato"/>
          </w:rPr>
          <w:t>Student finance calculator</w:t>
        </w:r>
      </w:hyperlink>
      <w:r>
        <w:t xml:space="preserve"> — </w:t>
      </w:r>
      <w:hyperlink r:id="rId88">
        <w:r>
          <w:rPr>
            <w:color w:val="5F6B73"/>
            <w:u w:val="single"/>
            <w:rFonts w:ascii="Lato" w:hAnsi="Lato"/>
          </w:rPr>
          <w:t>https://www.gov.uk/student-finance-calculator</w:t>
        </w:r>
      </w:hyperlink>
    </w:p>
    <w:p>
      <w:pPr>
        <w:pStyle w:val="Source"/>
        <w:spacing w:after="50"/>
      </w:pPr>
      <w:r>
        <w:rPr>
          <w:b/>
        </w:rPr>
        <w:t xml:space="preserve">[G03] GOV.UK. </w:t>
      </w:r>
      <w:hyperlink r:id="rId89">
        <w:r>
          <w:rPr>
            <w:color w:val="0E7C86"/>
            <w:u w:val="single"/>
            <w:rFonts w:ascii="Lato" w:hAnsi="Lato"/>
          </w:rPr>
          <w:t>Childcare Grant</w:t>
        </w:r>
      </w:hyperlink>
      <w:r>
        <w:t xml:space="preserve"> — </w:t>
      </w:r>
      <w:hyperlink r:id="rId89">
        <w:r>
          <w:rPr>
            <w:color w:val="5F6B73"/>
            <w:u w:val="single"/>
            <w:rFonts w:ascii="Lato" w:hAnsi="Lato"/>
          </w:rPr>
          <w:t>https://www.gov.uk/childcare-grant</w:t>
        </w:r>
      </w:hyperlink>
    </w:p>
    <w:p>
      <w:pPr>
        <w:pStyle w:val="Source"/>
        <w:spacing w:after="50"/>
      </w:pPr>
      <w:r>
        <w:rPr>
          <w:b/>
        </w:rPr>
        <w:t xml:space="preserve">[G04] GOV.UK. </w:t>
      </w:r>
      <w:hyperlink r:id="rId90">
        <w:r>
          <w:rPr>
            <w:color w:val="0E7C86"/>
            <w:u w:val="single"/>
            <w:rFonts w:ascii="Lato" w:hAnsi="Lato"/>
          </w:rPr>
          <w:t>Disabled Students' Allowance</w:t>
        </w:r>
      </w:hyperlink>
      <w:r>
        <w:t xml:space="preserve"> — </w:t>
      </w:r>
      <w:hyperlink r:id="rId90">
        <w:r>
          <w:rPr>
            <w:color w:val="5F6B73"/>
            <w:u w:val="single"/>
            <w:rFonts w:ascii="Lato" w:hAnsi="Lato"/>
          </w:rPr>
          <w:t>https://www.gov.uk/disabled-students-allowance-dsa</w:t>
        </w:r>
      </w:hyperlink>
    </w:p>
    <w:p>
      <w:pPr>
        <w:pStyle w:val="Source"/>
        <w:spacing w:after="50"/>
      </w:pPr>
      <w:r>
        <w:rPr>
          <w:b/>
        </w:rPr>
        <w:t xml:space="preserve">[G05] GOV.UK. </w:t>
      </w:r>
      <w:hyperlink r:id="rId91">
        <w:r>
          <w:rPr>
            <w:color w:val="0E7C86"/>
            <w:u w:val="single"/>
            <w:rFonts w:ascii="Lato" w:hAnsi="Lato"/>
          </w:rPr>
          <w:t>Council Tax: students</w:t>
        </w:r>
      </w:hyperlink>
      <w:r>
        <w:t xml:space="preserve"> — </w:t>
      </w:r>
      <w:hyperlink r:id="rId91">
        <w:r>
          <w:rPr>
            <w:color w:val="5F6B73"/>
            <w:u w:val="single"/>
            <w:rFonts w:ascii="Lato" w:hAnsi="Lato"/>
          </w:rPr>
          <w:t>https://www.gov.uk/council-tax/discounts-for-full-time-students</w:t>
        </w:r>
      </w:hyperlink>
    </w:p>
    <w:p>
      <w:pPr>
        <w:pStyle w:val="Source"/>
        <w:spacing w:after="50"/>
      </w:pPr>
      <w:r>
        <w:rPr>
          <w:b/>
        </w:rPr>
        <w:t xml:space="preserve">[L01] Cambridgeshire County Council. </w:t>
      </w:r>
      <w:hyperlink r:id="rId92">
        <w:r>
          <w:rPr>
            <w:color w:val="0E7C86"/>
            <w:u w:val="single"/>
            <w:rFonts w:ascii="Lato" w:hAnsi="Lato"/>
          </w:rPr>
          <w:t>Apply for a school place</w:t>
        </w:r>
      </w:hyperlink>
      <w:r>
        <w:t xml:space="preserve"> — </w:t>
      </w:r>
      <w:hyperlink r:id="rId92">
        <w:r>
          <w:rPr>
            <w:color w:val="5F6B73"/>
            <w:u w:val="single"/>
            <w:rFonts w:ascii="Lato" w:hAnsi="Lato"/>
          </w:rPr>
          <w:t>https://www.cambridgeshire.gov.uk/residents/children-and-families/schools-learning/apply-for-a-school-place</w:t>
        </w:r>
      </w:hyperlink>
    </w:p>
    <w:p>
      <w:pPr>
        <w:pStyle w:val="Source"/>
        <w:spacing w:after="50"/>
      </w:pPr>
      <w:r>
        <w:rPr>
          <w:b/>
        </w:rPr>
        <w:t xml:space="preserve">[L02] Cambridge City Council. </w:t>
      </w:r>
      <w:hyperlink r:id="rId93">
        <w:r>
          <w:rPr>
            <w:color w:val="0E7C86"/>
            <w:u w:val="single"/>
            <w:rFonts w:ascii="Lato" w:hAnsi="Lato"/>
          </w:rPr>
          <w:t>Council Tax discounts for students</w:t>
        </w:r>
      </w:hyperlink>
      <w:r>
        <w:t xml:space="preserve"> — </w:t>
      </w:r>
      <w:hyperlink r:id="rId93">
        <w:r>
          <w:rPr>
            <w:color w:val="5F6B73"/>
            <w:u w:val="single"/>
            <w:rFonts w:ascii="Lato" w:hAnsi="Lato"/>
          </w:rPr>
          <w:t>https://www.cambridge.gov.uk/discounts-for-students-and-school-leavers</w:t>
        </w:r>
      </w:hyperlink>
    </w:p>
    <w:p>
      <w:pPr>
        <w:pStyle w:val="Source"/>
        <w:spacing w:after="50"/>
      </w:pPr>
      <w:r>
        <w:rPr>
          <w:b/>
        </w:rPr>
        <w:t xml:space="preserve">[L03] Cambridge City Council. </w:t>
      </w:r>
      <w:hyperlink r:id="rId94">
        <w:r>
          <w:rPr>
            <w:color w:val="0E7C86"/>
            <w:u w:val="single"/>
            <w:rFonts w:ascii="Lato" w:hAnsi="Lato"/>
          </w:rPr>
          <w:t>Cambridge markets</w:t>
        </w:r>
      </w:hyperlink>
      <w:r>
        <w:t xml:space="preserve"> — </w:t>
      </w:r>
      <w:hyperlink r:id="rId94">
        <w:r>
          <w:rPr>
            <w:color w:val="5F6B73"/>
            <w:u w:val="single"/>
            <w:rFonts w:ascii="Lato" w:hAnsi="Lato"/>
          </w:rPr>
          <w:t>https://www.cambridge.gov.uk/markets</w:t>
        </w:r>
      </w:hyperlink>
    </w:p>
    <w:p>
      <w:pPr>
        <w:pStyle w:val="Source"/>
        <w:spacing w:after="50"/>
      </w:pPr>
      <w:r>
        <w:rPr>
          <w:b/>
        </w:rPr>
        <w:t xml:space="preserve">[L04] Cambridge City Council. </w:t>
      </w:r>
      <w:hyperlink r:id="rId95">
        <w:r>
          <w:rPr>
            <w:color w:val="0E7C86"/>
            <w:u w:val="single"/>
            <w:rFonts w:ascii="Lato" w:hAnsi="Lato"/>
          </w:rPr>
          <w:t>Jesus Green Lido</w:t>
        </w:r>
      </w:hyperlink>
      <w:r>
        <w:t xml:space="preserve"> — </w:t>
      </w:r>
      <w:hyperlink r:id="rId95">
        <w:r>
          <w:rPr>
            <w:color w:val="5F6B73"/>
            <w:u w:val="single"/>
            <w:rFonts w:ascii="Lato" w:hAnsi="Lato"/>
          </w:rPr>
          <w:t>https://www.cambridge.gov.uk/jesus-green-lido</w:t>
        </w:r>
      </w:hyperlink>
    </w:p>
    <w:p>
      <w:pPr>
        <w:pStyle w:val="Source"/>
        <w:spacing w:after="50"/>
      </w:pPr>
      <w:r>
        <w:rPr>
          <w:b/>
        </w:rPr>
        <w:t xml:space="preserve">[N01] NHS. </w:t>
      </w:r>
      <w:hyperlink r:id="rId96">
        <w:r>
          <w:rPr>
            <w:color w:val="0E7C86"/>
            <w:u w:val="single"/>
            <w:rFonts w:ascii="Lato" w:hAnsi="Lato"/>
          </w:rPr>
          <w:t>When to use NHS 111</w:t>
        </w:r>
      </w:hyperlink>
      <w:r>
        <w:t xml:space="preserve"> — </w:t>
      </w:r>
      <w:hyperlink r:id="rId96">
        <w:r>
          <w:rPr>
            <w:color w:val="5F6B73"/>
            <w:u w:val="single"/>
            <w:rFonts w:ascii="Lato" w:hAnsi="Lato"/>
          </w:rPr>
          <w:t>https://www.nhs.uk/nhs-services/urgent-and-emergency-care-services/when-to-use-111/</w:t>
        </w:r>
      </w:hyperlink>
    </w:p>
    <w:p>
      <w:pPr>
        <w:pStyle w:val="Source"/>
        <w:spacing w:after="50"/>
      </w:pPr>
      <w:r>
        <w:rPr>
          <w:b/>
        </w:rPr>
        <w:t xml:space="preserve">[N02] Samaritans. </w:t>
      </w:r>
      <w:hyperlink r:id="rId97">
        <w:r>
          <w:rPr>
            <w:color w:val="0E7C86"/>
            <w:u w:val="single"/>
            <w:rFonts w:ascii="Lato" w:hAnsi="Lato"/>
          </w:rPr>
          <w:t>Contact Samaritans</w:t>
        </w:r>
      </w:hyperlink>
      <w:r>
        <w:t xml:space="preserve"> — </w:t>
      </w:r>
      <w:hyperlink r:id="rId97">
        <w:r>
          <w:rPr>
            <w:color w:val="5F6B73"/>
            <w:u w:val="single"/>
            <w:rFonts w:ascii="Lato" w:hAnsi="Lato"/>
          </w:rPr>
          <w:t>https://www.samaritans.org/how-we-can-help/contact-samaritan/</w:t>
        </w:r>
      </w:hyperlink>
    </w:p>
    <w:p>
      <w:pPr>
        <w:pStyle w:val="Source"/>
        <w:spacing w:after="50"/>
      </w:pPr>
      <w:r>
        <w:rPr>
          <w:b/>
        </w:rPr>
        <w:t xml:space="preserve">[N03] NHS. </w:t>
      </w:r>
      <w:hyperlink r:id="rId98">
        <w:r>
          <w:rPr>
            <w:color w:val="0E7C86"/>
            <w:u w:val="single"/>
            <w:rFonts w:ascii="Lato" w:hAnsi="Lato"/>
          </w:rPr>
          <w:t>Find a GP</w:t>
        </w:r>
      </w:hyperlink>
      <w:r>
        <w:t xml:space="preserve"> — </w:t>
      </w:r>
      <w:hyperlink r:id="rId98">
        <w:r>
          <w:rPr>
            <w:color w:val="5F6B73"/>
            <w:u w:val="single"/>
            <w:rFonts w:ascii="Lato" w:hAnsi="Lato"/>
          </w:rPr>
          <w:t>https://www.nhs.uk/service-search/find-a-gp</w:t>
        </w:r>
      </w:hyperlink>
    </w:p>
    <w:p>
      <w:pPr>
        <w:pStyle w:val="Source"/>
        <w:spacing w:after="50"/>
      </w:pPr>
      <w:r>
        <w:rPr>
          <w:b/>
        </w:rPr>
        <w:t xml:space="preserve">[E01] Cambridge May Balls. </w:t>
      </w:r>
      <w:hyperlink r:id="rId99">
        <w:r>
          <w:rPr>
            <w:color w:val="0E7C86"/>
            <w:u w:val="single"/>
            <w:rFonts w:ascii="Lato" w:hAnsi="Lato"/>
          </w:rPr>
          <w:t>2026 May Week event listings</w:t>
        </w:r>
      </w:hyperlink>
      <w:r>
        <w:t xml:space="preserve"> — </w:t>
      </w:r>
      <w:hyperlink r:id="rId99">
        <w:r>
          <w:rPr>
            <w:color w:val="5F6B73"/>
            <w:u w:val="single"/>
            <w:rFonts w:ascii="Lato" w:hAnsi="Lato"/>
          </w:rPr>
          <w:t>https://www.mayball.info/</w:t>
        </w:r>
      </w:hyperlink>
    </w:p>
    <w:p>
      <w:pPr>
        <w:pStyle w:val="Source"/>
        <w:spacing w:after="50"/>
      </w:pPr>
      <w:r>
        <w:rPr>
          <w:b/>
        </w:rPr>
        <w:t xml:space="preserve">[E02] Cambridge May Balls. </w:t>
      </w:r>
      <w:hyperlink r:id="rId100">
        <w:r>
          <w:rPr>
            <w:color w:val="0E7C86"/>
            <w:u w:val="single"/>
            <w:rFonts w:ascii="Lato" w:hAnsi="Lato"/>
          </w:rPr>
          <w:t>2025 event archive</w:t>
        </w:r>
      </w:hyperlink>
      <w:r>
        <w:t xml:space="preserve"> — </w:t>
      </w:r>
      <w:hyperlink r:id="rId100">
        <w:r>
          <w:rPr>
            <w:color w:val="5F6B73"/>
            <w:u w:val="single"/>
            <w:rFonts w:ascii="Lato" w:hAnsi="Lato"/>
          </w:rPr>
          <w:t>https://www.mayball.info/previous-years/2025.html</w:t>
        </w:r>
      </w:hyperlink>
    </w:p>
    <w:p>
      <w:pPr>
        <w:pStyle w:val="Source"/>
        <w:spacing w:after="50"/>
      </w:pPr>
      <w:r>
        <w:rPr>
          <w:b/>
        </w:rPr>
        <w:t xml:space="preserve">[E03] Trinity May Ball. </w:t>
      </w:r>
      <w:hyperlink r:id="rId101">
        <w:r>
          <w:rPr>
            <w:color w:val="0E7C86"/>
            <w:u w:val="single"/>
            <w:rFonts w:ascii="Lato" w:hAnsi="Lato"/>
          </w:rPr>
          <w:t>2026 ticket terms, prices and dress code</w:t>
        </w:r>
      </w:hyperlink>
      <w:r>
        <w:t xml:space="preserve"> — </w:t>
      </w:r>
      <w:hyperlink r:id="rId101">
        <w:r>
          <w:rPr>
            <w:color w:val="5F6B73"/>
            <w:u w:val="single"/>
            <w:rFonts w:ascii="Lato" w:hAnsi="Lato"/>
          </w:rPr>
          <w:t>https://www.trinityball.co.uk/terms/</w:t>
        </w:r>
      </w:hyperlink>
    </w:p>
    <w:p>
      <w:pPr>
        <w:pStyle w:val="Source"/>
        <w:spacing w:after="50"/>
      </w:pPr>
      <w:r>
        <w:rPr>
          <w:b/>
        </w:rPr>
        <w:t xml:space="preserve">[E04] Cambridge University Combined Boat Clubs. </w:t>
      </w:r>
      <w:hyperlink r:id="rId102">
        <w:r>
          <w:rPr>
            <w:color w:val="0E7C86"/>
            <w:u w:val="single"/>
            <w:rFonts w:ascii="Lato" w:hAnsi="Lato"/>
          </w:rPr>
          <w:t>Bumps guide</w:t>
        </w:r>
      </w:hyperlink>
      <w:r>
        <w:t xml:space="preserve"> — </w:t>
      </w:r>
      <w:hyperlink r:id="rId102">
        <w:r>
          <w:rPr>
            <w:color w:val="5F6B73"/>
            <w:u w:val="single"/>
            <w:rFonts w:ascii="Lato" w:hAnsi="Lato"/>
          </w:rPr>
          <w:t>https://www.cucbc.org/bumps</w:t>
        </w:r>
      </w:hyperlink>
    </w:p>
    <w:p>
      <w:pPr>
        <w:pStyle w:val="Source"/>
        <w:spacing w:after="50"/>
      </w:pPr>
      <w:r>
        <w:rPr>
          <w:b/>
        </w:rPr>
        <w:t xml:space="preserve">[H01] Girton College. </w:t>
      </w:r>
      <w:hyperlink r:id="rId103">
        <w:r>
          <w:rPr>
            <w:color w:val="0E7C86"/>
            <w:u w:val="single"/>
            <w:rFonts w:ascii="Lato" w:hAnsi="Lato"/>
          </w:rPr>
          <w:t>History of Girton</w:t>
        </w:r>
      </w:hyperlink>
      <w:r>
        <w:t xml:space="preserve"> — </w:t>
      </w:r>
      <w:hyperlink r:id="rId103">
        <w:r>
          <w:rPr>
            <w:color w:val="5F6B73"/>
            <w:u w:val="single"/>
            <w:rFonts w:ascii="Lato" w:hAnsi="Lato"/>
          </w:rPr>
          <w:t>https://www.girton.cam.ac.uk/about-girton/history</w:t>
        </w:r>
      </w:hyperlink>
    </w:p>
    <w:p>
      <w:pPr>
        <w:pStyle w:val="Source"/>
        <w:spacing w:after="50"/>
      </w:pPr>
      <w:r>
        <w:rPr>
          <w:b/>
        </w:rPr>
        <w:t xml:space="preserve">[H02] Newnham College. </w:t>
      </w:r>
      <w:hyperlink r:id="rId104">
        <w:r>
          <w:rPr>
            <w:color w:val="0E7C86"/>
            <w:u w:val="single"/>
            <w:rFonts w:ascii="Lato" w:hAnsi="Lato"/>
          </w:rPr>
          <w:t>History of Newnham</w:t>
        </w:r>
      </w:hyperlink>
      <w:r>
        <w:t xml:space="preserve"> — </w:t>
      </w:r>
      <w:hyperlink r:id="rId104">
        <w:r>
          <w:rPr>
            <w:color w:val="5F6B73"/>
            <w:u w:val="single"/>
            <w:rFonts w:ascii="Lato" w:hAnsi="Lato"/>
          </w:rPr>
          <w:t>https://newn.cam.ac.uk/about/history/</w:t>
        </w:r>
      </w:hyperlink>
    </w:p>
    <w:p>
      <w:pPr>
        <w:pStyle w:val="Source"/>
        <w:spacing w:after="50"/>
      </w:pPr>
      <w:r>
        <w:rPr>
          <w:b/>
        </w:rPr>
        <w:t xml:space="preserve">[C01] Christ's College. </w:t>
      </w:r>
      <w:hyperlink r:id="rId105">
        <w:r>
          <w:rPr>
            <w:color w:val="0E7C86"/>
            <w:u w:val="single"/>
            <w:rFonts w:ascii="Lato" w:hAnsi="Lato"/>
          </w:rPr>
          <w:t>Meals and Formal Hall</w:t>
        </w:r>
      </w:hyperlink>
      <w:r>
        <w:t xml:space="preserve"> — </w:t>
      </w:r>
      <w:hyperlink r:id="rId105">
        <w:r>
          <w:rPr>
            <w:color w:val="5F6B73"/>
            <w:u w:val="single"/>
            <w:rFonts w:ascii="Lato" w:hAnsi="Lato"/>
          </w:rPr>
          <w:t>https://www.christs.cam.ac.uk/student-life/meals</w:t>
        </w:r>
      </w:hyperlink>
    </w:p>
    <w:p>
      <w:pPr>
        <w:pStyle w:val="Source"/>
        <w:spacing w:after="50"/>
      </w:pPr>
      <w:r>
        <w:rPr>
          <w:b/>
        </w:rPr>
        <w:t xml:space="preserve">[C02] Churchill College. </w:t>
      </w:r>
      <w:hyperlink r:id="rId106">
        <w:r>
          <w:rPr>
            <w:color w:val="0E7C86"/>
            <w:u w:val="single"/>
            <w:rFonts w:ascii="Lato" w:hAnsi="Lato"/>
          </w:rPr>
          <w:t>Campus, dining and accommodation</w:t>
        </w:r>
      </w:hyperlink>
      <w:r>
        <w:t xml:space="preserve"> — </w:t>
      </w:r>
      <w:hyperlink r:id="rId106">
        <w:r>
          <w:rPr>
            <w:color w:val="5F6B73"/>
            <w:u w:val="single"/>
            <w:rFonts w:ascii="Lato" w:hAnsi="Lato"/>
          </w:rPr>
          <w:t>https://www.chu.cam.ac.uk/about/campus/</w:t>
        </w:r>
      </w:hyperlink>
    </w:p>
    <w:p>
      <w:pPr>
        <w:pStyle w:val="Source"/>
        <w:spacing w:after="50"/>
      </w:pPr>
      <w:r>
        <w:rPr>
          <w:b/>
        </w:rPr>
        <w:t xml:space="preserve">[C03] Clare College. </w:t>
      </w:r>
      <w:hyperlink r:id="rId107">
        <w:r>
          <w:rPr>
            <w:color w:val="0E7C86"/>
            <w:u w:val="single"/>
            <w:rFonts w:ascii="Lato" w:hAnsi="Lato"/>
          </w:rPr>
          <w:t>Dining and catering</w:t>
        </w:r>
      </w:hyperlink>
      <w:r>
        <w:t xml:space="preserve"> — </w:t>
      </w:r>
      <w:hyperlink r:id="rId107">
        <w:r>
          <w:rPr>
            <w:color w:val="5F6B73"/>
            <w:u w:val="single"/>
            <w:rFonts w:ascii="Lato" w:hAnsi="Lato"/>
          </w:rPr>
          <w:t>https://www.clare.cam.ac.uk/admissions-outreach/undergraduate-study/life-clare/dining-and-catering</w:t>
        </w:r>
      </w:hyperlink>
    </w:p>
    <w:p>
      <w:pPr>
        <w:pStyle w:val="Source"/>
        <w:spacing w:after="50"/>
      </w:pPr>
      <w:r>
        <w:rPr>
          <w:b/>
        </w:rPr>
        <w:t xml:space="preserve">[C04] Fitzwilliam College. </w:t>
      </w:r>
      <w:hyperlink r:id="rId108">
        <w:r>
          <w:rPr>
            <w:color w:val="0E7C86"/>
            <w:u w:val="single"/>
            <w:rFonts w:ascii="Lato" w:hAnsi="Lato"/>
          </w:rPr>
          <w:t>Cafe, bar and buttery</w:t>
        </w:r>
      </w:hyperlink>
      <w:r>
        <w:t xml:space="preserve"> — </w:t>
      </w:r>
      <w:hyperlink r:id="rId108">
        <w:r>
          <w:rPr>
            <w:color w:val="5F6B73"/>
            <w:u w:val="single"/>
            <w:rFonts w:ascii="Lato" w:hAnsi="Lato"/>
          </w:rPr>
          <w:t>https://www.fitz.cam.ac.uk/cafe-bar-and-buttery</w:t>
        </w:r>
      </w:hyperlink>
    </w:p>
    <w:p>
      <w:pPr>
        <w:pStyle w:val="Source"/>
        <w:spacing w:after="50"/>
      </w:pPr>
      <w:r>
        <w:rPr>
          <w:b/>
        </w:rPr>
        <w:t xml:space="preserve">[C05] Emmanuel College. </w:t>
      </w:r>
      <w:hyperlink r:id="rId109">
        <w:r>
          <w:rPr>
            <w:color w:val="0E7C86"/>
            <w:u w:val="single"/>
            <w:rFonts w:ascii="Lato" w:hAnsi="Lato"/>
          </w:rPr>
          <w:t>Student life</w:t>
        </w:r>
      </w:hyperlink>
      <w:r>
        <w:t xml:space="preserve"> — </w:t>
      </w:r>
      <w:hyperlink r:id="rId109">
        <w:r>
          <w:rPr>
            <w:color w:val="5F6B73"/>
            <w:u w:val="single"/>
            <w:rFonts w:ascii="Lato" w:hAnsi="Lato"/>
          </w:rPr>
          <w:t>https://www.emma.cam.ac.uk/explore/life</w:t>
        </w:r>
      </w:hyperlink>
    </w:p>
    <w:p>
      <w:pPr>
        <w:pStyle w:val="Source"/>
      </w:pPr>
      <w:r>
        <w:rPr>
          <w:rFonts w:ascii="Lato" w:hAnsi="Lato"/>
          <w:color w:val="5F6B73"/>
          <w:sz w:val="14"/>
        </w:rPr>
        <w:t xml:space="preserve">[U41] University of Cambridge. Cambridge Bursary — What you could get — </w:t>
      </w:r>
      <w:hyperlink r:id="rId114">
        <w:r>
          <w:rPr>
            <w:color w:val="0E7C86"/>
            <w:u w:val="single"/>
            <w:rFonts w:ascii="Lato" w:hAnsi="Lato"/>
            <w:sz w:val="14"/>
          </w:rPr>
          <w:t>https://www.cambridgestudents.cam.ac.uk/fees-and-funding/cambridge-bursary-scheme/what-you-could-get</w:t>
        </w:r>
      </w:hyperlink>
    </w:p>
    <w:p>
      <w:pPr>
        <w:pStyle w:val="Source"/>
      </w:pPr>
      <w:r>
        <w:rPr>
          <w:rFonts w:ascii="Lato" w:hAnsi="Lato"/>
          <w:color w:val="5F6B73"/>
          <w:sz w:val="14"/>
        </w:rPr>
        <w:t xml:space="preserve">[U42] University of Cambridge. Life as a mature undergraduate at Cambridge — </w:t>
      </w:r>
      <w:hyperlink r:id="rId115">
        <w:r>
          <w:rPr>
            <w:color w:val="0E7C86"/>
            <w:u w:val="single"/>
            <w:rFonts w:ascii="Lato" w:hAnsi="Lato"/>
            <w:sz w:val="14"/>
          </w:rPr>
          <w:t>https://www.undergraduate.study.cam.ac.uk/life-mature-undergraduate-cambridge</w:t>
        </w:r>
      </w:hyperlink>
    </w:p>
    <w:p>
      <w:pPr>
        <w:pStyle w:val="Source"/>
      </w:pPr>
      <w:r>
        <w:rPr>
          <w:rFonts w:ascii="Lato" w:hAnsi="Lato"/>
          <w:color w:val="5F6B73"/>
          <w:sz w:val="14"/>
        </w:rPr>
        <w:t xml:space="preserve">[G06] GOV.UK. Student finance for new full-time undergraduates, 2026–27 rates — </w:t>
      </w:r>
      <w:hyperlink r:id="rId116">
        <w:r>
          <w:rPr>
            <w:color w:val="0E7C86"/>
            <w:u w:val="single"/>
            <w:rFonts w:ascii="Lato" w:hAnsi="Lato"/>
            <w:sz w:val="14"/>
          </w:rPr>
          <w:t>https://www.gov.uk/student-finance/new-fulltime-students</w:t>
        </w:r>
      </w:hyperlink>
    </w:p>
    <w:p>
      <w:pPr>
        <w:pStyle w:val="Source"/>
      </w:pPr>
      <w:r>
        <w:rPr>
          <w:rFonts w:ascii="Lato" w:hAnsi="Lato"/>
          <w:color w:val="5F6B73"/>
          <w:sz w:val="14"/>
        </w:rPr>
        <w:t xml:space="preserve">[G07] GOV.UK. Childcare Grant — What you will get — </w:t>
      </w:r>
      <w:hyperlink r:id="rId117">
        <w:r>
          <w:rPr>
            <w:color w:val="0E7C86"/>
            <w:u w:val="single"/>
            <w:rFonts w:ascii="Lato" w:hAnsi="Lato"/>
            <w:sz w:val="14"/>
          </w:rPr>
          <w:t>https://www.gov.uk/childcare-grant/what-youll-get</w:t>
        </w:r>
      </w:hyperlink>
    </w:p>
    <w:p>
      <w:pPr>
        <w:pStyle w:val="Source"/>
      </w:pPr>
      <w:r>
        <w:rPr>
          <w:rFonts w:ascii="Lato" w:hAnsi="Lato"/>
          <w:color w:val="5F6B73"/>
          <w:sz w:val="14"/>
        </w:rPr>
        <w:t xml:space="preserve">[R01] The Times. Cambridge teaching-review reporting: rankings, overwork and teaching-hour reforms (10 April 2025) — </w:t>
      </w:r>
      <w:hyperlink r:id="rId118">
        <w:r>
          <w:rPr>
            <w:color w:val="0E7C86"/>
            <w:u w:val="single"/>
            <w:rFonts w:ascii="Lato" w:hAnsi="Lato"/>
            <w:sz w:val="14"/>
          </w:rPr>
          <w:t>https://www.thetimes.co.uk/article/cambridge-to-stop-telling-students-exam-rankings-to-reduce-stress-00xnqjzmv</w:t>
        </w:r>
      </w:hyperlink>
    </w:p>
    <w:p>
      <w:pPr>
        <w:pStyle w:val="Heading1"/>
        <w:keepNext/>
      </w:pPr>
      <w:r>
        <w:t>End note</w:t>
      </w:r>
    </w:p>
    <w:tbl>
      <w:tblPr>
        <w:tblW w:type="dxa" w:w="10037"/>
        <w:jc w:val="center"/>
        <w:tblLayout w:type="fixed"/>
        <w:tblLook w:firstColumn="1" w:firstRow="1" w:lastColumn="0" w:lastRow="0" w:noHBand="0" w:noVBand="1" w:val="04A0"/>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59"/>
        <w:gridCol w:w="9877"/>
      </w:tblGrid>
      <w:tr>
        <w:trPr>
          <w:cantSplit w:val="true"/>
        </w:trPr>
        <w:tc>
          <w:tcPr>
            <w:tcW w:type="dxa" w:w="158"/>
            <w:tcMar>
              <w:top w:w="80" w:type="dxa"/>
              <w:start w:w="100" w:type="dxa"/>
              <w:bottom w:w="80" w:type="dxa"/>
              <w:end w:w="100" w:type="dxa"/>
            </w:tcMar>
            <w:shd w:fill="D8A735"/>
          </w:tcPr>
          <w:p/>
        </w:tc>
        <w:tc>
          <w:tcPr>
            <w:tcW w:type="dxa" w:w="9878"/>
            <w:tcMar>
              <w:top w:w="80" w:type="dxa"/>
              <w:start w:w="100" w:type="dxa"/>
              <w:bottom w:w="80" w:type="dxa"/>
              <w:end w:w="100" w:type="dxa"/>
            </w:tcMar>
            <w:shd w:fill="F7F3EA"/>
            <w:vAlign w:val="center"/>
          </w:tcPr>
          <w:p>
            <w:pPr>
              <w:pStyle w:val="BoxHeading"/>
            </w:pPr>
            <w:r>
              <w:t>THE ONE-SENTENCE SURVIVAL RULE</w:t>
            </w:r>
          </w:p>
          <w:p>
            <w:pPr>
              <w:spacing w:after="0"/>
            </w:pPr>
            <w:r>
              <w:t>When something matters, identify whether it belongs to the University, Faculty/course, College or an external body; ask the named person for a specific action by a specific date; keep the answer.</w:t>
            </w:r>
          </w:p>
        </w:tc>
      </w:tr>
    </w:tbl>
    <w:p>
      <w:pPr>
        <w:spacing w:after="20"/>
      </w:pPr>
    </w:p>
    <w:p>
      <w:pPr>
        <w:pStyle w:val="Caption"/>
        <w:jc w:val="center"/>
      </w:pPr>
      <w:r>
        <w:t>Information last checked: 12 July 2026.</w:t>
      </w:r>
    </w:p>
    <w:sectPr>
      <w:headerReference w:type="default" r:id="rId13"/>
      <w:footerReference w:type="default" r:id="rId14"/>
      <w:pgSz w:w="11906" w:h="16838"/>
      <w:pgMar w:top="822" w:right="935" w:bottom="822" w:left="935"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F6B73"/>
        <w:sz w:val="14"/>
      </w:rPr>
      <w:t xml:space="preserve">Unofficial Guide  |  </w:t>
    </w:r>
    <w:r>
      <w:fldChar w:fldCharType="begin"/>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F6B73"/>
        <w:sz w:val="14"/>
      </w:rPr>
      <w:t xml:space="preserve">Unofficial Guide  |  </w:t>
    </w:r>
    <w:r>
      <w:fldChar w:fldCharType="begin"/>
    </w:r>
    <w:r>
      <w:instrText xml:space="preserve">PAGE</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F6B73"/>
        <w:sz w:val="14"/>
      </w:rPr>
      <w:t xml:space="preserve">Unofficial Guide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E7C86"/>
        <w:sz w:val="14"/>
      </w:rPr>
      <w:t>CAMBRIDGE AS A MATURE STUDENT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E7C86"/>
        <w:sz w:val="14"/>
      </w:rPr>
      <w:t>CAMBRIDGE AS A MATURE STUDENT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E7C86"/>
        <w:sz w:val="14"/>
      </w:rPr>
      <w:t>CAMBRIDGE AS A MATURE STUDENT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4" w:line="259" w:lineRule="auto"/>
    </w:pPr>
    <w:rPr>
      <w:rFonts w:ascii="Lato" w:hAnsi="Lato"/>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ato" w:hAnsi="Lato"/>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ato" w:hAnsi="Lato"/>
      <w:b/>
      <w:bCs/>
      <w:color w:val="0E7C86"/>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ato" w:hAnsi="Lato"/>
      <w:b/>
      <w:bCs/>
      <w:i/>
      <w:iCs/>
      <w:color w:val="5F6B73"/>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Lato" w:hAnsi="Lato"/>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ato" w:hAnsi="Lato"/>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rFonts w:ascii="Lato" w:hAnsi="Lato"/>
      <w:b/>
      <w:bCs/>
      <w:i/>
      <w:color w:val="5F6B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Lato" w:hAnsi="Lato"/>
      <w:i w:val="0"/>
      <w:color w:val="5F6B73"/>
      <w:sz w:val="15"/>
    </w:rPr>
  </w:style>
  <w:style w:type="paragraph" w:customStyle="1" w:styleId="Source">
    <w:name w:val="Source"/>
    <w:pPr>
      <w:spacing w:after="40"/>
    </w:pPr>
    <w:rPr>
      <w:rFonts w:ascii="Lato" w:hAnsi="Lato"/>
      <w:i w:val="0"/>
      <w:color w:val="5F6B73"/>
      <w:sz w:val="14"/>
    </w:rPr>
  </w:style>
  <w:style w:type="paragraph" w:customStyle="1" w:styleId="BoxHeading">
    <w:name w:val="Box Heading"/>
    <w:pPr>
      <w:spacing w:after="40"/>
    </w:pPr>
    <w:rPr>
      <w:rFonts w:ascii="Lato" w:hAnsi="Lato"/>
      <w:b/>
      <w:color w:val="17324D"/>
      <w:sz w:val="18"/>
    </w:rPr>
  </w:style>
  <w:style w:type="paragraph" w:customStyle="1" w:styleId="TableText">
    <w:name w:val="Table Text"/>
    <w:pPr>
      <w:spacing w:after="0" w:line="240" w:lineRule="auto"/>
    </w:pPr>
    <w:rPr>
      <w:rFonts w:ascii="Lato" w:hAnsi="Lato"/>
      <w:sz w:val="15"/>
    </w:rPr>
  </w:style>
  <w:style w:type="paragraph" w:customStyle="1" w:styleId="TableSmall">
    <w:name w:val="Table Small"/>
    <w:pPr>
      <w:spacing w:after="0" w:line="235" w:lineRule="auto"/>
    </w:pPr>
    <w:rPr>
      <w:rFonts w:ascii="Lato" w:hAnsi="Lato"/>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eader" Target="header2.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yperlink" Target="https://www.christs.cam.ac.uk/" TargetMode="External" /><Relationship Id="rId16" Type="http://schemas.openxmlformats.org/officeDocument/2006/relationships/hyperlink" Target="https://www.chu.cam.ac.uk/" TargetMode="External" /><Relationship Id="rId17" Type="http://schemas.openxmlformats.org/officeDocument/2006/relationships/hyperlink" Target="https://www.clare.cam.ac.uk/" TargetMode="External" /><Relationship Id="rId18" Type="http://schemas.openxmlformats.org/officeDocument/2006/relationships/hyperlink" Target="https://www.corpus.cam.ac.uk/" TargetMode="External" /><Relationship Id="rId19" Type="http://schemas.openxmlformats.org/officeDocument/2006/relationships/hyperlink" Target="https://www.dow.cam.ac.uk/" TargetMode="External" /><Relationship Id="rId20" Type="http://schemas.openxmlformats.org/officeDocument/2006/relationships/hyperlink" Target="https://www.emma.cam.ac.uk/" TargetMode="External" /><Relationship Id="rId21" Type="http://schemas.openxmlformats.org/officeDocument/2006/relationships/hyperlink" Target="https://www.fitz.cam.ac.uk/" TargetMode="External" /><Relationship Id="rId22" Type="http://schemas.openxmlformats.org/officeDocument/2006/relationships/hyperlink" Target="https://www.girton.cam.ac.uk/" TargetMode="External" /><Relationship Id="rId23" Type="http://schemas.openxmlformats.org/officeDocument/2006/relationships/hyperlink" Target="https://www.cai.cam.ac.uk/" TargetMode="External" /><Relationship Id="rId24" Type="http://schemas.openxmlformats.org/officeDocument/2006/relationships/hyperlink" Target="https://www.homerton.cam.ac.uk/" TargetMode="External" /><Relationship Id="rId25" Type="http://schemas.openxmlformats.org/officeDocument/2006/relationships/hyperlink" Target="https://www.hughes.cam.ac.uk/" TargetMode="External" /><Relationship Id="rId26" Type="http://schemas.openxmlformats.org/officeDocument/2006/relationships/hyperlink" Target="https://www.jesus.cam.ac.uk/" TargetMode="External" /><Relationship Id="rId27" Type="http://schemas.openxmlformats.org/officeDocument/2006/relationships/hyperlink" Target="https://www.kings.cam.ac.uk/" TargetMode="External" /><Relationship Id="rId28" Type="http://schemas.openxmlformats.org/officeDocument/2006/relationships/hyperlink" Target="https://www.lucy.cam.ac.uk/" TargetMode="External" /><Relationship Id="rId29" Type="http://schemas.openxmlformats.org/officeDocument/2006/relationships/hyperlink" Target="https://www.magd.cam.ac.uk/" TargetMode="External" /><Relationship Id="rId30" Type="http://schemas.openxmlformats.org/officeDocument/2006/relationships/hyperlink" Target="https://www.murrayedwards.cam.ac.uk/" TargetMode="External" /><Relationship Id="rId31" Type="http://schemas.openxmlformats.org/officeDocument/2006/relationships/hyperlink" Target="https://www.newn.cam.ac.uk/" TargetMode="External" /><Relationship Id="rId32" Type="http://schemas.openxmlformats.org/officeDocument/2006/relationships/hyperlink" Target="https://www.pem.cam.ac.uk/" TargetMode="External" /><Relationship Id="rId33" Type="http://schemas.openxmlformats.org/officeDocument/2006/relationships/hyperlink" Target="https://www.pet.cam.ac.uk/" TargetMode="External" /><Relationship Id="rId34" Type="http://schemas.openxmlformats.org/officeDocument/2006/relationships/hyperlink" Target="https://www.queens.cam.ac.uk/" TargetMode="External" /><Relationship Id="rId35" Type="http://schemas.openxmlformats.org/officeDocument/2006/relationships/hyperlink" Target="https://www.robinson.cam.ac.uk/" TargetMode="External" /><Relationship Id="rId36" Type="http://schemas.openxmlformats.org/officeDocument/2006/relationships/hyperlink" Target="https://www.sel.cam.ac.uk/" TargetMode="External" /><Relationship Id="rId37" Type="http://schemas.openxmlformats.org/officeDocument/2006/relationships/hyperlink" Target="https://www.sid.cam.ac.uk/" TargetMode="External" /><Relationship Id="rId38" Type="http://schemas.openxmlformats.org/officeDocument/2006/relationships/hyperlink" Target="https://www.caths.cam.ac.uk/" TargetMode="External" /><Relationship Id="rId39" Type="http://schemas.openxmlformats.org/officeDocument/2006/relationships/hyperlink" Target="https://www.st-edmunds.cam.ac.uk/" TargetMode="External" /><Relationship Id="rId40" Type="http://schemas.openxmlformats.org/officeDocument/2006/relationships/hyperlink" Target="https://www.joh.cam.ac.uk/" TargetMode="External" /><Relationship Id="rId41" Type="http://schemas.openxmlformats.org/officeDocument/2006/relationships/hyperlink" Target="https://www.trin.cam.ac.uk/" TargetMode="External" /><Relationship Id="rId42" Type="http://schemas.openxmlformats.org/officeDocument/2006/relationships/hyperlink" Target="https://www.trinhall.cam.ac.uk/" TargetMode="External" /><Relationship Id="rId43" Type="http://schemas.openxmlformats.org/officeDocument/2006/relationships/hyperlink" Target="https://www.wolfson.cam.ac.uk/" TargetMode="External" /><Relationship Id="rId44" Type="http://schemas.openxmlformats.org/officeDocument/2006/relationships/hyperlink" Target="https://www.undergraduate.study.cam.ac.uk/apply/before/mature-student-applications" TargetMode="External" /><Relationship Id="rId45" Type="http://schemas.openxmlformats.org/officeDocument/2006/relationships/hyperlink" Target="https://www.cam.ac.uk/about-the-university/how-the-university-and-colleges-work" TargetMode="External" /><Relationship Id="rId46" Type="http://schemas.openxmlformats.org/officeDocument/2006/relationships/hyperlink" Target="https://www.undergraduate.study.cam.ac.uk/courses/teaching-supervisions" TargetMode="External" /><Relationship Id="rId47" Type="http://schemas.openxmlformats.org/officeDocument/2006/relationships/hyperlink" Target="https://www.cam.ac.uk/about-the-university/term-dates-and-calendars" TargetMode="External" /><Relationship Id="rId48" Type="http://schemas.openxmlformats.org/officeDocument/2006/relationships/hyperlink" Target="https://www.undergraduate.study.cam.ac.uk/fees-funding/tuition-fees" TargetMode="External" /><Relationship Id="rId49" Type="http://schemas.openxmlformats.org/officeDocument/2006/relationships/hyperlink" Target="https://www.undergraduate.study.cam.ac.uk/fees-funding/living-costs" TargetMode="External" /><Relationship Id="rId50" Type="http://schemas.openxmlformats.org/officeDocument/2006/relationships/hyperlink" Target="https://www.undergraduate.study.cam.ac.uk/fees-funding/scholarships-bursaries" TargetMode="External" /><Relationship Id="rId51" Type="http://schemas.openxmlformats.org/officeDocument/2006/relationships/hyperlink" Target="https://www.undergraduate.study.cam.ac.uk/courses" TargetMode="External" /><Relationship Id="rId52" Type="http://schemas.openxmlformats.org/officeDocument/2006/relationships/hyperlink" Target="https://www.foundationyear.cam.ac.uk/" TargetMode="External" /><Relationship Id="rId53" Type="http://schemas.openxmlformats.org/officeDocument/2006/relationships/hyperlink" Target="https://www.undergraduate.study.cam.ac.uk/apply/before/second-undergraduate-degree" TargetMode="External" /><Relationship Id="rId54" Type="http://schemas.openxmlformats.org/officeDocument/2006/relationships/hyperlink" Target="https://www.studentsupport.cam.ac.uk/" TargetMode="External" /><Relationship Id="rId55" Type="http://schemas.openxmlformats.org/officeDocument/2006/relationships/hyperlink" Target="https://www.disability.admin.cam.ac.uk/" TargetMode="External" /><Relationship Id="rId56" Type="http://schemas.openxmlformats.org/officeDocument/2006/relationships/hyperlink" Target="https://www.studentsupport.cam.ac.uk/harassment-and-violence-support" TargetMode="External" /><Relationship Id="rId57" Type="http://schemas.openxmlformats.org/officeDocument/2006/relationships/hyperlink" Target="https://www.cambridgestudents.cam.ac.uk/your-course/undergraduate-study/your-student-status/intermission" TargetMode="External" /><Relationship Id="rId58" Type="http://schemas.openxmlformats.org/officeDocument/2006/relationships/hyperlink" Target="https://www.internationalstudents.cam.ac.uk/" TargetMode="External" /><Relationship Id="rId59" Type="http://schemas.openxmlformats.org/officeDocument/2006/relationships/hyperlink" Target="https://www.studentcomplaints.admin.cam.ac.uk/" TargetMode="External" /><Relationship Id="rId60" Type="http://schemas.openxmlformats.org/officeDocument/2006/relationships/hyperlink" Target="https://www.studentsupport.cam.ac.uk/mental-health-and-wellbeing" TargetMode="External" /><Relationship Id="rId61" Type="http://schemas.openxmlformats.org/officeDocument/2006/relationships/hyperlink" Target="https://www.childcare.admin.cam.ac.uk/" TargetMode="External" /><Relationship Id="rId62" Type="http://schemas.openxmlformats.org/officeDocument/2006/relationships/hyperlink" Target="https://www.sport.cam.ac.uk/" TargetMode="External" /><Relationship Id="rId63" Type="http://schemas.openxmlformats.org/officeDocument/2006/relationships/hyperlink" Target="https://www.lib.cam.ac.uk/" TargetMode="External" /><Relationship Id="rId64" Type="http://schemas.openxmlformats.org/officeDocument/2006/relationships/hyperlink" Target="https://www.careers.cam.ac.uk/" TargetMode="External" /><Relationship Id="rId65" Type="http://schemas.openxmlformats.org/officeDocument/2006/relationships/hyperlink" Target="https://www.cam.ac.uk/about-the-university/history/cambridge-glossary" TargetMode="External" /><Relationship Id="rId66" Type="http://schemas.openxmlformats.org/officeDocument/2006/relationships/hyperlink" Target="https://www.cam.ac.uk/about-the-university/history" TargetMode="External" /><Relationship Id="rId67" Type="http://schemas.openxmlformats.org/officeDocument/2006/relationships/hyperlink" Target="https://www.ice.cam.ac.uk/about-us/history" TargetMode="External" /><Relationship Id="rId68" Type="http://schemas.openxmlformats.org/officeDocument/2006/relationships/hyperlink" Target="https://www.legaciesofenslavement.cam.ac.uk/" TargetMode="External" /><Relationship Id="rId69" Type="http://schemas.openxmlformats.org/officeDocument/2006/relationships/hyperlink" Target="https://www.cambridgestudents.cam.ac.uk/your-course/examinations" TargetMode="External" /><Relationship Id="rId70" Type="http://schemas.openxmlformats.org/officeDocument/2006/relationships/hyperlink" Target="https://blendedlearning.cam.ac.uk/artificial-intelligence-and-education" TargetMode="External" /><Relationship Id="rId71" Type="http://schemas.openxmlformats.org/officeDocument/2006/relationships/hyperlink" Target="https://help.uis.cam.ac.uk/" TargetMode="External" /><Relationship Id="rId72" Type="http://schemas.openxmlformats.org/officeDocument/2006/relationships/hyperlink" Target="https://www.langcen.cam.ac.uk/" TargetMode="External" /><Relationship Id="rId73" Type="http://schemas.openxmlformats.org/officeDocument/2006/relationships/hyperlink" Target="https://www.museums.cam.ac.uk/" TargetMode="External" /><Relationship Id="rId74" Type="http://schemas.openxmlformats.org/officeDocument/2006/relationships/hyperlink" Target="https://www.childcare.admin.cam.ac.uk/student-parents" TargetMode="External" /><Relationship Id="rId75" Type="http://schemas.openxmlformats.org/officeDocument/2006/relationships/hyperlink" Target="https://www.cambridgestudents.cam.ac.uk/your-course/undergraduate-study/your-student-status/pregnancy-and-maternity" TargetMode="External" /><Relationship Id="rId76" Type="http://schemas.openxmlformats.org/officeDocument/2006/relationships/hyperlink" Target="https://www.undergraduate.study.cam.ac.uk/colleges" TargetMode="External" /><Relationship Id="rId77" Type="http://schemas.openxmlformats.org/officeDocument/2006/relationships/hyperlink" Target="https://www.undergraduate.study.cam.ac.uk/apply/how" TargetMode="External" /><Relationship Id="rId78" Type="http://schemas.openxmlformats.org/officeDocument/2006/relationships/hyperlink" Target="https://www.undergraduate.study.cam.ac.uk/apply/before/english-language-requirements" TargetMode="External" /><Relationship Id="rId79" Type="http://schemas.openxmlformats.org/officeDocument/2006/relationships/hyperlink" Target="https://www.undergraduate.study.cam.ac.uk/apply/before/disabled-applicants" TargetMode="External" /><Relationship Id="rId80" Type="http://schemas.openxmlformats.org/officeDocument/2006/relationships/hyperlink" Target="https://www.undergraduate.study.cam.ac.uk/international-students/fees-and-costs" TargetMode="External" /><Relationship Id="rId81" Type="http://schemas.openxmlformats.org/officeDocument/2006/relationships/hyperlink" Target="https://www.cambridgestudents.cam.ac.uk/your-course/examinations/results-and-class-lists" TargetMode="External" /><Relationship Id="rId82" Type="http://schemas.openxmlformats.org/officeDocument/2006/relationships/hyperlink" Target="https://www.studentwellbeing.admin.cam.ac.uk/faith-and-religion" TargetMode="External" /><Relationship Id="rId87" Type="http://schemas.openxmlformats.org/officeDocument/2006/relationships/hyperlink" Target="https://www.gov.uk/apply-for-student-finance/household-income" TargetMode="External" /><Relationship Id="rId88" Type="http://schemas.openxmlformats.org/officeDocument/2006/relationships/hyperlink" Target="https://www.gov.uk/student-finance-calculator" TargetMode="External" /><Relationship Id="rId89" Type="http://schemas.openxmlformats.org/officeDocument/2006/relationships/hyperlink" Target="https://www.gov.uk/childcare-grant" TargetMode="External" /><Relationship Id="rId90" Type="http://schemas.openxmlformats.org/officeDocument/2006/relationships/hyperlink" Target="https://www.gov.uk/disabled-students-allowance-dsa" TargetMode="External" /><Relationship Id="rId91" Type="http://schemas.openxmlformats.org/officeDocument/2006/relationships/hyperlink" Target="https://www.gov.uk/council-tax/discounts-for-full-time-students" TargetMode="External" /><Relationship Id="rId92" Type="http://schemas.openxmlformats.org/officeDocument/2006/relationships/hyperlink" Target="https://www.cambridgeshire.gov.uk/residents/children-and-families/schools-learning/apply-for-a-school-place" TargetMode="External" /><Relationship Id="rId93" Type="http://schemas.openxmlformats.org/officeDocument/2006/relationships/hyperlink" Target="https://www.cambridge.gov.uk/discounts-for-students-and-school-leavers" TargetMode="External" /><Relationship Id="rId94" Type="http://schemas.openxmlformats.org/officeDocument/2006/relationships/hyperlink" Target="https://www.cambridge.gov.uk/markets" TargetMode="External" /><Relationship Id="rId95" Type="http://schemas.openxmlformats.org/officeDocument/2006/relationships/hyperlink" Target="https://www.cambridge.gov.uk/jesus-green-lido" TargetMode="External" /><Relationship Id="rId96" Type="http://schemas.openxmlformats.org/officeDocument/2006/relationships/hyperlink" Target="https://www.nhs.uk/nhs-services/urgent-and-emergency-care-services/when-to-use-111/" TargetMode="External" /><Relationship Id="rId97" Type="http://schemas.openxmlformats.org/officeDocument/2006/relationships/hyperlink" Target="https://www.samaritans.org/how-we-can-help/contact-samaritan/" TargetMode="External" /><Relationship Id="rId98" Type="http://schemas.openxmlformats.org/officeDocument/2006/relationships/hyperlink" Target="https://www.nhs.uk/service-search/find-a-gp" TargetMode="External" /><Relationship Id="rId99" Type="http://schemas.openxmlformats.org/officeDocument/2006/relationships/hyperlink" Target="https://www.mayball.info/" TargetMode="External" /><Relationship Id="rId100" Type="http://schemas.openxmlformats.org/officeDocument/2006/relationships/hyperlink" Target="https://www.mayball.info/previous-years/2025.html" TargetMode="External" /><Relationship Id="rId101" Type="http://schemas.openxmlformats.org/officeDocument/2006/relationships/hyperlink" Target="https://www.trinityball.co.uk/terms/" TargetMode="External" /><Relationship Id="rId102" Type="http://schemas.openxmlformats.org/officeDocument/2006/relationships/hyperlink" Target="https://www.cucbc.org/bumps" TargetMode="External" /><Relationship Id="rId103" Type="http://schemas.openxmlformats.org/officeDocument/2006/relationships/hyperlink" Target="https://www.girton.cam.ac.uk/about-girton/history" TargetMode="External" /><Relationship Id="rId104" Type="http://schemas.openxmlformats.org/officeDocument/2006/relationships/hyperlink" Target="https://newn.cam.ac.uk/about/history/" TargetMode="External" /><Relationship Id="rId105" Type="http://schemas.openxmlformats.org/officeDocument/2006/relationships/hyperlink" Target="https://www.christs.cam.ac.uk/student-life/meals" TargetMode="External" /><Relationship Id="rId106" Type="http://schemas.openxmlformats.org/officeDocument/2006/relationships/hyperlink" Target="https://www.chu.cam.ac.uk/about/campus/" TargetMode="External" /><Relationship Id="rId107" Type="http://schemas.openxmlformats.org/officeDocument/2006/relationships/hyperlink" Target="https://www.clare.cam.ac.uk/admissions-outreach/undergraduate-study/life-clare/dining-and-catering" TargetMode="External" /><Relationship Id="rId108" Type="http://schemas.openxmlformats.org/officeDocument/2006/relationships/hyperlink" Target="https://www.fitz.cam.ac.uk/cafe-bar-and-buttery" TargetMode="External" /><Relationship Id="rId109" Type="http://schemas.openxmlformats.org/officeDocument/2006/relationships/hyperlink" Target="https://www.emma.cam.ac.uk/explore/life" TargetMode="External" /><Relationship Id="rId110" Type="http://schemas.openxmlformats.org/officeDocument/2006/relationships/hyperlink" Target="https://www.cambridgesu.co.uk/advice/student-advice-service/" TargetMode="External" /><Relationship Id="rId111" Type="http://schemas.openxmlformats.org/officeDocument/2006/relationships/hyperlink" Target="https://www.cambridgesu.co.uk/makeachange/forums/" TargetMode="External" /><Relationship Id="rId112" Type="http://schemas.openxmlformats.org/officeDocument/2006/relationships/hyperlink" Target="https://www.cambridgesu.co.uk/opportunities/societies/" TargetMode="External" /><Relationship Id="rId113" Type="http://schemas.openxmlformats.org/officeDocument/2006/relationships/hyperlink" Target="https://www.cambridgesu.co.uk/aboutus/team/" TargetMode="External" /><Relationship Id="rId114" Type="http://schemas.openxmlformats.org/officeDocument/2006/relationships/hyperlink" Target="https://www.cambridgestudents.cam.ac.uk/fees-and-funding/cambridge-bursary-scheme/what-you-could-get" TargetMode="External" /><Relationship Id="rId115" Type="http://schemas.openxmlformats.org/officeDocument/2006/relationships/hyperlink" Target="https://www.undergraduate.study.cam.ac.uk/life-mature-undergraduate-cambridge" TargetMode="External" /><Relationship Id="rId116" Type="http://schemas.openxmlformats.org/officeDocument/2006/relationships/hyperlink" Target="https://www.gov.uk/student-finance/new-fulltime-students" TargetMode="External" /><Relationship Id="rId117" Type="http://schemas.openxmlformats.org/officeDocument/2006/relationships/hyperlink" Target="https://www.gov.uk/childcare-grant/what-youll-get" TargetMode="External" /><Relationship Id="rId118" Type="http://schemas.openxmlformats.org/officeDocument/2006/relationships/hyperlink" Target="https://www.thetimes.co.uk/article/cambridge-to-stop-telling-students-exam-rankings-to-reduce-stress-00xnqjzm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as a Mature Student: Master Report and New-Student Handbook</dc:title>
  <dc:subject>Unofficial practical guide for mature undergraduates at the University of Cambridge</dc:subject>
  <dc:creator/>
  <cp:keywords>Cambridge; mature student; undergraduate; colleges; Formal Hall; May Balls; funding; accommodation; childcare; glossary</cp:keywords>
  <dc:description>Consolidated edition checked 12 July 2026.</dc:description>
  <cp:lastModifiedBy/>
  <cp:revision>1</cp:revision>
  <dcterms:created xsi:type="dcterms:W3CDTF">2013-12-23T23:15:00Z</dcterms:created>
  <dcterms:modified xsi:type="dcterms:W3CDTF">2013-12-23T23:15:00Z</dcterms:modified>
  <cp:category/>
</cp:coreProperties>
</file>