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ARQUITETURA - Mapear fluxo e arquitetura das APIs do B2B (sessão Victor/David/Zildo/Priscila/Fernanda)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W-000136  ·  Arquitetura da Solução e Ambientes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Brasil TecPar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ARQUITETURA - Mapear fluxo e arquitetura das APIs do B2B (sessão Victor/David/Zildo/Priscila/Fernanda)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W-000136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Arquitetura da Solução e Ambientes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Brasil TecPar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(a definir)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1 - Brasil TecPar (15-26/09)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15/09/2026 por Gerson Da Silva Pereira. Texto abaixo transcrito integralmente do campo Details da work.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Work tecnica de Brasil TecPar (epico Arquitetura da Solucao e Ambientes). Complementada em 15/09.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Realizar a sessao de arquitetura com Victor, David, Zildo, Priscila e Fernanda e sair dela com o fluxo ponta a ponta da jornada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B2B e o mapa das APIs que ela consome e publica, para que as works B2B (W-000096 a W-000101, W-000107, W-000119 a W-000125,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W-000142 a W-000145) tenham a mesma referencia de integracao e a SysMap nao desenhe integracao por work.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Escopo da Sessão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1. Fluxo B2B: lead (Econodata, inatividade) &gt; enderecamento e viabilidade expressa (GIS/Radar) &gt; cotacao multi-site, alcadas e trading (CPQ, BRE) &gt; contrato e signatario legal (CLM, DocGen) &gt; auditoria BKO e credito &gt; pedido e orquestracao (OM) &gt; ativacao no Customer Core e faturamento (SAP) &gt; pos-venda (Zendesk, Visao 360, MACD, refidelizacao, cancelamento).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2. Para cada passo: sistema de origem e destino, API (nome, padrao TMF quando houver, proprietario quando nao), direcao, sincrono ou evento, dono no barramento, work do Agile que consome.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3. Pontos abertos a fechar na sessao: endpoint do Customer Core para vigencia e ativacao (decisao de 04/09), momento da chamada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SAP (decomposicao no OM, P-16), etiqueta RGC por ponto (W-000050/W-000104), padrao de eventos de contrato (W-000105).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Entregas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- Diagrama de fluxo B2B (sequencia por etapa) e diagrama de contexto de integracoes, versionados no repositorio de documentacao do projeto.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- Tabela de APIs (entrada da W-000135) e lista de decisoes de arquitetura (ADR) com data e participantes.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- Ata da sessao com pendencias, dono e prazo.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DEPENDENCIAS: </w:t>
      </w:r>
      <w:r>
        <w:rPr>
          <w:sz w:val="24"/>
          <w:szCs w:val="24"/>
        </w:rPr>
        <w:t xml:space="preserve">agenda dos participantes; inventario da W-000135; licenca de OM (W-000134) para validar a etapa de pedido.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RESPONSAVEL SUGERIDO: </w:t>
      </w:r>
      <w:r>
        <w:rPr>
          <w:sz w:val="24"/>
          <w:szCs w:val="24"/>
        </w:rPr>
        <w:t xml:space="preserve">Diego Beltrao de Moraes (governanca) com o arquiteto SysMap. Estimativa: 1 sessao + 3 dias de consolidacao.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 (registros de Acceptance Criteria no Agile Accelerator)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1: Sessao realizada e registrada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 sessao foi agendada com Victor, David, Zildo, Priscila e Fernanda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sessao ocorrer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existe ata com participantes, decisoes, pendencias com dono e prazo, anexada a esta work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2: Fluxo B2B ponta a ponta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 ata foi publicada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diagrama de fluxo B2B for consolidado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todas as etapas de lead a pos-venda aparecem com sistema de origem e destino, e cada etapa referencia a work B2B que a implementa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3: Mapa de APIs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fluxo esta consolidado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tabela de APIs for publicada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cada integracao tem nome, padrao, direcao, sincrono ou evento, dono e work consumidora, e a tabela e a mesma usada no inventario da W-000135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 4: Decisoes de arquitetura (status: New)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houve decisao sobre Customer Core, SAP no OM, RGC e eventos de contrato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as ADRs forem registradas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cada decisao tem contexto, opcao escolhida, alternativas e consequencias, e as works afetadas recebem nota apontando a ADR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W-000136 - ARQUITETURA - Mapear fluxo e arquitetura das APIs do B2B (sessão Victor/David/Zildo/Priscila/Fernanda)</dc:title>
  <dc:subject/>
  <dc:creator>Brasil TecPar</dc:creator>
  <cp:keywords/>
  <dc:description/>
  <cp:lastModifiedBy>Diego Beltrão de Moraes</cp:lastModifiedBy>
  <cp:revision>3</cp:revision>
  <dcterms:created xsi:type="dcterms:W3CDTF">2026-09-15T19:21:00Z</dcterms:created>
  <dcterms:modified xsi:type="dcterms:W3CDTF">2026-09-15T19:21:00Z</dcterms:modified>
</cp:coreProperties>
</file>