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US B2B-15 — Condições especiais de faturamento e intervalos de cobrança na cotação B2B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W-000144  ·  B2B - Jornadas de Venda e Gestão do Ciclo de Vida do Cliente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 - B2B-15 — Condições especiais de faturamento e intervalos de cobrança na cotação B2B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W-000144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B2B - Jornadas de Venda e Gestão do Ciclo de Vida do Cliente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Davi Israel de Abreu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Accelerator; critérios de aceite na lista Acceptance Criteria)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US de negócio B2B (documento de 10/09, "Histórias novas", história 28; comentário de negócio de 14/09 na história 8: parâmetros de faturamento são preenchidos na etapa "dados de faturamento, fidelidade e tempo de contrato", depois do carrinho; W-000081 B2C-24 mantém "Mensal" somente leitura no B2C; W-000125 RN-02: nenhum cálculo financeiro no Salesforce).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Gerente de Relacionamento / Backoffice B2B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Quero </w:t>
      </w:r>
      <w:r>
        <w:rPr>
          <w:sz w:val="24"/>
          <w:szCs w:val="24"/>
        </w:rPr>
        <w:t xml:space="preserve">parametrizar na cotação corporativa o intervalo de cobrança (mensal, bimestral, trimestral, semestral, anual) e a condição de vencimento, com aprovação quando fugir do padrão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contas governamentais e grandes grupos sejam faturados conforme o contrato sem ajuste manual no legado.</w:t>
      </w:r>
    </w:p>
    <w:p>
      <w:pPr>
        <w:rPr>
          <w:sz w:val="24"/>
          <w:szCs w:val="24"/>
        </w:rPr>
      </w:pP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Contexto e Cenário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Hoje o BKO configura essas condições manualmente no legado. No Industries CPQ a frequência de cobrança é propriedade da pricing variable (Charge Type Recurring + Frequency) da price list entry, ou seja, é definição de catálogo, não escolha por cotação. Criar cinco pricing variables e price list entries por frequência multiplicaria o catálogo e contraria a decisão de precificação por atributo sem produto duplicado (CAT-CPX-01).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Decisão de desenho desta US: o preço da cotação continua sendo o recorrente mensal da price list; intervalo de cobrança e condição de vencimento são parâmetros contratuais do header (Quote &gt; Order &gt; Contract) que viajam no handoff e são aplicados pelo motor de cobrança do SAP/Customer Core.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RN-01 Campos no header da Quote, preenchidos pelo GR na etapa de dados de faturamento após o carrinho (junto com fidelidade e prazo): Intervalo de Cobrança (Mensal padrão, Bimestral, Trimestral, Semestral, Anual); Condição de Vencimento (Mês Corrente padrão, Mês Seguinte); Dia de Vencimento (lista permitida em Custom Metadata); Tipo de Faturamento (Padrão, Órgão Público, Conglomerado).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RN-02 O preço das linhas não muda: continua o MRC mensal da price list (pricing variable recorrente mensal). O sistema apenas exibe, em campo fórmula informativo, o valor por ciclo = MRC x meses do intervalo. Nenhuma pricing variable, price list entry ou adjustment é criada por frequência.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RN-03 Combinação fora do padrão (intervalo diferente de Mensal, vencimento diferente de Mês Corrente ou tipo Órgão Público/Conglomerado) bloqueia a aprovação expressa: Approval Process com critério de entrada roteia a cotação ao BKO ou Gestor Financeiro, com justificativa obrigatória e record lock durante a aprovação.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RN-04 Após aprovação os campos ficam somente leitura (FLS para o GR e Validation Rule por status); alteração exige abandonar a cotação e gerar cotação filha (W-000098).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RN-05 Propagação: os campos são mapeados de Quote para Order e Contract pelo Field Mapper do ABO e entram no payload de handoff do Imputar Venda (W-000101) e da decomposição (W-000088) como campos de header, com as chaves acordadas com o SAP (Billing Frequency, Payment Terms). Não são atributos de produto e não passam pelas mapping rules de produto.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RN-06 De-para de valores Salesforce &gt; SAP em Custom Metadata, mantido com Rodrigo/fiscal; valor sem de-para bloqueia o handoff com mensagem.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RN-07 Pró-rata em ciclos longos é apurado pelo billing (SAP), não no Salesforce (W-000125 RN-02). O Salesforce só envia a data de início de vigência.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RN-08 Elegibilidade: intervalos não mensais só para Business Account; Consumer Account mantém Mensal somente leitura (W-000081).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RN-09 Multi-site: os parâmetros são do master quote e valem para todos os grupos, salvo override por grupo com a mesma alçada da RN-03.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Especificação Técnica (Salesforce)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Campos custom em Quote, Order e Contract (mesmos API names para o mapeamento); passo do OmniScript de dados de faturamento (W-000081 estendido para B2B); campo fórmula "Valor por ciclo"; Approval Process "Condições de Faturamento Não Padrão" com record lock; Validation Rules (RN-04, RN-08); Field Mapper do ABO para Quote &gt; Order &gt; Asset/Contract; DataRaptor Transform do handoff (W-000101/W-000088) incluindo os campos de header; Custom Metadata de de-para SAP e de dias de vencimento.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Dependências, Riscos e Estimativa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Dependências: </w:t>
      </w:r>
      <w:r>
        <w:rPr>
          <w:sz w:val="24"/>
          <w:szCs w:val="24"/>
        </w:rPr>
        <w:t xml:space="preserve">W-000081 (etapa de dados de faturamento), W-000098 (cotação e cotação filha), W-000101 (handoff/Imputar Venda), W-000088 (decomposição e payload), W-000121 (CAT-CPX-01, Modalidade de Pagamento), Rodrigo/fiscal e SAP (chaves de Billing Frequency e Payment Terms).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Riscos: </w:t>
      </w:r>
      <w:r>
        <w:rPr>
          <w:sz w:val="24"/>
          <w:szCs w:val="24"/>
        </w:rPr>
        <w:t xml:space="preserve">SAP/Customer Core precisam absorver as novas chaves; contratos estaduais/federais podem exigir descrições fiscais distintas por ciclo (já tratadas por linha na W-000101).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Estimativa: </w:t>
      </w:r>
      <w:r>
        <w:rPr>
          <w:sz w:val="24"/>
          <w:szCs w:val="24"/>
        </w:rPr>
        <w:t xml:space="preserve">5 Story Points.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Padrão.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uma cotação B2B nova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GR chega à etapa de dados de faturamento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Intervalo = Mensal e Condição = Mês Corrente vêm preenchidos e a cotação segue sem aprovação adicional.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Não padrão roteia.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uma cotação para órgão público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GR seleciona Trimestral e Vencimento Mês Seguinte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 aprovação expressa é bloqueada, a justificativa é exigida e a cotação vai à fila do BKO/Gestor Financeiro com o registro travado.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Preço inalterado.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uma cotação com MRC de R$ 1.000 e intervalo Semestral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carrinho é reprecificado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as linhas continuam com R$ 1.000 mensais e o campo informativo mostra R$ 6.000 por ciclo.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Somente leitura após aprovação.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uma cotação aprovada com condições não padrão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GR tenta alterar o intervalo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sistema bloqueia e orienta a gerar cotação filha.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5: Propagação e payload.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uma Opportunity Semestral aprovada e convertida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BKO aciona Imputar Venda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Order e Contract carregam os mesmos valores e o payload ao SAP traz Billing Frequency e Payment Terms com as chaves do de-para.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6: Sem de-para.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valor de intervalo sem chave SAP cadastrada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handoff é acionado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envio é bloqueado com mensagem indicando o valor sem de-para.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7: B2C inalterado.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uma venda B2C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vendedor chega aos dados de faturamento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Intervalo continua "Mensal" somente leitura.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Massa de Teste Sugerida: </w:t>
      </w:r>
      <w:r>
        <w:rPr>
          <w:sz w:val="24"/>
          <w:szCs w:val="24"/>
        </w:rPr>
        <w:t xml:space="preserve">Cotações com "Mensal/Mês Corrente", "Trimestral/Mês Seguinte" e "Anual"; conta Consumer para o critério 7; auditoria do payload recebido pelo SAP em sandbox.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Fundamentação Técnica (Salesforce Help)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Salesforce Help: Pricing Definition in Industries CPQ; Create a Pricing Variable in Pricing Designer (Charge Type Recurring + Frequency); Price Assignment and the Industries CPQ Cart; Order Decomposition Configuration; Record Locking in Approval Processes.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W-000144 - US B2B-15 — Condições especiais de faturamento e intervalos de cobrança na cotação B2B</dc:title>
  <dc:subject/>
  <dc:creator>Brasil TecPar</dc:creator>
  <cp:keywords/>
  <dc:description/>
  <cp:lastModifiedBy>Diego Beltrão de Moraes</cp:lastModifiedBy>
  <cp:revision>3</cp:revision>
  <dcterms:created xsi:type="dcterms:W3CDTF">2026-09-15T17:26:00Z</dcterms:created>
  <dcterms:modified xsi:type="dcterms:W3CDTF">2026-09-15T17:26:00Z</dcterms:modified>
</cp:coreProperties>
</file>