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6EC72" w14:textId="77777777" w:rsidR="00503E52" w:rsidRDefault="00503E52" w:rsidP="00503E52">
      <w:r>
        <w:rPr>
          <w:noProof/>
        </w:rPr>
        <w:drawing>
          <wp:anchor distT="0" distB="0" distL="114300" distR="114300" simplePos="0" relativeHeight="251659264" behindDoc="1" locked="0" layoutInCell="1" allowOverlap="1" wp14:anchorId="7622A1AB" wp14:editId="29A11D7A">
            <wp:simplePos x="0" y="0"/>
            <wp:positionH relativeFrom="margin">
              <wp:posOffset>3082925</wp:posOffset>
            </wp:positionH>
            <wp:positionV relativeFrom="paragraph">
              <wp:posOffset>494665</wp:posOffset>
            </wp:positionV>
            <wp:extent cx="1905000" cy="700121"/>
            <wp:effectExtent l="0" t="0" r="0" b="5080"/>
            <wp:wrapNone/>
            <wp:docPr id="242947192" name="Imagem 1" descr="SysMap Solutions | Softwares e Soluções Digita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ysMap Solutions | Softwares e Soluções Digitai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0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inline distT="0" distB="0" distL="0" distR="0" wp14:anchorId="24F48AA4" wp14:editId="54778DB1">
            <wp:extent cx="2857500" cy="12763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A5EE" w14:textId="77777777" w:rsidR="00503E52" w:rsidRDefault="00503E52" w:rsidP="00503E52">
      <w:pPr>
        <w:spacing w:before="900"/>
      </w:pPr>
    </w:p>
    <w:p>
      <w:pPr>
        <w:spacing w:after="100"/>
        <w:jc w:val="center"/>
        <w:rPr>
          <w:sz w:val="24"/>
          <w:szCs w:val="24"/>
        </w:rPr>
      </w:pPr>
      <w:r>
        <w:rPr>
          <w:b/>
          <w:bCs/>
          <w:color w:val="0C3C8C"/>
          <w:sz w:val="44"/>
          <w:szCs w:val="44"/>
        </w:rPr>
        <w:t xml:space="preserve">Requisitos de negócio Projeto Salesforce</w:t>
      </w:r>
    </w:p>
    <w:p>
      <w:pPr>
        <w:spacing w:before="600" w:after="200"/>
        <w:jc w:val="center"/>
        <w:rPr>
          <w:sz w:val="24"/>
          <w:szCs w:val="24"/>
        </w:rPr>
      </w:pPr>
      <w:r>
        <w:rPr>
          <w:b/>
          <w:bCs/>
          <w:color w:val="0C3C8C"/>
          <w:sz w:val="28"/>
          <w:szCs w:val="28"/>
        </w:rPr>
        <w:t xml:space="preserve">US B2B-16 — Cadência automática de notificações de assinatura ao cliente (proposta e contrato)</w:t>
      </w:r>
    </w:p>
    <w:p>
      <w:pPr>
        <w:jc w:val="center"/>
        <w:rPr>
          <w:sz w:val="24"/>
          <w:szCs w:val="24"/>
        </w:rPr>
      </w:pPr>
      <w:r>
        <w:rPr>
          <w:color w:val="595959"/>
          <w:sz w:val="22"/>
          <w:szCs w:val="22"/>
        </w:rPr>
        <w:t xml:space="preserve">W-000145  ·  B2B - Jornadas de Venda e Gestão do Ciclo de Vida do Cliente</w:t>
      </w:r>
    </w:p>
    <w:p>
      <w:pPr>
        <w:jc w:val="center"/>
        <w:rPr>
          <w:sz w:val="24"/>
          <w:szCs w:val="24"/>
        </w:rPr>
      </w:pPr>
      <w:r>
        <w:rPr>
          <w:color w:val="595959"/>
          <w:sz w:val="22"/>
          <w:szCs w:val="22"/>
        </w:rPr>
        <w:t xml:space="preserve">Time: SysMap  ·  Status: New</w:t>
      </w:r>
    </w:p>
    <w:p>
      <w:pPr>
        <w:rPr>
          <w:sz w:val="24"/>
          <w:szCs w:val="24"/>
        </w:rPr>
      </w:pPr>
    </w:p>
    <w:p>
      <w:pPr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US - B2B-16 — Cadência automática de notificações de assinatura ao cliente (proposta e contrato)</w:t>
      </w:r>
    </w:p>
    <w:tbl>
      <w:tblPr>
        <w:tblW w:w="850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2400"/>
        <w:gridCol w:w="6104"/>
      </w:tblGrid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Work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W-000145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Épico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B2B - Jornadas de Venda e Gestão do Ciclo de Vida do Cliente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Time (Scrum Team)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SysMap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New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Davi Israel de Abreu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Documento gerado em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15/09/2026 (conteúdo integral da work no Agile Accelerator; critérios de aceite na lista Acceptance Criteria)</w:t>
            </w:r>
          </w:p>
        </w:tc>
      </w:tr>
    </w:tbl>
    <w:p>
      <w:pPr>
        <w:rPr>
          <w:sz w:val="24"/>
          <w:szCs w:val="24"/>
        </w:rPr>
      </w:pPr>
    </w:p>
    <w:p>
      <w:pPr>
        <w:spacing w:after="60"/>
        <w:rPr>
          <w:sz w:val="24"/>
          <w:szCs w:val="24"/>
        </w:rPr>
      </w:pPr>
      <w:r>
        <w:rPr>
          <w:i/>
          <w:iCs/>
          <w:color w:val="595959"/>
          <w:sz w:val="20"/>
          <w:szCs w:val="20"/>
        </w:rPr>
        <w:t xml:space="preserve">US de negócio B2B (documento de 10/09, "Histórias novas", história 29; comentários de negócio de 14/09 nas histórias 3 e 15: régua via Marketing Cloud com templates, e-mail em D+2, D+4, D+7, D+15 e D+30 às 08h, não "após 24h"; nos demais dias o contato é do vendedor; reenvio manual e troca de e-mail permitidos). Complementa a W-000122 RN-05 (régua interna ao GR e gestor) sem duplicá-la.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Descrição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Como </w:t>
      </w:r>
      <w:r>
        <w:rPr>
          <w:sz w:val="24"/>
          <w:szCs w:val="24"/>
        </w:rPr>
        <w:t xml:space="preserve">Gerente de Relacionamento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Quero </w:t>
      </w:r>
      <w:r>
        <w:rPr>
          <w:sz w:val="24"/>
          <w:szCs w:val="24"/>
        </w:rPr>
        <w:t xml:space="preserve">que o sistema envie ao cliente, com cópia para mim, lembretes automáticos e cadenciados de assinatura de propostas e contratos pendentes, e pare no momento em que o documento for assinado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Para que </w:t>
      </w:r>
      <w:r>
        <w:rPr>
          <w:sz w:val="24"/>
          <w:szCs w:val="24"/>
        </w:rPr>
        <w:t xml:space="preserve">o ciclo Quote-to-Order encurte sem acompanhamento manual diário.</w:t>
      </w:r>
    </w:p>
    <w:p>
      <w:pPr>
        <w:rPr>
          <w:sz w:val="24"/>
          <w:szCs w:val="24"/>
        </w:rPr>
      </w:pP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Contexto e Cenário de Negócio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A W-000122 avisa o GR e o gestor; falta o contato com o cliente. O negócio pediu Marketing Cloud (templates e régua), que já é fundação do projeto (W-000092). O gatilho é o envio da proposta (botão "Enviar proposta comercial ao cliente", W-000098) ou do envelope de contrato/aditivo (W-000105, TEC-CLM-01). Como Quote e Contract não têm lookup de contato, e o Salesforce Data Event exige objeto com lookup para o Who (Contact), a entrada na jornada usa um registro próprio com o signatário.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Regras de Negócio Associadas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RN-01 Escopo: propostas comerciais (Quote enviada) e contratos e aditivos (envelope enviado), B2B.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RN-02 D0: o envio cria um registro "Envio para Assinatura" (objeto custom) com Tipo (Proposta/Contrato), Data de Envio, Signatário (lookup Contact, do Contact Role Signatário Legal da B2B-09), Quote ou Contract, Opportunity e Status = Pendente. Um registro por envio; novo envelope gera novo registro e reinicia a cadência.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RN-03 Cadência ao cliente: D+2, D+4, D+7, D+15 e D+30, sempre às 08:00 de Brasília, e-mail ao signatário com cópia ao GR, template por tipo de documento (W-000092). Nos demais dias o contato é do vendedor.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RN-04 Entrada na jornada por Salesforce Data Event no objeto Envio para Assinatura (criação, Status = Pendente), quem entra = Contact do lookup Signatário; dados da jornada: ID do envio, tipo, número da cotação/contrato, ID da Opportunity, GR e e-mail do GR, link do documento. Journey Settings: Contact Entry = "Re-entry only after exiting"; Default Email Address = "email attribute from Contacts" (a correção de e-mail feita pelo GR vale no próximo disparo).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RN-05 Quebra da cadência: callback de assinatura (W-000105), aceite da proposta (Quote.Status = Aceita, W-000098), recusa ou expiração de 30 dias (W-000098/W-000122) atualizam o Status do registro para Assinado/Recusado/Expirado. Como a Data Extension do Data Event é preenchida só na entrada, a jornada verifica o Status atual do envio (objeto sincronizado pelo Marketing Cloud Connect) num Decision Split imediatamente antes de cada e-mail e sai quando Status diferente de Pendente. Nenhum envio ocorre após a saída.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RN-06 Registro: cada disparo gera Task Completed na Opportunity (WhatId do Journey Data) com assunto "Lembrete de assinatura D+N", pela Task/Object activity da jornada (assíncrona, até 24 h); o Envio para Assinatura recebe "Último lembrete enviado" por Object activity (Simple Update) para auditoria imediata.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RN-07 Reenvio manual e alteração do e-mail do signatário pelo GR são permitidos e não reiniciam a cadência; só um novo envelope reinicia (RN-02).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RN-08 A régua interna (GR em 1, 3 e 7 dias, gestor em 15, expiração em 30) permanece na W-000122; esta US só envia ao cliente e cópia ao GR.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RN-09 Limites e pré-requisitos: Marketing Cloud Connect na versão 5.496 ou superior (produção: pacote et4ae5 262.0); no máximo 80 jornadas por objeto; o objeto e o público do entry source não podem ser trocados depois de criados; Test Mode não funciona com Salesforce Entry Source nem com "No re-entry" (teste em sandbox conectada com registros reais); o objeto Envio para Assinatura entra na sincronização do Marketing Cloud Connect; atividades Sales Cloud só retentam UNABLE_TO_LOCK_ROW.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RN-10 Contingência sem Marketing Cloud: schedule-triggered flow diário às 08:00 no fuso padrão da org sobre Envio para Assinatura com Status Pendente e dias desde o envio em {2, 4, 7, 15, 30}, Send Email com Organization-Wide Email Address (configurado também em Process Automation Settings &gt; Automated Process User Email Address), Email Template Name, Recipient ID = signatário, Related Record ID = Opportunity e Log Email on Send = True. Limite de 5.000 destinatários externos por dia (GMT); cópia ao GR não conta.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RN-11 LGPD: a jornada respeita a flag de opt-out do Contact enviada no evento; base legal e guarda conforme W-000083.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RN-12 Lembretes nativos do DocuSign no CLM: os Vlocity CLM Custom Settings do Contract Type trazem DocuSignReminderEnabled (padrão Yes), DocuSignReminderDelay (2) e DocuSignReminderFrequency (1), cadência uniforme que conflita com a régua D+2/4/7/15/30. Para os contract types B2B: DocuSignReminderEnabled = No (a régua desta US é a única fonte de lembrete ao cliente), DocuSignExpireAfter = 30 e DocuSignExpireWarn alinhado, e ContractSignatureExpiredStatus/ContractSignatureVoidedStatus apontando para o status que a W-000122 usa ao expirar. Pré-requisito: confirmar que a assinatura da W-000105 passa pelo DocuSign do CLM; se for outro canal, a RN vale para o equivalente.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Especificação Técnica (Salesforce)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Objeto custom Envio_para_Assinatura__c (Tipo, Data de Envio, Signatário lookup Contact, Quote, Contract, Opportunity, Status, Último Lembrete, Data de Encerramento); criação por Integration Procedure no envio da proposta (W-000098) e no envio do envelope (W-000105); record-triggered flow que atualiza Status a partir do callback e do Quote.Status; jornada no Journey Builder com entry source Salesforce Data Event, esperas até 08:00 de cada dia da régua, Decision Split por Status, atividades de e-mail, Task activity e Object activity; templates de e-mail por tipo (W-000092); contingência RN-10 (schedule-triggered flow + Send Email com org-wide address e Automated Process User Email Address configurados).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Dependências, Riscos e Estimativa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Dependências: </w:t>
      </w:r>
      <w:r>
        <w:rPr>
          <w:sz w:val="24"/>
          <w:szCs w:val="24"/>
        </w:rPr>
        <w:t xml:space="preserve">W-000092 (Marketing Cloud Connect, jornadas base, templates), W-000105 (canal e callback de assinatura), W-000098 (botão de envio e validade 30 dias), W-000122 (signatário legal e régua interna), W-000126 (TEC-CLM-01 envelope de aditivo), W-000066 (régua B2C, mesma mecânica), W-000083 (LGPD), Vlocity CLM Custom Settings por Contract Type (RN-12).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Riscos: </w:t>
      </w:r>
      <w:r>
        <w:rPr>
          <w:sz w:val="24"/>
          <w:szCs w:val="24"/>
        </w:rPr>
        <w:t xml:space="preserve">Callback de assinatura atrasado ou sincronização do Marketing Cloud Connect fora de hora gera lembrete indevido a quem já assinou (mitigado pelo Decision Split no momento do envio); fuso da org precisa ser America/Sao_Paulo para a régua bater com 08:00; a Task na Opportunity pode aparecer com até 24 horas de atraso.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Estimativa: </w:t>
      </w:r>
      <w:r>
        <w:rPr>
          <w:sz w:val="24"/>
          <w:szCs w:val="24"/>
        </w:rPr>
        <w:t xml:space="preserve">5 Story Points.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Critérios de Aceite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1: D0.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proposta enviada pelo botão "Enviar proposta comercial ao cliente"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envio conclui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existe um registro Envio para Assinatura com Status Pendente, o signatário legal como contato e o Contact entrou na jornada.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2: D+7 às 08:00.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envio com Status Pendente há exatos 7 dias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relógio marca 08:00 de Brasília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signatário recebe o e-mail do template de proposta com cópia ao GR, o campo "Último lembrete enviado" passa a D+7 e uma Task Completed "Lembrete de assinatura D+7" aparece na Opportunity em até 24 horas.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3: Quebra por assinatura.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envio com lembrete D+15 previsto para amanhã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callback de assinatura chega hoje à tarde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Status muda para Assinado, o Contact sai da jornada e nenhum e-mail é enviado amanhã.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4: Expiração.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envio pendente há 30 dias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D+30 dispara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é o último e-mail e o Status passa a Expirado pela regra da W-000098.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5: Reenvio manual.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envio pendente em D+5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GR reenvia manualmente o mesmo envelope após corrigir o e-mail do signatário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a cadência continua contando do envio original e o próximo lembrete é D+7.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6: Novo envelope.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envio pendente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um novo envelope é gerado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registro anterior é encerrado e um novo D0 começa.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7: Contingência.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o Marketing Cloud indisponível e a contingência ativa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schedule-triggered flow roda às 08:00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os envios com 2, 4, 7, 15 ou 30 dias recebem o e-mail pelo endereço organizacional, com o e-mail registrado na Opportunity e sem envio a quem já assinou.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8: E-mail corrigido.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envio pendente cujo signatário teve o e-mail corrigido pelo GR em D+3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D+4 dispara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e-mail vai para o endereço corrigido do Contact.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Massa de Teste Sugerida: </w:t>
      </w:r>
      <w:r>
        <w:rPr>
          <w:sz w:val="24"/>
          <w:szCs w:val="24"/>
        </w:rPr>
        <w:t xml:space="preserve">Envios com Data de Envio manipulada para simular D+2, D+4 e D+30; assinatura via callback na véspera do D+15; org em fuso -03:00; verificação do log de e-mails às 08:00.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Fundamentação Técnica (Salesforce Help)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Salesforce Help: The Salesforce Data Event; Configure the Salesforce Data Event; Journey Settings; Sales and Service Cloud Activities; Schedule-Triggered Flows e Considerations; Send Email Action; Daily Allocations for Email Alerts; Vlocity CLM Custom Settings (DocuSign).</w:t>
      </w:r>
    </w:p>
    <w:sectPr w:rsidR="00667FCE" w:rsidRPr="00D95147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D66A4" w14:textId="77777777" w:rsidR="006905A9" w:rsidRDefault="006905A9" w:rsidP="00503E52">
      <w:pPr>
        <w:spacing w:after="0" w:line="240" w:lineRule="auto"/>
      </w:pPr>
      <w:r>
        <w:separator/>
      </w:r>
    </w:p>
  </w:endnote>
  <w:endnote w:type="continuationSeparator" w:id="0">
    <w:p w14:paraId="164B2F6C" w14:textId="77777777" w:rsidR="006905A9" w:rsidRDefault="006905A9" w:rsidP="00503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60D7" w14:textId="4EC72B34" w:rsidR="00D40736" w:rsidRDefault="00D40736" w:rsidP="00D40736">
    <w:pPr>
      <w:pBdr>
        <w:top w:val="single" w:sz="6" w:space="4" w:color="4FC3E0"/>
      </w:pBdr>
      <w:tabs>
        <w:tab w:val="right" w:pos="9026"/>
      </w:tabs>
    </w:pPr>
    <w:r>
      <w:rPr>
        <w:color w:val="555555"/>
        <w:sz w:val="16"/>
        <w:szCs w:val="16"/>
      </w:rPr>
      <w:t xml:space="preserve">Brasil </w:t>
    </w:r>
    <w:proofErr w:type="spellStart"/>
    <w:r>
      <w:rPr>
        <w:color w:val="555555"/>
        <w:sz w:val="16"/>
        <w:szCs w:val="16"/>
      </w:rPr>
      <w:t>TecPar</w:t>
    </w:r>
    <w:proofErr w:type="spellEnd"/>
    <w:r>
      <w:rPr>
        <w:color w:val="555555"/>
        <w:sz w:val="16"/>
        <w:szCs w:val="16"/>
      </w:rPr>
      <w:t xml:space="preserve"> — Confidencial</w:t>
    </w:r>
    <w:r>
      <w:tab/>
    </w:r>
    <w:r>
      <w:rPr>
        <w:color w:val="555555"/>
        <w:sz w:val="16"/>
        <w:szCs w:val="16"/>
      </w:rPr>
      <w:t xml:space="preserve">Página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de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t>9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75657" w14:textId="77777777" w:rsidR="006905A9" w:rsidRDefault="006905A9" w:rsidP="00503E52">
      <w:pPr>
        <w:spacing w:after="0" w:line="240" w:lineRule="auto"/>
      </w:pPr>
      <w:r>
        <w:separator/>
      </w:r>
    </w:p>
  </w:footnote>
  <w:footnote w:type="continuationSeparator" w:id="0">
    <w:p w14:paraId="16485611" w14:textId="77777777" w:rsidR="006905A9" w:rsidRDefault="006905A9" w:rsidP="00503E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0" w:type="dxa"/>
      <w:tblBorders>
        <w:top w:val="none" w:sz="0" w:space="0" w:color="FFFFFF"/>
        <w:left w:val="none" w:sz="0" w:space="0" w:color="FFFFFF"/>
        <w:bottom w:val="single" w:sz="6" w:space="0" w:color="4FC3E0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350"/>
      <w:gridCol w:w="6000"/>
    </w:tblGrid>
    <w:tr w:rsidR="00503E52" w14:paraId="590DEADA" w14:textId="77777777" w:rsidTr="00CF0C8D">
      <w:trPr>
        <w:trHeight w:val="426"/>
      </w:trPr>
      <w:tc>
        <w:tcPr>
          <w:tcW w:w="3350" w:type="dxa"/>
          <w:tcMar>
            <w:bottom w:w="120" w:type="dxa"/>
          </w:tcMar>
          <w:vAlign w:val="center"/>
        </w:tcPr>
        <w:p w14:paraId="453FE15E" w14:textId="77777777" w:rsidR="00503E52" w:rsidRDefault="00503E52" w:rsidP="00503E52"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05F786D0" wp14:editId="03FB9655">
                <wp:simplePos x="0" y="0"/>
                <wp:positionH relativeFrom="margin">
                  <wp:posOffset>1098550</wp:posOffset>
                </wp:positionH>
                <wp:positionV relativeFrom="paragraph">
                  <wp:posOffset>132080</wp:posOffset>
                </wp:positionV>
                <wp:extent cx="827405" cy="304165"/>
                <wp:effectExtent l="0" t="0" r="0" b="635"/>
                <wp:wrapNone/>
                <wp:docPr id="1974319684" name="Imagem 1" descr="SysMap Solutions | Softwares e Soluções Digita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ysMap Solutions | Softwares e Soluções Digitai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7405" cy="304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inline distT="0" distB="0" distL="0" distR="0" wp14:anchorId="65C2FA44" wp14:editId="0407F62C">
                <wp:extent cx="1047750" cy="466725"/>
                <wp:effectExtent l="0" t="0" r="0" b="0"/>
                <wp:docPr id="633266941" name="Imagem 6332669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00" w:type="dxa"/>
          <w:tcMar>
            <w:bottom w:w="120" w:type="dxa"/>
          </w:tcMar>
          <w:vAlign w:val="center"/>
        </w:tcPr>
        <w:p w14:paraId="51E44935" w14:textId="77777777" w:rsidR="00D40736" w:rsidRDefault="00D40736" w:rsidP="00503E52">
          <w:pPr>
            <w:jc w:val="right"/>
            <w:rPr>
              <w:i/>
              <w:iCs/>
              <w:color w:val="555555"/>
              <w:sz w:val="16"/>
              <w:szCs w:val="16"/>
            </w:rPr>
          </w:pPr>
        </w:p>
        <w:p w14:paraId="3EB5A1D3" w14:textId="3DD953D7" w:rsidR="00D40736" w:rsidRDefault="00D40736" w:rsidP="00D40736">
          <w:pPr>
            <w:jc w:val="right"/>
          </w:pPr>
          <w:r>
            <w:rPr>
              <w:i/>
              <w:iCs/>
              <w:color w:val="555555"/>
              <w:sz w:val="16"/>
              <w:szCs w:val="16"/>
            </w:rPr>
            <w:t>Requisitos</w:t>
          </w:r>
        </w:p>
      </w:tc>
    </w:tr>
  </w:tbl>
  <w:p w14:paraId="2ED8DC7A" w14:textId="77777777" w:rsidR="00503E52" w:rsidRDefault="00503E5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20E"/>
    <w:multiLevelType w:val="multilevel"/>
    <w:tmpl w:val="EADA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750B4"/>
    <w:multiLevelType w:val="multilevel"/>
    <w:tmpl w:val="A0C8C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7521A6"/>
    <w:multiLevelType w:val="multilevel"/>
    <w:tmpl w:val="3C38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50AEC"/>
    <w:multiLevelType w:val="multilevel"/>
    <w:tmpl w:val="4534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A60E3"/>
    <w:multiLevelType w:val="multilevel"/>
    <w:tmpl w:val="7AC6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34CBC"/>
    <w:multiLevelType w:val="multilevel"/>
    <w:tmpl w:val="02B4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054A1"/>
    <w:multiLevelType w:val="multilevel"/>
    <w:tmpl w:val="FDD8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8266B"/>
    <w:multiLevelType w:val="multilevel"/>
    <w:tmpl w:val="0C3A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C371D"/>
    <w:multiLevelType w:val="multilevel"/>
    <w:tmpl w:val="406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C4F90"/>
    <w:multiLevelType w:val="multilevel"/>
    <w:tmpl w:val="F630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014425">
    <w:abstractNumId w:val="4"/>
  </w:num>
  <w:num w:numId="2" w16cid:durableId="418017940">
    <w:abstractNumId w:val="1"/>
  </w:num>
  <w:num w:numId="3" w16cid:durableId="1383214474">
    <w:abstractNumId w:val="7"/>
  </w:num>
  <w:num w:numId="4" w16cid:durableId="1976526192">
    <w:abstractNumId w:val="2"/>
  </w:num>
  <w:num w:numId="5" w16cid:durableId="447050316">
    <w:abstractNumId w:val="8"/>
  </w:num>
  <w:num w:numId="6" w16cid:durableId="1396733446">
    <w:abstractNumId w:val="6"/>
  </w:num>
  <w:num w:numId="7" w16cid:durableId="372315281">
    <w:abstractNumId w:val="0"/>
  </w:num>
  <w:num w:numId="8" w16cid:durableId="1536652809">
    <w:abstractNumId w:val="9"/>
  </w:num>
  <w:num w:numId="9" w16cid:durableId="1379085755">
    <w:abstractNumId w:val="3"/>
  </w:num>
  <w:num w:numId="10" w16cid:durableId="17646399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147"/>
    <w:rsid w:val="00324582"/>
    <w:rsid w:val="004E12D8"/>
    <w:rsid w:val="00503E52"/>
    <w:rsid w:val="00553E15"/>
    <w:rsid w:val="00667FCE"/>
    <w:rsid w:val="006905A9"/>
    <w:rsid w:val="00C35324"/>
    <w:rsid w:val="00CF09F0"/>
    <w:rsid w:val="00D40736"/>
    <w:rsid w:val="00D95147"/>
    <w:rsid w:val="00F03642"/>
    <w:rsid w:val="00F31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3C051"/>
  <w15:chartTrackingRefBased/>
  <w15:docId w15:val="{DED9F346-9818-4112-8711-CFC6743C5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95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95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5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5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5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5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5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5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5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5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95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5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514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514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51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51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51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51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5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5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5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5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5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51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951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514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5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514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5147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03E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3E52"/>
  </w:style>
  <w:style w:type="paragraph" w:styleId="Rodap">
    <w:name w:val="footer"/>
    <w:basedOn w:val="Normal"/>
    <w:link w:val="RodapChar"/>
    <w:uiPriority w:val="99"/>
    <w:unhideWhenUsed/>
    <w:rsid w:val="00503E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3E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7</Pages>
  <Words>1616</Words>
  <Characters>8727</Characters>
  <Application>Microsoft Office Word</Application>
  <DocSecurity>0</DocSecurity>
  <Lines>72</Lines>
  <Paragraphs>20</Paragraphs>
  <ScaleCrop>false</ScaleCrop>
  <Company/>
  <LinksUpToDate>false</LinksUpToDate>
  <CharactersWithSpaces>10323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W-000145 - US B2B-16 — Cadência automática de notificações de assinatura ao cliente (proposta e contrato)</dc:title>
  <dc:subject/>
  <dc:creator>Brasil TecPar</dc:creator>
  <cp:keywords/>
  <dc:description/>
  <cp:lastModifiedBy>Diego Beltrão de Moraes</cp:lastModifiedBy>
  <cp:revision>3</cp:revision>
  <dcterms:created xsi:type="dcterms:W3CDTF">2026-09-15T17:26:00Z</dcterms:created>
  <dcterms:modified xsi:type="dcterms:W3CDTF">2026-09-15T17:26:00Z</dcterms:modified>
</cp:coreProperties>
</file>