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6EC72" w14:textId="77777777" w:rsidR="00503E52" w:rsidRDefault="00503E52" w:rsidP="00503E52">
      <w:r>
        <w:rPr>
          <w:noProof/>
        </w:rPr>
        <w:drawing>
          <wp:anchor distT="0" distB="0" distL="114300" distR="114300" simplePos="0" relativeHeight="251659264" behindDoc="1" locked="0" layoutInCell="1" allowOverlap="1" wp14:anchorId="7622A1AB" wp14:editId="29A11D7A">
            <wp:simplePos x="0" y="0"/>
            <wp:positionH relativeFrom="margin">
              <wp:posOffset>3082925</wp:posOffset>
            </wp:positionH>
            <wp:positionV relativeFrom="paragraph">
              <wp:posOffset>494665</wp:posOffset>
            </wp:positionV>
            <wp:extent cx="1905000" cy="700121"/>
            <wp:effectExtent l="0" t="0" r="0" b="5080"/>
            <wp:wrapNone/>
            <wp:docPr id="242947192" name="Imagem 1" descr="SysMap Solutions | Softwares e Soluções Digita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ysMap Solutions | Softwares e Soluções Digitais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7001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w:drawing>
          <wp:inline distT="0" distB="0" distL="0" distR="0" wp14:anchorId="24F48AA4" wp14:editId="54778DB1">
            <wp:extent cx="2857500" cy="1276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9A5EE" w14:textId="77777777" w:rsidR="00503E52" w:rsidRDefault="00503E52" w:rsidP="00503E52">
      <w:pPr>
        <w:spacing w:before="900"/>
      </w:pPr>
    </w:p>
    <w:p>
      <w:pPr>
        <w:spacing w:after="100"/>
        <w:jc w:val="center"/>
        <w:rPr>
          <w:sz w:val="24"/>
          <w:szCs w:val="24"/>
        </w:rPr>
      </w:pPr>
      <w:r>
        <w:rPr>
          <w:b/>
          <w:bCs/>
          <w:color w:val="0C3C8C"/>
          <w:sz w:val="44"/>
          <w:szCs w:val="44"/>
        </w:rPr>
        <w:t xml:space="preserve">Requisitos de negócio Projeto Salesforce</w:t>
      </w:r>
    </w:p>
    <w:p>
      <w:pPr>
        <w:spacing w:before="600" w:after="200"/>
        <w:jc w:val="center"/>
        <w:rPr>
          <w:sz w:val="24"/>
          <w:szCs w:val="24"/>
        </w:rPr>
      </w:pPr>
      <w:r>
        <w:rPr>
          <w:b/>
          <w:bCs/>
          <w:color w:val="0C3C8C"/>
          <w:sz w:val="28"/>
          <w:szCs w:val="28"/>
        </w:rPr>
        <w:t xml:space="preserve">Comercial - Filtro de viabilidade e disponibilidade dinâmica no catálogo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W-000045  ·  Catálogo Comercial Unificado - B2B/B2C</w:t>
      </w:r>
    </w:p>
    <w:p>
      <w:pPr>
        <w:jc w:val="center"/>
        <w:rPr>
          <w:sz w:val="24"/>
          <w:szCs w:val="24"/>
        </w:rPr>
      </w:pPr>
      <w:r>
        <w:rPr>
          <w:color w:val="595959"/>
          <w:sz w:val="22"/>
          <w:szCs w:val="22"/>
        </w:rPr>
        <w:t xml:space="preserve">Time: SysMap  ·  Status: New</w:t>
      </w:r>
    </w:p>
    <w:p>
      <w:pPr>
        <w:rPr>
          <w:sz w:val="24"/>
          <w:szCs w:val="24"/>
        </w:rPr>
      </w:pPr>
    </w:p>
    <w:p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Comercial - Filtro de viabilidade e disponibilidade dinâmica no catálogo</w:t>
      </w:r>
    </w:p>
    <w:tbl>
      <w:tblPr>
        <w:tblW w:w="8504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/>
      </w:tblPr>
      <w:tblGrid>
        <w:gridCol w:w="2400"/>
        <w:gridCol w:w="6104"/>
      </w:tblGrid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Work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W-000045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Épico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Catálogo Comercial Unificado - B2B/B2C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Time (Scrum Team)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SysMap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New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Responsável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Thiago Campos Almeida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Sprint Catálogo - 1a e 2a Semana</w:t>
            </w:r>
          </w:p>
        </w:tc>
      </w:tr>
      <w:tr>
        <w:tc>
          <w:tcPr>
            <w:tcW w:w="2400" w:type="dxa"/>
            <w:shd w:val="clear" w:color="auto" w:fill="EEF3F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b/>
                <w:bCs/>
                <w:sz w:val="20"/>
                <w:szCs w:val="20"/>
              </w:rPr>
              <w:t xml:space="preserve">Documento gerado em</w:t>
            </w:r>
          </w:p>
        </w:tc>
        <w:tc>
          <w:tcPr>
            <w:tcW w:w="6104" w:type="dxa"/>
          </w:tcPr>
          <w:p>
            <w:pPr>
              <w:spacing w:before="40" w:after="40"/>
              <w:rPr>
                <w:sz w:val="24"/>
                <w:szCs w:val="24"/>
              </w:rPr>
            </w:pPr>
            <w:r>
              <w:rPr>
                <w:sz w:val="20"/>
                <w:szCs w:val="20"/>
              </w:rPr>
              <w:t xml:space="preserve">15/09/2026 (conteúdo integral da work no Agile Accelerator, incluindo notas de refinamento)</w:t>
            </w:r>
          </w:p>
        </w:tc>
      </w:tr>
    </w:tbl>
    <w:p>
      <w:pPr>
        <w:rPr>
          <w:sz w:val="24"/>
          <w:szCs w:val="24"/>
        </w:rPr>
      </w:pPr>
    </w:p>
    <w:p>
      <w:pPr>
        <w:spacing w:after="60"/>
        <w:rPr>
          <w:sz w:val="24"/>
          <w:szCs w:val="24"/>
        </w:rPr>
      </w:pPr>
      <w:r>
        <w:rPr>
          <w:i/>
          <w:iCs/>
          <w:color w:val="595959"/>
          <w:sz w:val="20"/>
          <w:szCs w:val="20"/>
        </w:rPr>
        <w:t xml:space="preserve">Work criada em 30/07/2026 por Priscila De Lima. Texto abaixo transcrito integralmente do campo Details da work.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Nome da Feature: </w:t>
      </w:r>
      <w:r>
        <w:rPr>
          <w:sz w:val="24"/>
          <w:szCs w:val="24"/>
        </w:rPr>
        <w:t xml:space="preserve">Consulta de Viabilidade Geográfica e Filtro Automático de Cobertura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Persona (Quem opera): </w:t>
      </w:r>
      <w:r>
        <w:rPr>
          <w:sz w:val="24"/>
          <w:szCs w:val="24"/>
        </w:rPr>
        <w:t xml:space="preserve">Vendedor (B2C, B2S ou B2B)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Objetivo de Negócio: </w:t>
      </w:r>
      <w:r>
        <w:rPr>
          <w:sz w:val="24"/>
          <w:szCs w:val="24"/>
        </w:rPr>
        <w:t xml:space="preserve">Garantir que o catálogo mostre apenas produtos viáveis no endereço do cliente, eliminando a taxa de "venda impossível" e a necessidade de acionamento manual da engenharia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Elementos de CPQ Envolvidos: </w:t>
      </w:r>
      <w:r>
        <w:rPr>
          <w:sz w:val="24"/>
          <w:szCs w:val="24"/>
        </w:rPr>
        <w:t xml:space="preserve">Product Catalog, Search Filter, API Integration, Eligibility Rules.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Descrição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Como </w:t>
      </w:r>
      <w:r>
        <w:rPr>
          <w:sz w:val="24"/>
          <w:szCs w:val="24"/>
        </w:rPr>
        <w:t xml:space="preserve">um Vendedor (B2C, B2S ou B2B)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Eu quero </w:t>
      </w:r>
      <w:r>
        <w:rPr>
          <w:sz w:val="24"/>
          <w:szCs w:val="24"/>
        </w:rPr>
        <w:t xml:space="preserve">informar o CEP ou coordenadas do cliente na tela de cotação do CPQ e visualizar no mapa a disponibilidade de rede</w:t>
      </w:r>
    </w:p>
    <w:p>
      <w:pPr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Para que </w:t>
      </w:r>
      <w:r>
        <w:rPr>
          <w:sz w:val="24"/>
          <w:szCs w:val="24"/>
        </w:rPr>
        <w:t xml:space="preserve">o catálogo carregue instantaneamente apenas as ofertas que eu realmente posso oferecer, sem precisar abrir chamados de viabilidade para a engenharia de rede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Critérios de Aceite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1: Caminho Feliz - Filtragem de Catálogo Bem-Sucedida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vendedor digita o CEP do cliente na tela inicial da cotação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sistema disparar a chamada API para a base geográfica (GIS) e identificar a infraestrutura (ex: GPON / 300 Mega)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catálogo do CPQ deve filtrar e exibir apenas as ofertas suportadas por aquela tecnologia, ocultando planos incompatíveis (ex: ocultando o plano de 1 Giga)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2: Fluxo de Exceção - Inviabilidade Técnica Total (Estudo Especial)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vendedor pesquisa um endereço corporativo B2B no catálogo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o motor de busca geográfica retornar que não há viabilidade técnica ou portas disponíveis na região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catálogo deve ocultar as ofertas padrão e habilitar um botão de "Solicitar Estudo Especial de Viabilidade (EEV)", direcionando o fluxo automaticamente para a engenharia de redes</w:t>
      </w:r>
    </w:p>
    <w:p>
      <w:pPr>
        <w:keepNext/>
        <w:numPr>
          <w:ilvl w:val="0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Cenário 3: Regra de Bloqueio - Queda de Integração com o GIS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Dado </w:t>
      </w:r>
      <w:r>
        <w:rPr>
          <w:sz w:val="24"/>
          <w:szCs w:val="24"/>
        </w:rPr>
        <w:t xml:space="preserve">que o vendedor inicia a busca por CEP para carregar o catálogo de vendas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Quando </w:t>
      </w:r>
      <w:r>
        <w:rPr>
          <w:sz w:val="24"/>
          <w:szCs w:val="24"/>
        </w:rPr>
        <w:t xml:space="preserve">a API do sistema de inventário geográfico estiver indisponível ou apresentar timeout</w:t>
      </w:r>
    </w:p>
    <w:p>
      <w:pPr>
        <w:numPr>
          <w:ilvl w:val="1"/>
          <w:numId w:val="3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Então </w:t>
      </w:r>
      <w:r>
        <w:rPr>
          <w:sz w:val="24"/>
          <w:szCs w:val="24"/>
        </w:rPr>
        <w:t xml:space="preserve">o CPQ não deve bloquear a venda, mas sim exibir um alerta amigável e permitir o preenchimento manual do endereço, marcando o carrinho com uma pendência de "Validação Assíncrona" antes do fechamento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Direcionamento de Arquitetura CPQ (Para Admins/Devs)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Configuração de Componentes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Criar uma integração via API para consultar o GIS antes do carregamento do catálogo (Pre-Catalog Evaluation).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Utilizar Eligibility Rules e Context Rules no CPQ para vincular a resposta da API (ex: Tecnologia = GPON) aos produtos do catálogo, determinando se a oferta será exibida ou ocultada no Quote Line Editor (QLE).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O catálogo comercial deve ser limpo. Produtos puramente técnicos (ex: identificadores de porta lógica para billing) não devem possuir visibilidade na busca do catálogo, sendo adicionados apenas via Product Rules (Selection) invisíveis ou via decomposição no Order Management (OM).</w:t>
      </w:r>
    </w:p>
    <w:p>
      <w:pPr>
        <w:keepNext/>
        <w:spacing w:before="240"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Riscos e Impactos no Sistema</w:t>
      </w:r>
    </w:p>
    <w:p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Impacto de Performance: </w:t>
      </w:r>
      <w:r>
        <w:rPr>
          <w:sz w:val="24"/>
          <w:szCs w:val="24"/>
        </w:rPr>
        <w:t xml:space="preserve">O uso excessivo de Context Rules baseadas em região para um catálogo muito extenso pode causar severa lentidão no carregamento do QLE. A mitigação é garantir que a API traga um parâmetro consolidado (ex: "L0") e a regra apenas valide esse parâmetro restrito, em vez de avaliar variáveis complexas em tempo real no carrinho.</w:t>
      </w:r>
    </w:p>
    <w:sectPr w:rsidR="00667FCE" w:rsidRPr="00D95147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DD66A4" w14:textId="77777777" w:rsidR="006905A9" w:rsidRDefault="006905A9" w:rsidP="00503E52">
      <w:pPr>
        <w:spacing w:after="0" w:line="240" w:lineRule="auto"/>
      </w:pPr>
      <w:r>
        <w:separator/>
      </w:r>
    </w:p>
  </w:endnote>
  <w:endnote w:type="continuationSeparator" w:id="0">
    <w:p w14:paraId="164B2F6C" w14:textId="77777777" w:rsidR="006905A9" w:rsidRDefault="006905A9" w:rsidP="00503E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760D7" w14:textId="4EC72B34" w:rsidR="00D40736" w:rsidRDefault="00D40736" w:rsidP="00D40736">
    <w:pPr>
      <w:pBdr>
        <w:top w:val="single" w:sz="6" w:space="4" w:color="4FC3E0"/>
      </w:pBdr>
      <w:tabs>
        <w:tab w:val="right" w:pos="9026"/>
      </w:tabs>
    </w:pPr>
    <w:r>
      <w:rPr>
        <w:color w:val="555555"/>
        <w:sz w:val="16"/>
        <w:szCs w:val="16"/>
      </w:rPr>
      <w:t xml:space="preserve">Brasil </w:t>
    </w:r>
    <w:proofErr w:type="spellStart"/>
    <w:r>
      <w:rPr>
        <w:color w:val="555555"/>
        <w:sz w:val="16"/>
        <w:szCs w:val="16"/>
      </w:rPr>
      <w:t>TecPar</w:t>
    </w:r>
    <w:proofErr w:type="spellEnd"/>
    <w:r>
      <w:rPr>
        <w:color w:val="555555"/>
        <w:sz w:val="16"/>
        <w:szCs w:val="16"/>
      </w:rPr>
      <w:t xml:space="preserve"> — Confidencial</w:t>
    </w:r>
    <w:r>
      <w:tab/>
    </w:r>
    <w:r>
      <w:rPr>
        <w:color w:val="555555"/>
        <w:sz w:val="16"/>
        <w:szCs w:val="16"/>
      </w:rPr>
      <w:t xml:space="preserve">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de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>
      <w:rPr>
        <w:color w:val="555555"/>
        <w:sz w:val="16"/>
        <w:szCs w:val="16"/>
      </w:rPr>
      <w:t>9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75657" w14:textId="77777777" w:rsidR="006905A9" w:rsidRDefault="006905A9" w:rsidP="00503E52">
      <w:pPr>
        <w:spacing w:after="0" w:line="240" w:lineRule="auto"/>
      </w:pPr>
      <w:r>
        <w:separator/>
      </w:r>
    </w:p>
  </w:footnote>
  <w:footnote w:type="continuationSeparator" w:id="0">
    <w:p w14:paraId="16485611" w14:textId="77777777" w:rsidR="006905A9" w:rsidRDefault="006905A9" w:rsidP="00503E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0" w:type="dxa"/>
      <w:tblBorders>
        <w:top w:val="none" w:sz="0" w:space="0" w:color="FFFFFF"/>
        <w:left w:val="none" w:sz="0" w:space="0" w:color="FFFFFF"/>
        <w:bottom w:val="single" w:sz="6" w:space="0" w:color="4FC3E0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350"/>
      <w:gridCol w:w="6000"/>
    </w:tblGrid>
    <w:tr w:rsidR="00503E52" w14:paraId="590DEADA" w14:textId="77777777" w:rsidTr="00CF0C8D">
      <w:trPr>
        <w:trHeight w:val="426"/>
      </w:trPr>
      <w:tc>
        <w:tcPr>
          <w:tcW w:w="3350" w:type="dxa"/>
          <w:tcMar>
            <w:bottom w:w="120" w:type="dxa"/>
          </w:tcMar>
          <w:vAlign w:val="center"/>
        </w:tcPr>
        <w:p w14:paraId="453FE15E" w14:textId="77777777" w:rsidR="00503E52" w:rsidRDefault="00503E52" w:rsidP="00503E52"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05F786D0" wp14:editId="03FB9655">
                <wp:simplePos x="0" y="0"/>
                <wp:positionH relativeFrom="margin">
                  <wp:posOffset>1098550</wp:posOffset>
                </wp:positionH>
                <wp:positionV relativeFrom="paragraph">
                  <wp:posOffset>132080</wp:posOffset>
                </wp:positionV>
                <wp:extent cx="827405" cy="304165"/>
                <wp:effectExtent l="0" t="0" r="0" b="635"/>
                <wp:wrapNone/>
                <wp:docPr id="1974319684" name="Imagem 1" descr="SysMap Solutions | Softwares e Soluções Digita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ysMap Solutions | Softwares e Soluções Digita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7405" cy="304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inline distT="0" distB="0" distL="0" distR="0" wp14:anchorId="65C2FA44" wp14:editId="0407F62C">
                <wp:extent cx="1047750" cy="466725"/>
                <wp:effectExtent l="0" t="0" r="0" b="0"/>
                <wp:docPr id="633266941" name="Imagem 6332669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466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00" w:type="dxa"/>
          <w:tcMar>
            <w:bottom w:w="120" w:type="dxa"/>
          </w:tcMar>
          <w:vAlign w:val="center"/>
        </w:tcPr>
        <w:p w14:paraId="51E44935" w14:textId="77777777" w:rsidR="00D40736" w:rsidRDefault="00D40736" w:rsidP="00503E52">
          <w:pPr>
            <w:jc w:val="right"/>
            <w:rPr>
              <w:i/>
              <w:iCs/>
              <w:color w:val="555555"/>
              <w:sz w:val="16"/>
              <w:szCs w:val="16"/>
            </w:rPr>
          </w:pPr>
        </w:p>
        <w:p w14:paraId="3EB5A1D3" w14:textId="3DD953D7" w:rsidR="00D40736" w:rsidRDefault="00D40736" w:rsidP="00D40736">
          <w:pPr>
            <w:jc w:val="right"/>
          </w:pPr>
          <w:r>
            <w:rPr>
              <w:i/>
              <w:iCs/>
              <w:color w:val="555555"/>
              <w:sz w:val="16"/>
              <w:szCs w:val="16"/>
            </w:rPr>
            <w:t>Requisitos</w:t>
          </w:r>
        </w:p>
      </w:tc>
    </w:tr>
  </w:tbl>
  <w:p w14:paraId="2ED8DC7A" w14:textId="77777777" w:rsidR="00503E52" w:rsidRDefault="00503E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2320E"/>
    <w:multiLevelType w:val="multilevel"/>
    <w:tmpl w:val="EADA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750B4"/>
    <w:multiLevelType w:val="multilevel"/>
    <w:tmpl w:val="A0C8C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521A6"/>
    <w:multiLevelType w:val="multilevel"/>
    <w:tmpl w:val="3C3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50AEC"/>
    <w:multiLevelType w:val="multilevel"/>
    <w:tmpl w:val="4534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A60E3"/>
    <w:multiLevelType w:val="multilevel"/>
    <w:tmpl w:val="7AC6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834CBC"/>
    <w:multiLevelType w:val="multilevel"/>
    <w:tmpl w:val="02B4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E054A1"/>
    <w:multiLevelType w:val="multilevel"/>
    <w:tmpl w:val="FDD8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8266B"/>
    <w:multiLevelType w:val="multilevel"/>
    <w:tmpl w:val="0C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9C371D"/>
    <w:multiLevelType w:val="multilevel"/>
    <w:tmpl w:val="406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C4F90"/>
    <w:multiLevelType w:val="multilevel"/>
    <w:tmpl w:val="F630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14425">
    <w:abstractNumId w:val="4"/>
  </w:num>
  <w:num w:numId="2" w16cid:durableId="418017940">
    <w:abstractNumId w:val="1"/>
  </w:num>
  <w:num w:numId="3" w16cid:durableId="1383214474">
    <w:abstractNumId w:val="7"/>
  </w:num>
  <w:num w:numId="4" w16cid:durableId="1976526192">
    <w:abstractNumId w:val="2"/>
  </w:num>
  <w:num w:numId="5" w16cid:durableId="447050316">
    <w:abstractNumId w:val="8"/>
  </w:num>
  <w:num w:numId="6" w16cid:durableId="1396733446">
    <w:abstractNumId w:val="6"/>
  </w:num>
  <w:num w:numId="7" w16cid:durableId="372315281">
    <w:abstractNumId w:val="0"/>
  </w:num>
  <w:num w:numId="8" w16cid:durableId="1536652809">
    <w:abstractNumId w:val="9"/>
  </w:num>
  <w:num w:numId="9" w16cid:durableId="1379085755">
    <w:abstractNumId w:val="3"/>
  </w:num>
  <w:num w:numId="10" w16cid:durableId="17646399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147"/>
    <w:rsid w:val="00324582"/>
    <w:rsid w:val="004E12D8"/>
    <w:rsid w:val="00503E52"/>
    <w:rsid w:val="00553E15"/>
    <w:rsid w:val="00667FCE"/>
    <w:rsid w:val="006905A9"/>
    <w:rsid w:val="00C35324"/>
    <w:rsid w:val="00CF09F0"/>
    <w:rsid w:val="00D40736"/>
    <w:rsid w:val="00D95147"/>
    <w:rsid w:val="00F03642"/>
    <w:rsid w:val="00F3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3C051"/>
  <w15:chartTrackingRefBased/>
  <w15:docId w15:val="{DED9F346-9818-4112-8711-CFC6743C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95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95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95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95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95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95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95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95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95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95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95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95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951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9514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951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9514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951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951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95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95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95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95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95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9514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9514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9514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95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9514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9514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3E52"/>
  </w:style>
  <w:style w:type="paragraph" w:styleId="Rodap">
    <w:name w:val="footer"/>
    <w:basedOn w:val="Normal"/>
    <w:link w:val="RodapChar"/>
    <w:uiPriority w:val="99"/>
    <w:unhideWhenUsed/>
    <w:rsid w:val="00503E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3E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7</Pages>
  <Words>1616</Words>
  <Characters>8727</Characters>
  <Application>Microsoft Office Word</Application>
  <DocSecurity>0</DocSecurity>
  <Lines>72</Lines>
  <Paragraphs>20</Paragraphs>
  <ScaleCrop>false</ScaleCrop>
  <Company/>
  <LinksUpToDate>false</LinksUpToDate>
  <CharactersWithSpaces>10323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W-000045 - Comercial - Filtro de viabilidade e disponibilidade dinâmica no catálogo</dc:title>
  <dc:subject/>
  <dc:creator>Brasil TecPar</dc:creator>
  <cp:keywords/>
  <dc:description/>
  <cp:lastModifiedBy>Diego Beltrão de Moraes</cp:lastModifiedBy>
  <cp:revision>3</cp:revision>
  <dcterms:created xsi:type="dcterms:W3CDTF">2026-09-15T17:48:00Z</dcterms:created>
  <dcterms:modified xsi:type="dcterms:W3CDTF">2026-09-15T17:48:00Z</dcterms:modified>
</cp:coreProperties>
</file>