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6EC72" w14:textId="77777777" w:rsidR="00503E52" w:rsidRDefault="00503E52" w:rsidP="00503E52">
      <w:r>
        <w:rPr>
          <w:noProof/>
        </w:rPr>
        <w:drawing>
          <wp:anchor distT="0" distB="0" distL="114300" distR="114300" simplePos="0" relativeHeight="251659264" behindDoc="1" locked="0" layoutInCell="1" allowOverlap="1" wp14:anchorId="7622A1AB" wp14:editId="29A11D7A">
            <wp:simplePos x="0" y="0"/>
            <wp:positionH relativeFrom="margin">
              <wp:posOffset>3082925</wp:posOffset>
            </wp:positionH>
            <wp:positionV relativeFrom="paragraph">
              <wp:posOffset>494665</wp:posOffset>
            </wp:positionV>
            <wp:extent cx="1905000" cy="700121"/>
            <wp:effectExtent l="0" t="0" r="0" b="5080"/>
            <wp:wrapNone/>
            <wp:docPr id="242947192" name="Imagem 1" descr="SysMap Solutions | Softwares e Soluções Digita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ysMap Solutions | Softwares e Soluções Digitais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700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  <w:drawing>
          <wp:inline distT="0" distB="0" distL="0" distR="0" wp14:anchorId="24F48AA4" wp14:editId="54778DB1">
            <wp:extent cx="2857500" cy="127635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9A5EE" w14:textId="77777777" w:rsidR="00503E52" w:rsidRDefault="00503E52" w:rsidP="00503E52">
      <w:pPr>
        <w:spacing w:before="900"/>
      </w:pPr>
    </w:p>
    <w:p>
      <w:pPr>
        <w:spacing w:after="100"/>
        <w:jc w:val="center"/>
        <w:rPr>
          <w:sz w:val="24"/>
          <w:szCs w:val="24"/>
        </w:rPr>
      </w:pPr>
      <w:r>
        <w:rPr>
          <w:b/>
          <w:bCs/>
          <w:color w:val="0C3C8C"/>
          <w:sz w:val="44"/>
          <w:szCs w:val="44"/>
        </w:rPr>
        <w:t xml:space="preserve">Requisitos de negócio Projeto Salesforce</w:t>
      </w:r>
    </w:p>
    <w:p>
      <w:pPr>
        <w:spacing w:before="600" w:after="200"/>
        <w:jc w:val="center"/>
        <w:rPr>
          <w:sz w:val="24"/>
          <w:szCs w:val="24"/>
        </w:rPr>
      </w:pPr>
      <w:r>
        <w:rPr>
          <w:b/>
          <w:bCs/>
          <w:color w:val="0C3C8C"/>
          <w:sz w:val="28"/>
          <w:szCs w:val="28"/>
        </w:rPr>
        <w:t xml:space="preserve">Comercial - Montagem de propostas com bundles guiados e cross-sell</w:t>
      </w:r>
    </w:p>
    <w:p>
      <w:pPr>
        <w:jc w:val="center"/>
        <w:rPr>
          <w:sz w:val="24"/>
          <w:szCs w:val="24"/>
        </w:rPr>
      </w:pPr>
      <w:r>
        <w:rPr>
          <w:color w:val="595959"/>
          <w:sz w:val="22"/>
          <w:szCs w:val="22"/>
        </w:rPr>
        <w:t xml:space="preserve">W-000046  ·  Catálogo Comercial Unificado - B2B/B2C</w:t>
      </w:r>
    </w:p>
    <w:p>
      <w:pPr>
        <w:jc w:val="center"/>
        <w:rPr>
          <w:sz w:val="24"/>
          <w:szCs w:val="24"/>
        </w:rPr>
      </w:pPr>
      <w:r>
        <w:rPr>
          <w:color w:val="595959"/>
          <w:sz w:val="22"/>
          <w:szCs w:val="22"/>
        </w:rPr>
        <w:t xml:space="preserve">Time: SysMap  ·  Status: New</w:t>
      </w:r>
    </w:p>
    <w:p>
      <w:pPr>
        <w:rPr>
          <w:sz w:val="24"/>
          <w:szCs w:val="24"/>
        </w:rPr>
      </w:pPr>
    </w:p>
    <w:p>
      <w:pPr>
        <w:spacing w:after="12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Comercial - Montagem de propostas com bundles guiados e cross-sell</w:t>
      </w:r>
    </w:p>
    <w:tbl>
      <w:tblPr>
        <w:tblW w:w="850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/>
      </w:tblPr>
      <w:tblGrid>
        <w:gridCol w:w="2400"/>
        <w:gridCol w:w="6104"/>
      </w:tblGrid>
      <w:tr>
        <w:tc>
          <w:tcPr>
            <w:tcW w:w="2400" w:type="dxa"/>
            <w:shd w:val="clear" w:color="auto" w:fill="EEF3F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 xml:space="preserve">Work</w:t>
            </w:r>
          </w:p>
        </w:tc>
        <w:tc>
          <w:tcPr>
            <w:tcW w:w="6104" w:type="dx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 xml:space="preserve">W-000046</w:t>
            </w:r>
          </w:p>
        </w:tc>
      </w:tr>
      <w:tr>
        <w:tc>
          <w:tcPr>
            <w:tcW w:w="2400" w:type="dxa"/>
            <w:shd w:val="clear" w:color="auto" w:fill="EEF3F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 xml:space="preserve">Épico</w:t>
            </w:r>
          </w:p>
        </w:tc>
        <w:tc>
          <w:tcPr>
            <w:tcW w:w="6104" w:type="dx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 xml:space="preserve">Catálogo Comercial Unificado - B2B/B2C</w:t>
            </w:r>
          </w:p>
        </w:tc>
      </w:tr>
      <w:tr>
        <w:tc>
          <w:tcPr>
            <w:tcW w:w="2400" w:type="dxa"/>
            <w:shd w:val="clear" w:color="auto" w:fill="EEF3F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 xml:space="preserve">Time (Scrum Team)</w:t>
            </w:r>
          </w:p>
        </w:tc>
        <w:tc>
          <w:tcPr>
            <w:tcW w:w="6104" w:type="dx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 xml:space="preserve">SysMap</w:t>
            </w:r>
          </w:p>
        </w:tc>
      </w:tr>
      <w:tr>
        <w:tc>
          <w:tcPr>
            <w:tcW w:w="2400" w:type="dxa"/>
            <w:shd w:val="clear" w:color="auto" w:fill="EEF3F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w="6104" w:type="dx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w="2400" w:type="dxa"/>
            <w:shd w:val="clear" w:color="auto" w:fill="EEF3F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 xml:space="preserve">Responsável</w:t>
            </w:r>
          </w:p>
        </w:tc>
        <w:tc>
          <w:tcPr>
            <w:tcW w:w="6104" w:type="dx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 xml:space="preserve">Thiago Campos Almeida</w:t>
            </w:r>
          </w:p>
        </w:tc>
      </w:tr>
      <w:tr>
        <w:tc>
          <w:tcPr>
            <w:tcW w:w="2400" w:type="dxa"/>
            <w:shd w:val="clear" w:color="auto" w:fill="EEF3F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 xml:space="preserve">Sprint</w:t>
            </w:r>
          </w:p>
        </w:tc>
        <w:tc>
          <w:tcPr>
            <w:tcW w:w="6104" w:type="dx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 xml:space="preserve">Sprint Catálogo - 1a e 2a Semana</w:t>
            </w:r>
          </w:p>
        </w:tc>
      </w:tr>
      <w:tr>
        <w:tc>
          <w:tcPr>
            <w:tcW w:w="2400" w:type="dxa"/>
            <w:shd w:val="clear" w:color="auto" w:fill="EEF3F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 xml:space="preserve">Documento gerado em</w:t>
            </w:r>
          </w:p>
        </w:tc>
        <w:tc>
          <w:tcPr>
            <w:tcW w:w="6104" w:type="dx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 xml:space="preserve">15/09/2026 (conteúdo integral da work no Agile Accelerator, incluindo notas de refinamento)</w:t>
            </w:r>
          </w:p>
        </w:tc>
      </w:tr>
    </w:tbl>
    <w:p>
      <w:pPr>
        <w:rPr>
          <w:sz w:val="24"/>
          <w:szCs w:val="24"/>
        </w:rPr>
      </w:pPr>
    </w:p>
    <w:p>
      <w:pPr>
        <w:spacing w:after="60"/>
        <w:rPr>
          <w:sz w:val="24"/>
          <w:szCs w:val="24"/>
        </w:rPr>
      </w:pPr>
      <w:r>
        <w:rPr>
          <w:i/>
          <w:iCs/>
          <w:color w:val="595959"/>
          <w:sz w:val="20"/>
          <w:szCs w:val="20"/>
        </w:rPr>
        <w:t xml:space="preserve">Work criada em 30/07/2026 por Priscila De Lima. Texto abaixo transcrito integralmente do campo Details da work.</w:t>
      </w:r>
    </w:p>
    <w:p>
      <w:pPr>
        <w:keepNext/>
        <w:spacing w:before="240" w:after="8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Contexto da Funcionalidade</w:t>
      </w:r>
    </w:p>
    <w:p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Nome da Feature: </w:t>
      </w:r>
      <w:r>
        <w:rPr>
          <w:sz w:val="24"/>
          <w:szCs w:val="24"/>
        </w:rPr>
        <w:t xml:space="preserve">Cotação Guiada com Regras de Compatibilidade e Sugestão de Adicionais</w:t>
      </w:r>
    </w:p>
    <w:p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Persona (Quem opera): </w:t>
      </w:r>
      <w:r>
        <w:rPr>
          <w:sz w:val="24"/>
          <w:szCs w:val="24"/>
        </w:rPr>
        <w:t xml:space="preserve">Consultor de Vendas B2B/B2S</w:t>
      </w:r>
    </w:p>
    <w:p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Objetivo de Negócio: </w:t>
      </w:r>
      <w:r>
        <w:rPr>
          <w:sz w:val="24"/>
          <w:szCs w:val="24"/>
        </w:rPr>
        <w:t xml:space="preserve">Guiar o vendedor com a venda de pacotes (Bundles), forçando a compatibilidade de equipamentos, elevando o ticket médio via recomendações automáticas, e blindando a proposta contra erros técnicos</w:t>
      </w:r>
    </w:p>
    <w:p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Elementos de CPQ Envolvidos: </w:t>
      </w:r>
      <w:r>
        <w:rPr>
          <w:sz w:val="24"/>
          <w:szCs w:val="24"/>
        </w:rPr>
        <w:t xml:space="preserve">Product Bundles, Product Rules (Selection, Validation, Alert), Option Constraints, Quote Document.</w:t>
      </w:r>
    </w:p>
    <w:p>
      <w:pPr>
        <w:keepNext/>
        <w:spacing w:before="240" w:after="8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Descrição</w:t>
      </w:r>
    </w:p>
    <w:p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Como </w:t>
      </w:r>
      <w:r>
        <w:rPr>
          <w:sz w:val="24"/>
          <w:szCs w:val="24"/>
        </w:rPr>
        <w:t xml:space="preserve">um Consultor de Vendas B2B/B2S</w:t>
      </w:r>
    </w:p>
    <w:p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Eu quero </w:t>
      </w:r>
      <w:r>
        <w:rPr>
          <w:sz w:val="24"/>
          <w:szCs w:val="24"/>
        </w:rPr>
        <w:t xml:space="preserve">selecionar um bundle de serviços no catálogo e que o CPQ inclua automaticamente os equipamentos obrigatórios, sugerindo serviços adicionais pertinentes (como IP Fixo ou Wi-Fi Mesh)</w:t>
      </w:r>
    </w:p>
    <w:p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Para que </w:t>
      </w:r>
      <w:r>
        <w:rPr>
          <w:sz w:val="24"/>
          <w:szCs w:val="24"/>
        </w:rPr>
        <w:t xml:space="preserve">eu possa garantir 100% de exatidão técnica na proposta e maximizar o ticket médio da venda com cross-sell/up-sell contextuais</w:t>
      </w:r>
    </w:p>
    <w:p>
      <w:pPr>
        <w:keepNext/>
        <w:spacing w:before="240" w:after="8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Critérios de Aceite</w:t>
      </w:r>
    </w:p>
    <w:p>
      <w:pPr>
        <w:keepNext/>
        <w:numPr>
          <w:ilvl w:val="0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Cenário 1: Caminho Feliz - Inclusão e Trava de Equipamentos Obrigatórios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Dado </w:t>
      </w:r>
      <w:r>
        <w:rPr>
          <w:sz w:val="24"/>
          <w:szCs w:val="24"/>
        </w:rPr>
        <w:t xml:space="preserve">que o vendedor adiciona um bundle de "Link Dedicado" no carrinho do CPQ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Quando </w:t>
      </w:r>
      <w:r>
        <w:rPr>
          <w:sz w:val="24"/>
          <w:szCs w:val="24"/>
        </w:rPr>
        <w:t xml:space="preserve">a oferta é configurada com a velocidade desejada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Então </w:t>
      </w:r>
      <w:r>
        <w:rPr>
          <w:sz w:val="24"/>
          <w:szCs w:val="24"/>
        </w:rPr>
        <w:t xml:space="preserve">o sistema deve incluir automaticamente o modelo de roteador técnico compatível e a taxa de instalação padrão, travando esses componentes (sem ícone de lixeira) para que o vendedor não possa removê-los acidentalmente</w:t>
      </w:r>
    </w:p>
    <w:p>
      <w:pPr>
        <w:keepNext/>
        <w:numPr>
          <w:ilvl w:val="0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Cenário 2: Fluxo de Exceção - Recomendação Guiada de Cross-Sell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Dado </w:t>
      </w:r>
      <w:r>
        <w:rPr>
          <w:sz w:val="24"/>
          <w:szCs w:val="24"/>
        </w:rPr>
        <w:t xml:space="preserve">que o vendedor está na tela de configuração do pacote no carrinho (QLE)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Quando </w:t>
      </w:r>
      <w:r>
        <w:rPr>
          <w:sz w:val="24"/>
          <w:szCs w:val="24"/>
        </w:rPr>
        <w:t xml:space="preserve">ele seleciona um plano com velocidade acima de 500 Mega ou uma oferta corporativa B2B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Então </w:t>
      </w:r>
      <w:r>
        <w:rPr>
          <w:sz w:val="24"/>
          <w:szCs w:val="24"/>
        </w:rPr>
        <w:t xml:space="preserve">o CPQ deve disparar um painel ou alerta de recomendação sugerindo a adição de produtos Cross-sell compatíveis (ex: Wi-Fi Mesh, IP Fixo, Nobreak) com a opção de adicionar em 1 clique</w:t>
      </w:r>
    </w:p>
    <w:p>
      <w:pPr>
        <w:keepNext/>
        <w:numPr>
          <w:ilvl w:val="0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Cenário 3: Regra de Bloqueio - Impedimento de Geração de Proposta com Erro Técnico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Dado </w:t>
      </w:r>
      <w:r>
        <w:rPr>
          <w:sz w:val="24"/>
          <w:szCs w:val="24"/>
        </w:rPr>
        <w:t xml:space="preserve">que o vendedor, mesmo com as travas, tenta forçar uma alteração manual para um equipamento incompatível com a banda selecionada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Quando </w:t>
      </w:r>
      <w:r>
        <w:rPr>
          <w:sz w:val="24"/>
          <w:szCs w:val="24"/>
        </w:rPr>
        <w:t xml:space="preserve">ele tentar avançar ou clicar em "Finalizar Cotação" / "Gerar PDF"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Então </w:t>
      </w:r>
      <w:r>
        <w:rPr>
          <w:sz w:val="24"/>
          <w:szCs w:val="24"/>
        </w:rPr>
        <w:t xml:space="preserve">o CPQ deve avaliar a compatibilidade, manter os botões de avanço e geração de PDF inativos e exibir uma mensagem de erro vermelha indicando a incompatibilidade, exigindo correção ou aprovação de um Validador Técnico</w:t>
      </w:r>
    </w:p>
    <w:p>
      <w:pPr>
        <w:keepNext/>
        <w:spacing w:before="240" w:after="8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Direcionamento de Arquitetura CPQ (Para Admins/Devs)</w:t>
      </w:r>
    </w:p>
    <w:p>
      <w:pPr>
        <w:keepNext/>
        <w:spacing w:before="240" w:after="8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Configuração de Componentes no EPC/CPQ</w:t>
      </w:r>
    </w:p>
    <w:p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Configuração de Bundles: </w:t>
      </w:r>
      <w:r>
        <w:rPr>
          <w:sz w:val="24"/>
          <w:szCs w:val="24"/>
        </w:rPr>
        <w:t xml:space="preserve">O catálogo comercial deve usar Features e Options. O produto principal (ex: Internet Corporativa) atua como pai, e os itens obrigatórios (roteador, taxa) têm a cardinalidade Min=1 e Max=1 (com flag Required e Bundled caso o preço venha zerado/embutido).</w:t>
      </w:r>
    </w:p>
    <w:p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Product Rules (Selection): </w:t>
      </w:r>
      <w:r>
        <w:rPr>
          <w:sz w:val="24"/>
          <w:szCs w:val="24"/>
        </w:rPr>
        <w:t xml:space="preserve">Regras de seleção do tipo "Add" para forçar a entrada do roteador correto com base na velocidade escolhida.</w:t>
      </w:r>
    </w:p>
    <w:p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Product Rules (Alert/Show): </w:t>
      </w:r>
      <w:r>
        <w:rPr>
          <w:sz w:val="24"/>
          <w:szCs w:val="24"/>
        </w:rPr>
        <w:t xml:space="preserve">Regras para habilitar o Cross-sell dinâmico exibindo Prompts recomendando o IP Fixo e Wi-Fi Mesh</w:t>
      </w:r>
    </w:p>
    <w:p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Product Rules (Validation): </w:t>
      </w:r>
      <w:r>
        <w:rPr>
          <w:sz w:val="24"/>
          <w:szCs w:val="24"/>
        </w:rPr>
        <w:t xml:space="preserve">Regras para disparar a mensagem de erro que impede o salvamento (Save) ou a geração de PDF caso regras de negócio e limites técnicos sejam violados</w:t>
      </w:r>
    </w:p>
    <w:p>
      <w:pPr>
        <w:keepNext/>
        <w:spacing w:before="240" w:after="8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Riscos e Impactos no Sistema</w:t>
      </w:r>
    </w:p>
    <w:p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Complexidade de Manutenção do Catálogo: </w:t>
      </w:r>
      <w:r>
        <w:rPr>
          <w:sz w:val="24"/>
          <w:szCs w:val="24"/>
        </w:rPr>
        <w:t xml:space="preserve">A criação excessiva de pacotes rígidos pode engessar as vendas. É crucial utilizar Object Types no catálogo EPC para que atributos e regras base sejam herdados, permitindo criar um "Bundle Parametrizável" no qual o vendedor escolhe a velocidade e o sistema define as regras por trás, em vez de criar um SKU (Produto) novo para cada mínima variação de velocidade e porta.</w:t>
      </w:r>
    </w:p>
    <w:p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Excesso de cliques no QLE: </w:t>
      </w:r>
      <w:r>
        <w:rPr>
          <w:sz w:val="24"/>
          <w:szCs w:val="24"/>
        </w:rPr>
        <w:t xml:space="preserve">Se os itens de faturamento (notas divididas) ficarem visíveis no carrinho, o vendedor terá uma visão poluída. O impacto é mitigado transferindo os itens apenas de faturamento para o Order Management (OM) via decomposição, deixando no CPQ a Visão Limpa focada no valor total que o cliente visualiza</w:t>
      </w:r>
    </w:p>
    <w:sectPr w:rsidR="00667FCE" w:rsidRPr="00D95147">
      <w:headerReference w:type="default" r:id="rId9"/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DD66A4" w14:textId="77777777" w:rsidR="006905A9" w:rsidRDefault="006905A9" w:rsidP="00503E52">
      <w:pPr>
        <w:spacing w:after="0" w:line="240" w:lineRule="auto"/>
      </w:pPr>
      <w:r>
        <w:separator/>
      </w:r>
    </w:p>
  </w:endnote>
  <w:endnote w:type="continuationSeparator" w:id="0">
    <w:p w14:paraId="164B2F6C" w14:textId="77777777" w:rsidR="006905A9" w:rsidRDefault="006905A9" w:rsidP="00503E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760D7" w14:textId="4EC72B34" w:rsidR="00D40736" w:rsidRDefault="00D40736" w:rsidP="00D40736">
    <w:pPr>
      <w:pBdr>
        <w:top w:val="single" w:sz="6" w:space="4" w:color="4FC3E0"/>
      </w:pBdr>
      <w:tabs>
        <w:tab w:val="right" w:pos="9026"/>
      </w:tabs>
    </w:pPr>
    <w:r>
      <w:rPr>
        <w:color w:val="555555"/>
        <w:sz w:val="16"/>
        <w:szCs w:val="16"/>
      </w:rPr>
      <w:t xml:space="preserve">Brasil </w:t>
    </w:r>
    <w:proofErr w:type="spellStart"/>
    <w:r>
      <w:rPr>
        <w:color w:val="555555"/>
        <w:sz w:val="16"/>
        <w:szCs w:val="16"/>
      </w:rPr>
      <w:t>TecPar</w:t>
    </w:r>
    <w:proofErr w:type="spellEnd"/>
    <w:r>
      <w:rPr>
        <w:color w:val="555555"/>
        <w:sz w:val="16"/>
        <w:szCs w:val="16"/>
      </w:rPr>
      <w:t xml:space="preserve"> — Confidencial</w:t>
    </w:r>
    <w:r>
      <w:tab/>
    </w:r>
    <w:r>
      <w:rPr>
        <w:color w:val="555555"/>
        <w:sz w:val="16"/>
        <w:szCs w:val="16"/>
      </w:rPr>
      <w:t xml:space="preserve">Página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PAGE</w:instrText>
    </w:r>
    <w:r>
      <w:rPr>
        <w:color w:val="555555"/>
        <w:sz w:val="16"/>
        <w:szCs w:val="16"/>
      </w:rPr>
      <w:fldChar w:fldCharType="separate"/>
    </w:r>
    <w:r>
      <w:rPr>
        <w:color w:val="555555"/>
        <w:sz w:val="16"/>
        <w:szCs w:val="16"/>
      </w:rPr>
      <w:t>2</w:t>
    </w:r>
    <w:r>
      <w:rPr>
        <w:color w:val="555555"/>
        <w:sz w:val="16"/>
        <w:szCs w:val="16"/>
      </w:rPr>
      <w:fldChar w:fldCharType="end"/>
    </w:r>
    <w:r>
      <w:rPr>
        <w:color w:val="555555"/>
        <w:sz w:val="16"/>
        <w:szCs w:val="16"/>
      </w:rPr>
      <w:t xml:space="preserve"> de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NUMPAGES</w:instrText>
    </w:r>
    <w:r>
      <w:rPr>
        <w:color w:val="555555"/>
        <w:sz w:val="16"/>
        <w:szCs w:val="16"/>
      </w:rPr>
      <w:fldChar w:fldCharType="separate"/>
    </w:r>
    <w:r>
      <w:rPr>
        <w:color w:val="555555"/>
        <w:sz w:val="16"/>
        <w:szCs w:val="16"/>
      </w:rPr>
      <w:t>9</w:t>
    </w:r>
    <w:r>
      <w:rPr>
        <w:color w:val="55555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675657" w14:textId="77777777" w:rsidR="006905A9" w:rsidRDefault="006905A9" w:rsidP="00503E52">
      <w:pPr>
        <w:spacing w:after="0" w:line="240" w:lineRule="auto"/>
      </w:pPr>
      <w:r>
        <w:separator/>
      </w:r>
    </w:p>
  </w:footnote>
  <w:footnote w:type="continuationSeparator" w:id="0">
    <w:p w14:paraId="16485611" w14:textId="77777777" w:rsidR="006905A9" w:rsidRDefault="006905A9" w:rsidP="00503E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50" w:type="dxa"/>
      <w:tblBorders>
        <w:top w:val="none" w:sz="0" w:space="0" w:color="FFFFFF"/>
        <w:left w:val="none" w:sz="0" w:space="0" w:color="FFFFFF"/>
        <w:bottom w:val="single" w:sz="6" w:space="0" w:color="4FC3E0"/>
        <w:right w:val="none" w:sz="0" w:space="0" w:color="FFFFFF"/>
        <w:insideH w:val="none" w:sz="0" w:space="0" w:color="FFFFFF"/>
        <w:insideV w:val="none" w:sz="0" w:space="0" w:color="FFFFFF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3350"/>
      <w:gridCol w:w="6000"/>
    </w:tblGrid>
    <w:tr w:rsidR="00503E52" w14:paraId="590DEADA" w14:textId="77777777" w:rsidTr="00CF0C8D">
      <w:trPr>
        <w:trHeight w:val="426"/>
      </w:trPr>
      <w:tc>
        <w:tcPr>
          <w:tcW w:w="3350" w:type="dxa"/>
          <w:tcMar>
            <w:bottom w:w="120" w:type="dxa"/>
          </w:tcMar>
          <w:vAlign w:val="center"/>
        </w:tcPr>
        <w:p w14:paraId="453FE15E" w14:textId="77777777" w:rsidR="00503E52" w:rsidRDefault="00503E52" w:rsidP="00503E52"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05F786D0" wp14:editId="03FB9655">
                <wp:simplePos x="0" y="0"/>
                <wp:positionH relativeFrom="margin">
                  <wp:posOffset>1098550</wp:posOffset>
                </wp:positionH>
                <wp:positionV relativeFrom="paragraph">
                  <wp:posOffset>132080</wp:posOffset>
                </wp:positionV>
                <wp:extent cx="827405" cy="304165"/>
                <wp:effectExtent l="0" t="0" r="0" b="635"/>
                <wp:wrapNone/>
                <wp:docPr id="1974319684" name="Imagem 1" descr="SysMap Solutions | Softwares e Soluções Digitai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SysMap Solutions | Softwares e Soluções Digitai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7405" cy="304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noProof/>
            </w:rPr>
            <w:drawing>
              <wp:inline distT="0" distB="0" distL="0" distR="0" wp14:anchorId="65C2FA44" wp14:editId="0407F62C">
                <wp:extent cx="1047750" cy="466725"/>
                <wp:effectExtent l="0" t="0" r="0" b="0"/>
                <wp:docPr id="633266941" name="Imagem 6332669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47750" cy="466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000" w:type="dxa"/>
          <w:tcMar>
            <w:bottom w:w="120" w:type="dxa"/>
          </w:tcMar>
          <w:vAlign w:val="center"/>
        </w:tcPr>
        <w:p w14:paraId="51E44935" w14:textId="77777777" w:rsidR="00D40736" w:rsidRDefault="00D40736" w:rsidP="00503E52">
          <w:pPr>
            <w:jc w:val="right"/>
            <w:rPr>
              <w:i/>
              <w:iCs/>
              <w:color w:val="555555"/>
              <w:sz w:val="16"/>
              <w:szCs w:val="16"/>
            </w:rPr>
          </w:pPr>
        </w:p>
        <w:p w14:paraId="3EB5A1D3" w14:textId="3DD953D7" w:rsidR="00D40736" w:rsidRDefault="00D40736" w:rsidP="00D40736">
          <w:pPr>
            <w:jc w:val="right"/>
          </w:pPr>
          <w:r>
            <w:rPr>
              <w:i/>
              <w:iCs/>
              <w:color w:val="555555"/>
              <w:sz w:val="16"/>
              <w:szCs w:val="16"/>
            </w:rPr>
            <w:t>Requisitos</w:t>
          </w:r>
        </w:p>
      </w:tc>
    </w:tr>
  </w:tbl>
  <w:p w14:paraId="2ED8DC7A" w14:textId="77777777" w:rsidR="00503E52" w:rsidRDefault="00503E5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2320E"/>
    <w:multiLevelType w:val="multilevel"/>
    <w:tmpl w:val="EADA4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3750B4"/>
    <w:multiLevelType w:val="multilevel"/>
    <w:tmpl w:val="A0C8C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7521A6"/>
    <w:multiLevelType w:val="multilevel"/>
    <w:tmpl w:val="3C387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C50AEC"/>
    <w:multiLevelType w:val="multilevel"/>
    <w:tmpl w:val="45346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6A60E3"/>
    <w:multiLevelType w:val="multilevel"/>
    <w:tmpl w:val="7AC66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834CBC"/>
    <w:multiLevelType w:val="multilevel"/>
    <w:tmpl w:val="02B4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E054A1"/>
    <w:multiLevelType w:val="multilevel"/>
    <w:tmpl w:val="FDD8F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28266B"/>
    <w:multiLevelType w:val="multilevel"/>
    <w:tmpl w:val="0C3A7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9C371D"/>
    <w:multiLevelType w:val="multilevel"/>
    <w:tmpl w:val="406C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2C4F90"/>
    <w:multiLevelType w:val="multilevel"/>
    <w:tmpl w:val="F6302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9014425">
    <w:abstractNumId w:val="4"/>
  </w:num>
  <w:num w:numId="2" w16cid:durableId="418017940">
    <w:abstractNumId w:val="1"/>
  </w:num>
  <w:num w:numId="3" w16cid:durableId="1383214474">
    <w:abstractNumId w:val="7"/>
  </w:num>
  <w:num w:numId="4" w16cid:durableId="1976526192">
    <w:abstractNumId w:val="2"/>
  </w:num>
  <w:num w:numId="5" w16cid:durableId="447050316">
    <w:abstractNumId w:val="8"/>
  </w:num>
  <w:num w:numId="6" w16cid:durableId="1396733446">
    <w:abstractNumId w:val="6"/>
  </w:num>
  <w:num w:numId="7" w16cid:durableId="372315281">
    <w:abstractNumId w:val="0"/>
  </w:num>
  <w:num w:numId="8" w16cid:durableId="1536652809">
    <w:abstractNumId w:val="9"/>
  </w:num>
  <w:num w:numId="9" w16cid:durableId="1379085755">
    <w:abstractNumId w:val="3"/>
  </w:num>
  <w:num w:numId="10" w16cid:durableId="17646399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147"/>
    <w:rsid w:val="00324582"/>
    <w:rsid w:val="004E12D8"/>
    <w:rsid w:val="00503E52"/>
    <w:rsid w:val="00553E15"/>
    <w:rsid w:val="00667FCE"/>
    <w:rsid w:val="006905A9"/>
    <w:rsid w:val="00C35324"/>
    <w:rsid w:val="00CF09F0"/>
    <w:rsid w:val="00D40736"/>
    <w:rsid w:val="00D95147"/>
    <w:rsid w:val="00F03642"/>
    <w:rsid w:val="00F31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13C051"/>
  <w15:chartTrackingRefBased/>
  <w15:docId w15:val="{DED9F346-9818-4112-8711-CFC6743C5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951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951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951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951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951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951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951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951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951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951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951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951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9514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9514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951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9514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951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951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951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951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951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951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951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9514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9514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9514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951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9514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95147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503E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03E52"/>
  </w:style>
  <w:style w:type="paragraph" w:styleId="Rodap">
    <w:name w:val="footer"/>
    <w:basedOn w:val="Normal"/>
    <w:link w:val="RodapChar"/>
    <w:uiPriority w:val="99"/>
    <w:unhideWhenUsed/>
    <w:rsid w:val="00503E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03E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578</TotalTime>
  <Pages>7</Pages>
  <Words>1616</Words>
  <Characters>8727</Characters>
  <Application>Microsoft Office Word</Application>
  <DocSecurity>0</DocSecurity>
  <Lines>72</Lines>
  <Paragraphs>20</Paragraphs>
  <ScaleCrop>false</ScaleCrop>
  <Company/>
  <LinksUpToDate>false</LinksUpToDate>
  <CharactersWithSpaces>10323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W-000046 - Comercial - Montagem de propostas com bundles guiados e cross-sell</dc:title>
  <dc:subject/>
  <dc:creator>Brasil TecPar</dc:creator>
  <cp:keywords/>
  <dc:description/>
  <cp:lastModifiedBy>Diego Beltrão de Moraes</cp:lastModifiedBy>
  <cp:revision>3</cp:revision>
  <dcterms:created xsi:type="dcterms:W3CDTF">2026-09-15T17:48:00Z</dcterms:created>
  <dcterms:modified xsi:type="dcterms:W3CDTF">2026-09-15T17:48:00Z</dcterms:modified>
</cp:coreProperties>
</file>