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Comercial - Precificação dinâmica regionalizada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W-000048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Comercial - Precificação dinâmica regionalizada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W-000048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Catálogo - 1a e 2a Semana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30/07/2026 por Priscila De Lima. Texto abaixo transcrito integralmente do campo Details da work.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Executivo de Contas B2B / B2W,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que o sistema ajuste o valor do link de internet automaticamente com base na região da venda ou se o cliente for um "Tier One" com LPU acordada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eu oferte o preço competitivo exato sem precisar calcular na mão ou buscar exceções via e-mail.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1: Caminho Feliz - Preço por Localidade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uma cotação está sendo montada para uma filial em São Paulo e outra em Minas Gerais,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mesmo produto (Internet 500MB) for adicionado,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deve consultar a matriz do BRE e retornar R129paraSPeR 159 para MG, conforme tabela atualizada pelo marketing via arquivo CSV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2: Caminho Feliz - LPU para Cliente Tier One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cliente (ex: Gigante do Agro) possui classificação "Tier One" e um acordo de Lista de Preços Única (LPU)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eu selecionar um Link Dedicado de 200MB,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deve sobrepor a precificação regional e aplicar o valor fixo negociado em contrato (ex: R$ 100) automaticamente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3: Fluxo de Exceção - Atualização em Massa de Preços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a diretoria decide aplicar um reajuste de 5% em todos os produtos de conectividade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administrador de catálogo realizar o upload de um novo CSV no componente BRE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todas as novas cotações devem refletir o reajuste instantaneamente sem necessidade de mexer em códigos Apex ou refazer produtos no sistema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Configuração de Componentes: </w:t>
      </w:r>
      <w:r>
        <w:rPr>
          <w:sz w:val="24"/>
          <w:szCs w:val="24"/>
        </w:rPr>
        <w:t xml:space="preserve">Substituir Context Rules pesadas de precificação pelo Business Rules Engine (BRE). O BRE utilizará as Calculation Matrices que leem um CSV atualizável, cruzando os inputs (Estado, Cidade, Tier do Cliente) para devolver o Price List Entry correto na tela de cotação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 uso excessivo de Context Rules tradicionais para tabelas com milhares de linhas pode gerar severos travamentos (timeouts) no carregamento do carrinho. O uso do BRE mitiga isso, porém, exige forte governança da equipe de marketing ao realizar o upload dos CSVs de preço para evitar faturamentos errôneos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W-000048 - Comercial - Precificação dinâmica regionalizada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