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Alteração via Asset-to-Order e histórico de base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W-000049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Alteração via Asset-to-Order e histórico de base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W-000049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Vendedor Farmer,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selecionar o contrato atual do cliente na base e alterar a velocidade da internet ou adicionar um SVA (Disney/NOC),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o sistema gere um aditivo cobrando apenas a diferença, sem necessidade de enviar um técnico para reinstalar fisicamente equipamentos já funcionais em campo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Upgrade de Velocidade Simples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cliente possui um ativo (Asset) de Internet 300MB,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inicio o fluxo de Change (Asset-to-Order) e aumento a velocidade para 500MB,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joga os itens no carrinho, aplicando a flag Disconnect no plano de 300MB e a flag Add no plano de 500MB, mantendo os serviços adicionais (SVAs) intactos como Existing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Caminho Feliz - Manutenção de Oferta Descontinuada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cliente tem uma oferta antiga legada (ex: vinda da GGNET) que não existe mais na prateleira de novas vendas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ele pede para trocar de velocidade,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sistema deve inativar o ativo antigo e transferi-lo para um pacote similar do portfólio novo da Brasil TecPar (ex: 500MB), gerando histórico para auditoria no visão 360 do cliente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Regra de Bloqueio - Compatibilidade de Equipamento no Upgrade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upgrade saltou de 100MB para 2 Gigas,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ordem chegar no Order Management,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cenário de orquestração deve identificar que a porta do roteador em campo suporta apenas 1 Giga e disparar uma Ordem de Serviço (Trouble Ticket/Field) para troca física do modem do cliente, em vez de fazer apenas o provisionamento lógico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Componentes: </w:t>
      </w:r>
      <w:r>
        <w:rPr>
          <w:sz w:val="24"/>
          <w:szCs w:val="24"/>
        </w:rPr>
        <w:t xml:space="preserve">Uso rigoroso da funcionalidade nativa Asset-to-Order do Vlocity. Mapear os campos vlocity_action (Add, Change, Disconnect, Existing). Configurar no OM diferentes Orchestration Scenarios dependendo das flags: se for apenas aumento lógico, não emitir tarefa para o Field Service. Se exigir troca de porta/CPE, emitir tarefa para o técnico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Em ambientes migrados, se a base legada (contratos antigos) for carregada no Salesforce sem o formato estruturado hierarquicamente de Assets, a engine de ABO do Vlocity falhará, impossibilitando upgrades automáticos, exigindo que o atendente cancele manualmente a base e recrie um contrato como se fosse "venda nova", o que afetará métricas de churn e retenção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W-000049 - Comercial - Alteração via Asset-to-Order e histórico de base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