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Comercial - Cotação de múltiplas filiais em lote e geração do código RGC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W-000050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Comercial - Cotação de múltiplas filiais em lote e geração do código RGC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W-000050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Catálogo - 1a e 2a Semana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30/07/2026 por Priscila De Lima. Texto abaixo transcrito integralmente do campo Details da work.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de Negócio: </w:t>
      </w:r>
      <w:r>
        <w:rPr>
          <w:sz w:val="24"/>
          <w:szCs w:val="24"/>
        </w:rPr>
        <w:t xml:space="preserve">Permitir a importação de planilhas de endereços no CPQ para clientes corporativos com várias filiais, e gerar identificadores únicos (Etiqueta/RGC) para cada ponto de acesso da rede para fins regulatórios (Anatel) e operacionais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Gerente de Contas B2B,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realizar cotações e fechamentos em lote de dezenas de filiais de um mesmo cliente simultaneamente, gerando uma etiqueta única (RGC) por endereço,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a engenharia e o faturamento tenham rastreabilidade exata de cada circuito contratado pelo grupo econômico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1: Caminho Feliz - Geração da Etiqueta Regulamentar (RGC)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estou fechando um contrato B2B para a "Filial 1" e "Filial 2" com o mesmo produto base (ex: Internet 500MB)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oferta é convertida em um Asset (Ativo) no fechamento,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sistema deve consumir a API ou rodar a trigger para preencher o campo obrigatório de "Etiqueta/RGC" (ex: Código ABC13 para Filial 1 e ABC14 para Filial 2), individualizando o serviço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2: Fluxo de Exceção - Troca de Endereço/MACD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cliente corporativo solicita a transferência de endereço físico de uma das suas filiais (Move),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eu executo a alteração contratual no carrinho,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CPQ/OM deve obrigatoriamente forçar a geração de uma nova etiqueta (RGC), desativando a antiga, conforme norma técnica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3: Caminho Feliz - Faturamento Direcionado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cotação multi-site foi aprovada,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pedido avançar para orquestração (OM),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sistema deve ler o centro de lucro configurado por ponto de venda (ex: filial faturada via BST ou AVATO) e enviar a diretriz dividida corretamente para emissão da nota no SAP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Configuração de Componentes: </w:t>
      </w:r>
      <w:r>
        <w:rPr>
          <w:sz w:val="24"/>
          <w:szCs w:val="24"/>
        </w:rPr>
        <w:t xml:space="preserve">Habilitar o Multi-site/Bulk Cart do Communications Cloud. Configurar integração via MuleSoft (API Gateway) com o gerador de etiquetas do Customer Core. A Etiqueta (RGC) deve ser salva no objeto Asset / Subscription no Salesforce, pois essa chave (ID da Etiqueta) será utilizada pelo Zendesk para abrir chamados (Trouble Tickets) assertivos sobre quedas em filiais específicas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Se o identificador (RGC) for anexado ao produto genérico e não ao Asset instanciado (posse do cliente), o Zendesk e os robôs de IA do atendimento não conseguirão mapear se o cliente da "Filial de Campinas" possui os atributos específicos contratados, travando toda a esteira de suporte Pós-Venda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W-000050 - Comercial - Cotação de múltiplas filiais em lote e geração do código RGC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