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US EPC-10 — Criação dos catálogos comerciais por família e estrutura B2B/B2C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W-000070  ·  Catálogo Comercial Unificado - B2B/B2C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 - EPC-10 — Criação dos catálogos comerciais por família e estrutura B2B/B2C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W-000070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Catálogo Comercial Unificado - B2B/B2C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Davi Israel de Abreu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(sem sprint)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26/08/2026 por Diego Beltrão de Moraes. Texto abaixo transcrito integralmente do campo Details da work.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 </w:t>
      </w:r>
      <w:r>
        <w:rPr>
          <w:sz w:val="24"/>
          <w:szCs w:val="24"/>
        </w:rPr>
        <w:t xml:space="preserve">Administrador do Catálogo de Produtos,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 </w:t>
      </w:r>
      <w:r>
        <w:rPr>
          <w:sz w:val="24"/>
          <w:szCs w:val="24"/>
        </w:rPr>
        <w:t xml:space="preserve">que os catálogos comerciais sejam criados por família de produto, conforme a tabela aprovada, com as ofertas da Onda 1 publicadas nas suas famílias,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 </w:t>
      </w:r>
      <w:r>
        <w:rPr>
          <w:sz w:val="24"/>
          <w:szCs w:val="24"/>
        </w:rPr>
        <w:t xml:space="preserve">a vitrine navegue por família (Internet, Segurança, Wi-Fi, Voz, Streaming, Serviços Digitais) e a mesma estrutura de catálogo atenda produtos B2B e B2C sem duplicação de oferta.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e Contexto de Negócio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Decisão do time sobre os catálogos comerciais: </w:t>
      </w:r>
      <w:r>
        <w:rPr>
          <w:sz w:val="24"/>
          <w:szCs w:val="24"/>
        </w:rPr>
        <w:t xml:space="preserve">organização por família de produto, e não por mercado. A separação B2B/B2C não é feita por catálogo: a mesma oferta é publicada uma única vez e o recorte por mercado, segmento e canal é garantido pelos rule sets globais de qualificação da US de Qualificação (contexto Tetra-pé: Mercado/Segmento, Canal de Venda, Tipo de Cliente e Cidade IBGE), com a diferenciação de preço via tabelas de preço separadas para B2C e B2B, mantendo o produto estruturalmente unificado no catálogo. Esta decisão deve ser registrada em ADR, e o texto da work de Qualificação já criada no Agile deve ser atualizado para refletir o modelo por família.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Regras de Negócio Associadas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Catálogos a criar (código, nome e ofertas da aba Joel):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CAT_INTERNET, Internet: </w:t>
      </w:r>
      <w:r>
        <w:rPr>
          <w:sz w:val="24"/>
          <w:szCs w:val="24"/>
        </w:rPr>
        <w:t xml:space="preserve">Internet Home e MPE Urbana, Smart Internet Basic, Smart Internet PME, Smart Internet Corporativa.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CAT_SEGURANCA, Segurança: </w:t>
      </w:r>
      <w:r>
        <w:rPr>
          <w:sz w:val="24"/>
          <w:szCs w:val="24"/>
        </w:rPr>
        <w:t xml:space="preserve">Smart Firewall (licença Advanced/Premium, prazo 12 a 60 meses).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CAT_WIFI, Wi-Fi: </w:t>
      </w:r>
      <w:r>
        <w:rPr>
          <w:sz w:val="24"/>
          <w:szCs w:val="24"/>
        </w:rPr>
        <w:t xml:space="preserve">Smart Wi-Fi (Ubiquiti, Huawei, Ruckus; níveis Lite, Advanced, Premium; prazo de locação).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CAT_VOZ, Voz: </w:t>
      </w:r>
      <w:r>
        <w:rPr>
          <w:sz w:val="24"/>
          <w:szCs w:val="24"/>
        </w:rPr>
        <w:t xml:space="preserve">Smart PBX.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CAT_STREAMING, Streaming: </w:t>
      </w:r>
      <w:r>
        <w:rPr>
          <w:sz w:val="24"/>
          <w:szCs w:val="24"/>
        </w:rPr>
        <w:t xml:space="preserve">Streaming Playhub (Avançado, Top, Prime).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CAT_SVA, Serviços Digitais: </w:t>
      </w:r>
      <w:r>
        <w:rPr>
          <w:sz w:val="24"/>
          <w:szCs w:val="24"/>
        </w:rPr>
        <w:t xml:space="preserve">Pacotes SVA Básico e Prime, Aya Bancah, Aya Books, Audiolivro (B2C/B2S).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CAT_TV, TV: </w:t>
      </w:r>
      <w:r>
        <w:rPr>
          <w:sz w:val="24"/>
          <w:szCs w:val="24"/>
        </w:rPr>
        <w:t xml:space="preserve">reservado, sem oferta nas planilhas ainda; criar inativo para reservar o código.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Publicação N:N permitida: a mesma oferta pode estar em mais de um catálogo (ex.: combos); nenhuma oferta pode ser duplicada por mercado ou canal.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Os códigos CAT_ de catálogo comercial não se confundem com as Attribute Categories da US EPC-01 (objetos distintos); os dois vocabulários devem constar documentados no artefato de parametrização.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Ofertas B2G de venda assistida não são publicadas em vitrine de autosserviço.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Dependências: </w:t>
      </w:r>
      <w:r>
        <w:rPr>
          <w:sz w:val="24"/>
          <w:szCs w:val="24"/>
        </w:rPr>
        <w:t xml:space="preserve">US de Qualificação (rule sets de contexto e atualização do texto); tabelas de preço por mercado; domínios de qualificação com o Joel (P-19).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 (registros de Acceptance Criteria no Agile Accelerator)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Catálogos criados conforme a tabela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 tabela de catálogos comerciais foi aprovada,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parametrização for concluída,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os 7 catálogos devem existir com código e nome conforme a tabela, seis ativos e o CAT_TV reservado inativo.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Publicação das ofertas por família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as ofertas da Onda 1 existem no EPC,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publicação for concluída,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cada oferta deve estar publicada no catálogo da sua família conforme a tabela, e a vitrine deve retornar as ofertas ao consultar o código do catálogo da família.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Estrutura B2B/B2C sem duplicação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o mesmo catálogo de família,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vitrine for consultada com contexto B2C e em seguida com contexto B2B,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cada consulta deve retornar apenas as ofertas elegíveis ao mercado, com o preço da tabela de preço correspondente, sem existir oferta duplicada por mercado no catálogo.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Notas de Refinamento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DECISOES DO CLIENTE P-01 A P-19 (ONDA 0, registro de 26/08; movido da AC 3 em 08/09)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Decisões do cliente — fechamento das pendências P-01 a P-19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Todas as pendências e divergências levantadas no refinamento estão decididas abaixo, com fundamento no manual v2.2, na documentação oficial do EPC/Communications Cloud e na tabela de catálogos comerciais aprovada. Este registro vale como ata das ratificações da Onda 0. Não há itens abertos aguardando decisão do cliente; alterações futuras seguem processo de ADR.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P-01 — Default do NOC_TIER. </w:t>
      </w:r>
      <w:r>
        <w:rPr>
          <w:sz w:val="24"/>
          <w:szCs w:val="24"/>
        </w:rPr>
        <w:t xml:space="preserve">Decisão: Bronze. Fundamento: o manual v2.2 (seções 35.4 e 39.2) é a fonte normativa e determina Bronze; a aba Joel é extrato AS-IS. Iniciar no menor tier evita custo embarcado, e upgrade de tier é ação comercial simples.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P-02 — Estrutura e significado do WITO. </w:t>
      </w:r>
      <w:r>
        <w:rPr>
          <w:sz w:val="24"/>
          <w:szCs w:val="24"/>
        </w:rPr>
        <w:t xml:space="preserve">Decisão: ratificada a estrutura de dois serviços da aba B2BB2G. WITO fica definido operacionalmente como serviço de suporte a equipamento de terceiros, modelado como child product opcional e faturável com atributo de fabricante, tanto no Firewall quanto no Wi-Fi. O significado literal do acrônimo é registro documental e não altera a modelagem.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P-03 — Modelagem do equipamento de firewall. </w:t>
      </w:r>
      <w:r>
        <w:rPr>
          <w:sz w:val="24"/>
          <w:szCs w:val="24"/>
        </w:rPr>
        <w:t xml:space="preserve">Decisão: Plano A — EQUIPMENT_MODEL como atributo Picklist com Attribute-Based Pricing e Mapping Rule para o produto técnico, com o equipamento entregue em regime de serviço/locação e material SAP único da oferta gerenciada. Fundamento: regra de simplicidade operacional da seção 3.3 (dezenas de children individuais são proibidos) e política de atributos da 35.4. Migração para child por família somente se surgir material SAP, faturamento ou lifecycle distinto, mediante ADR.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P-04 — Modelo comercial do Smart Wi-Fi. </w:t>
      </w:r>
      <w:r>
        <w:rPr>
          <w:sz w:val="24"/>
          <w:szCs w:val="24"/>
        </w:rPr>
        <w:t xml:space="preserve">Decisão: Plano B — marca e classe como atributos ortogonais (WIFI_BRAND: Ubiquiti, Huawei, Ruckus; nível: Lite, Advanced, Premium) com regra de compatibilidade entre eles. Fundamento: a tabela de catálogos comerciais aprovada exibe marca e nível como decisão comercial visível (CAT_WIFI); o atributo composto marca-tier-ambiente da planilha original permanece proibido pela regra de menor entidade (seção 3.1). Pricing por combinação via Attribute-Based Pricing.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P-05 — IPv4 em blocos. </w:t>
      </w:r>
      <w:r>
        <w:rPr>
          <w:sz w:val="24"/>
          <w:szCs w:val="24"/>
        </w:rPr>
        <w:t xml:space="preserve">Decisão: atributo (IPV4_PROFILE) na Onda 1. Fundamento: seção 35.4 — a promoção a child product fica condicionada à existência de material SAP e lifecycle próprios por bloco; enquanto não houver, o atributo atende. Reavaliação via ADR quando a lista de materiais SAP for cruzada.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P-06 — Fail-Over e Bastidor na estrutura. </w:t>
      </w:r>
      <w:r>
        <w:rPr>
          <w:sz w:val="24"/>
          <w:szCs w:val="24"/>
        </w:rPr>
        <w:t xml:space="preserve">Decisão: ratificados. Fail-Over com tiers Standard, Professional e Full e Bastidor (5U, 12U, 40U) integram a estrutura da oferta corporativa conforme a aba B2BB2G. Este registro vale como a ratificação em ata prevista na revisão.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P-07 — Sanitização da grade de banda. </w:t>
      </w:r>
      <w:r>
        <w:rPr>
          <w:sz w:val="24"/>
          <w:szCs w:val="24"/>
        </w:rPr>
        <w:t xml:space="preserve">Decisão: aprovada a regra objetiva da seção 40 — entram ativos somente os valores de velocidade com MRC positivo na grade sanitizada (RULE_EXCLUDE_NULL_PRICE_SPEEDS); os demais permanecem inativos e a lista de exclusões acompanha a carga como evidência. Não há aprovação item a item.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P-08 — Hierarquia normativa de Object Types. </w:t>
      </w:r>
      <w:r>
        <w:rPr>
          <w:sz w:val="24"/>
          <w:szCs w:val="24"/>
        </w:rPr>
        <w:t xml:space="preserve">Decisão: ratificada a hierarquia da seção 35.3 como normativa, incluindo a extensão de serviços gerenciados da US EPC-04; a seção 6.1 passa a referência histórica. Este registro vale como a ratificação da Onda 0.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P-09 — Smart PBX. </w:t>
      </w:r>
      <w:r>
        <w:rPr>
          <w:sz w:val="24"/>
          <w:szCs w:val="24"/>
        </w:rPr>
        <w:t xml:space="preserve">Decisão: confirmado fora da Onda 1; destino é a onda seguinte do catálogo, com a estrutura completa da aba B2BB2G (ramais SIP, módulos E1, FXS, FXO e GSM, bastidor) preservada como insumo de refinamento. O catálogo CAT_VOZ é criado desde já (US EPC-10) para receber a oferta.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P-10 — Licenciamento do Smart Firewall. </w:t>
      </w:r>
      <w:r>
        <w:rPr>
          <w:sz w:val="24"/>
          <w:szCs w:val="24"/>
        </w:rPr>
        <w:t xml:space="preserve">Decisão: Advanced e Premium, com Advanced como default, conforme a tabela de catálogos comerciais aprovada (CAT_SEGURANCA). A dupla Basic/Advanced da aba B2BB2G fica descartada.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P-11 — Variantes VDOM e Prazo de Licenciamento. </w:t>
      </w:r>
      <w:r>
        <w:rPr>
          <w:sz w:val="24"/>
          <w:szCs w:val="24"/>
        </w:rPr>
        <w:t xml:space="preserve">Decisão: o Prazo está confirmado para Firewall e Wi-Fi, reutilizando PL_CONTRACT_TERM (12 a 60 meses, default 36), conforme a tabela aprovada. As 3 variantes VDOM ficam fora da Onda 1; a lista base de modelos é a da B2BB2G (34 modelos), e a inclusão de variantes ocorre via governança quando houver material SAP correspondente.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P-12 — Curadoria do Meio de Acesso. </w:t>
      </w:r>
      <w:r>
        <w:rPr>
          <w:sz w:val="24"/>
          <w:szCs w:val="24"/>
        </w:rPr>
        <w:t xml:space="preserve">Decisão: a Onda 1 ativa os 8 meios da aba Joel (corte comercial vigente); os 5 adicionais da B2BB2G são cadastrados inativos na PL_ACCESS_MEDIA, preservando a lista técnica completa para ativação futura sem retrabalho.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P-13 — Anotação NFE#1 no Upload. </w:t>
      </w:r>
      <w:r>
        <w:rPr>
          <w:sz w:val="24"/>
          <w:szCs w:val="24"/>
        </w:rPr>
        <w:t xml:space="preserve">Decisão: tratada como nota de revisão, sem efeito de default. O default do UPLOAD_PROFILE permanece Padrão.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P-14 — Determinação automática da tecnologia de acesso. </w:t>
      </w:r>
      <w:r>
        <w:rPr>
          <w:sz w:val="24"/>
          <w:szCs w:val="24"/>
        </w:rPr>
        <w:t xml:space="preserve">Decisão: mantida a deliberação de 14/08 — fora do escopo atual; na Onda 1, ACCESS_TECHNOLOGY tem valor padrão definido no catálogo pela engenharia, com override por produto, pela mecânica nativa do EPC.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P-15 — Porta Secundária obrigatória com Fail-Over. </w:t>
      </w:r>
      <w:r>
        <w:rPr>
          <w:sz w:val="24"/>
          <w:szCs w:val="24"/>
        </w:rPr>
        <w:t xml:space="preserve">Decisão: regra confirmada e mantida como parametrizada (RULE_FAILOVER_REQUIRES_SECONDARY, manual v2.2 seção 39.2). Fundamento funcional: contingência sem caminho físico secundário não entrega a função contratada.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P-16 — Momento da integração SAP de materiais. </w:t>
      </w:r>
      <w:r>
        <w:rPr>
          <w:sz w:val="24"/>
          <w:szCs w:val="24"/>
        </w:rPr>
        <w:t xml:space="preserve">Decisão: no Order Management (decomposição/fulfillment), não na venda. Fundamento: padrão Communications Cloud — a venda opera exclusivamente sobre o catálogo comercial; o de-para técnico e os materiais pertencem à decomposição das ordens, evitando acoplamento e latência no carrinho. O mapeamento de materiais segue pré-requisito das USs de decomposição.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P-17 — Group Promotion ID. </w:t>
      </w:r>
      <w:r>
        <w:rPr>
          <w:sz w:val="24"/>
          <w:szCs w:val="24"/>
        </w:rPr>
        <w:t xml:space="preserve">Decisão: a rastreabilidade do combo usa os registros nativos de promoção aplicada do pacote CMT nos itens de cotação e ordem, expostos como Group Promotion ID no payload de integração. Não se cria campo custom adicional na Onda 1; caso uma integração externa exija persistência própria, a extensão entra via ADR.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P-18 — Domínios de qualificação. </w:t>
      </w:r>
      <w:r>
        <w:rPr>
          <w:sz w:val="24"/>
          <w:szCs w:val="24"/>
        </w:rPr>
        <w:t xml:space="preserve">Decisão: adotado o domínio inicial — Mercados: B2C, B2S, B2B, B2G e Wholesale; Canais de venda: Unidades/Loja, Inside Sales, PAP Terceiros, Terceiros Digitais, E-commerce/App e Call Center; Tipo de Cliente: CPF e CNPJ; Cidade: código IBGE resolvido pelo objeto do P-17. Os 4 rule sets globais de qualificação permanecem fixos; ampliações de valores ocorrem por governança de catálogo, sem mudança estrutural.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PENDENCIAS DE ALINHAMENTO COM QUAL-01 E DECISOES DE 03/09 (08/09)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Registro de revisao (extracao completa de 08/09). Esta work nao recebeu nenhuma nota desde 26/08 e conflita com decisoes posteriores; itens a decidir com SysMap e Joel antes da parametrizacao: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(1) ESTRUTURA DE CATALOGO: </w:t>
      </w:r>
      <w:r>
        <w:rPr>
          <w:sz w:val="24"/>
          <w:szCs w:val="24"/>
        </w:rPr>
        <w:t xml:space="preserve">esta work define catalogos POR FAMILIA (CAT_INTERNET, CAT_SEGURANCA, CAT_WIFI, CAT_VOZ, CAT_STREAMING, CAT_SVA, CAT_TV) e pede a atualizacao da QUAL-01; a QUAL-01 (W-000056) define catalogos POR MERCADO (CAT_B2C_EVO, CAT_B2S_EVO, CAT_B2B_EVO, CAT_B2G_EVO, CAT_WHOLESALE_EVO) com familia como categoria e "proibido catalogo por familia" (manual v2.2 §9.1/§28.3). A ata de 03/09 decidiu NAVEGACAO por familia (nota de 04/09 na W-000056 e W-000069), mas deixou em aberto se familia e catalogo ou categoria. Definir um modelo unico e ajustar a outra work.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(2) LISTA DE FAMILIAS: </w:t>
      </w:r>
      <w:r>
        <w:rPr>
          <w:sz w:val="24"/>
          <w:szCs w:val="24"/>
        </w:rPr>
        <w:t xml:space="preserve">aqui Internet, Seguranca, Wi-Fi, Voz, Streaming, Servicos Digitais e TV (reservado); em 03/09 (W-000069, W-000094, W-000111) Internet, Streaming, Camera e Movel na Onda 1. Faltam CAT_MOVEL e CAT_CAMERA; CAT_TV conflita com "sem IPTV/TV Box" (W-000094, nota de 03/09).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(3) NOMES COM MARCA: </w:t>
      </w:r>
      <w:r>
        <w:rPr>
          <w:sz w:val="24"/>
          <w:szCs w:val="24"/>
        </w:rPr>
        <w:t xml:space="preserve">a tabela cita Playhub, Aya Bancah, Aya Books e marcas de Wi-Fi; a decisao de rebranding (W-000102 item 1, W-000106 RN-05, W-000110 RN-01) exige nomes GENERICOS e identificador de fornecedor em atributo tecnico nao visivel.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(4) NUMERACAO DAS PENDENCIAS: </w:t>
      </w:r>
      <w:r>
        <w:rPr>
          <w:sz w:val="24"/>
          <w:szCs w:val="24"/>
        </w:rPr>
        <w:t xml:space="preserve">a nota P-01..P-19 movida da AC usa P-17 = Group Promotion ID e P-18 = dominios de qualificacao; QUAL-01, B2C-13 e CAT-ZON-01 usam P-17 = solucao IBGE e P-19 = dominios do Joel. A nota diz "nao ha itens abertos", mas W-000056, W-000069 e W-000114 ainda tratam P-19 como pendente. Unificar a numeracao e o status.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(5) AC 3 desta work continha o texto de decisoes por engano; ajustado em 08/09 (script 15). Os criterios 1 a 3 permanecem.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W-000070 - US EPC-10 — Criação dos catálogos comerciais por família e estrutura B2B/B2C</dc:title>
  <dc:subject/>
  <dc:creator>Brasil TecPar</dc:creator>
  <cp:keywords/>
  <dc:description/>
  <cp:lastModifiedBy>Diego Beltrão de Moraes</cp:lastModifiedBy>
  <cp:revision>3</cp:revision>
  <dcterms:created xsi:type="dcterms:W3CDTF">2026-09-15T17:48:00Z</dcterms:created>
  <dcterms:modified xsi:type="dcterms:W3CDTF">2026-09-15T17:48:00Z</dcterms:modified>
</cp:coreProperties>
</file>