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EC72" w14:textId="77777777" w:rsidR="00503E52" w:rsidRDefault="00503E52" w:rsidP="00503E52">
      <w:r>
        <w:rPr>
          <w:noProof/>
        </w:rPr>
        <w:drawing>
          <wp:anchor distT="0" distB="0" distL="114300" distR="114300" simplePos="0" relativeHeight="251659264" behindDoc="1" locked="0" layoutInCell="1" allowOverlap="1" wp14:anchorId="7622A1AB" wp14:editId="29A11D7A">
            <wp:simplePos x="0" y="0"/>
            <wp:positionH relativeFrom="margin">
              <wp:posOffset>3082925</wp:posOffset>
            </wp:positionH>
            <wp:positionV relativeFrom="paragraph">
              <wp:posOffset>494665</wp:posOffset>
            </wp:positionV>
            <wp:extent cx="1905000" cy="700121"/>
            <wp:effectExtent l="0" t="0" r="0" b="5080"/>
            <wp:wrapNone/>
            <wp:docPr id="242947192" name="Imagem 1" descr="SysMap Solutions | Softwares e Soluções Digit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Map Solutions | Softwares e Soluções Digita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700121"/>
                    </a:xfrm>
                    <a:prstGeom prst="rect">
                      <a:avLst/>
                    </a:prstGeom>
                    <a:noFill/>
                    <a:ln>
                      <a:noFill/>
                    </a:ln>
                  </pic:spPr>
                </pic:pic>
              </a:graphicData>
            </a:graphic>
            <wp14:sizeRelH relativeFrom="page">
              <wp14:pctWidth>0</wp14:pctWidth>
            </wp14:sizeRelH>
            <wp14:sizeRelV relativeFrom="page">
              <wp14:pctHeight>0</wp14:pctHeight>
            </wp14:sizeRelV>
          </wp:anchor>
        </w:drawing>
        <w:drawing>
          <wp:inline distT="0" distB="0" distL="0" distR="0" wp14:anchorId="24F48AA4" wp14:editId="54778DB1">
            <wp:extent cx="2857500" cy="12763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276350"/>
                    </a:xfrm>
                    <a:prstGeom prst="rect">
                      <a:avLst/>
                    </a:prstGeom>
                  </pic:spPr>
                </pic:pic>
              </a:graphicData>
            </a:graphic>
          </wp:inline>
        </w:drawing>
      </w:r>
    </w:p>
    <w:p w14:paraId="65D9A5EE" w14:textId="77777777" w:rsidR="00503E52" w:rsidRDefault="00503E52" w:rsidP="00503E52">
      <w:pPr>
        <w:spacing w:before="900"/>
      </w:pPr>
    </w:p>
    <w:p>
      <w:pPr>
        <w:spacing w:after="100"/>
        <w:jc w:val="center"/>
        <w:rPr>
          <w:sz w:val="24"/>
          <w:szCs w:val="24"/>
        </w:rPr>
      </w:pPr>
      <w:r>
        <w:rPr>
          <w:b/>
          <w:bCs/>
          <w:color w:val="0C3C8C"/>
          <w:sz w:val="44"/>
          <w:szCs w:val="44"/>
        </w:rPr>
        <w:t xml:space="preserve">Requisitos de negócio Projeto Salesforce</w:t>
      </w:r>
    </w:p>
    <w:p>
      <w:pPr>
        <w:spacing w:before="600" w:after="200"/>
        <w:jc w:val="center"/>
        <w:rPr>
          <w:sz w:val="24"/>
          <w:szCs w:val="24"/>
        </w:rPr>
      </w:pPr>
      <w:r>
        <w:rPr>
          <w:b/>
          <w:bCs/>
          <w:color w:val="0C3C8C"/>
          <w:sz w:val="28"/>
          <w:szCs w:val="28"/>
        </w:rPr>
        <w:t xml:space="preserve">US B2B-13 — Refidelização pura e simples B2B: renovação de prazo sem alteração de escopo (aditivo de tempo)</w:t>
      </w:r>
    </w:p>
    <w:p>
      <w:pPr>
        <w:jc w:val="center"/>
        <w:rPr>
          <w:sz w:val="24"/>
          <w:szCs w:val="24"/>
        </w:rPr>
      </w:pPr>
      <w:r>
        <w:rPr>
          <w:color w:val="595959"/>
          <w:sz w:val="22"/>
          <w:szCs w:val="22"/>
        </w:rPr>
        <w:t xml:space="preserve">W-000142  ·  B2B - Jornadas de Venda e Gestão do Ciclo de Vida do Cliente</w:t>
      </w:r>
    </w:p>
    <w:p>
      <w:pPr>
        <w:jc w:val="center"/>
        <w:rPr>
          <w:sz w:val="24"/>
          <w:szCs w:val="24"/>
        </w:rPr>
      </w:pPr>
      <w:r>
        <w:rPr>
          <w:color w:val="595959"/>
          <w:sz w:val="22"/>
          <w:szCs w:val="22"/>
        </w:rPr>
        <w:t xml:space="preserve">Time: SysMap  ·  Status: New</w:t>
      </w:r>
    </w:p>
    <w:p>
      <w:pPr>
        <w:rPr>
          <w:sz w:val="24"/>
          <w:szCs w:val="24"/>
        </w:rPr>
      </w:pPr>
    </w:p>
    <w:p>
      <w:pPr>
        <w:spacing w:after="120"/>
        <w:rPr>
          <w:sz w:val="24"/>
          <w:szCs w:val="24"/>
        </w:rPr>
      </w:pPr>
      <w:r>
        <w:rPr>
          <w:b/>
          <w:bCs/>
          <w:sz w:val="24"/>
          <w:szCs w:val="24"/>
        </w:rPr>
        <w:t xml:space="preserve">US - B2B-13 — Refidelização pura e simples B2B: renovação de prazo sem alteração de escopo (aditivo de tempo)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400"/>
        <w:gridCol w:w="6104"/>
      </w:tblGrid>
      <w:tr>
        <w:tc>
          <w:tcPr>
            <w:tcW w:w="2400" w:type="dxa"/>
            <w:shd w:val="clear" w:color="auto" w:fill="EEF3FA"/>
          </w:tcPr>
          <w:p>
            <w:pPr>
              <w:spacing w:before="40" w:after="40"/>
              <w:rPr>
                <w:sz w:val="24"/>
                <w:szCs w:val="24"/>
              </w:rPr>
            </w:pPr>
            <w:r>
              <w:rPr>
                <w:b/>
                <w:bCs/>
                <w:sz w:val="20"/>
                <w:szCs w:val="20"/>
              </w:rPr>
              <w:t xml:space="preserve">Work</w:t>
            </w:r>
          </w:p>
        </w:tc>
        <w:tc>
          <w:tcPr>
            <w:tcW w:w="6104" w:type="dxa"/>
          </w:tcPr>
          <w:p>
            <w:pPr>
              <w:spacing w:before="40" w:after="40"/>
              <w:rPr>
                <w:sz w:val="24"/>
                <w:szCs w:val="24"/>
              </w:rPr>
            </w:pPr>
            <w:r>
              <w:rPr>
                <w:sz w:val="20"/>
                <w:szCs w:val="20"/>
              </w:rPr>
              <w:t xml:space="preserve">W-000142</w:t>
            </w:r>
          </w:p>
        </w:tc>
      </w:tr>
      <w:tr>
        <w:tc>
          <w:tcPr>
            <w:tcW w:w="2400" w:type="dxa"/>
            <w:shd w:val="clear" w:color="auto" w:fill="EEF3FA"/>
          </w:tcPr>
          <w:p>
            <w:pPr>
              <w:spacing w:before="40" w:after="40"/>
              <w:rPr>
                <w:sz w:val="24"/>
                <w:szCs w:val="24"/>
              </w:rPr>
            </w:pPr>
            <w:r>
              <w:rPr>
                <w:b/>
                <w:bCs/>
                <w:sz w:val="20"/>
                <w:szCs w:val="20"/>
              </w:rPr>
              <w:t xml:space="preserve">Épico</w:t>
            </w:r>
          </w:p>
        </w:tc>
        <w:tc>
          <w:tcPr>
            <w:tcW w:w="6104" w:type="dxa"/>
          </w:tcPr>
          <w:p>
            <w:pPr>
              <w:spacing w:before="40" w:after="40"/>
              <w:rPr>
                <w:sz w:val="24"/>
                <w:szCs w:val="24"/>
              </w:rPr>
            </w:pPr>
            <w:r>
              <w:rPr>
                <w:sz w:val="20"/>
                <w:szCs w:val="20"/>
              </w:rPr>
              <w:t xml:space="preserve">B2B - Jornadas de Venda e Gestão do Ciclo de Vida do Cliente</w:t>
            </w:r>
          </w:p>
        </w:tc>
      </w:tr>
      <w:tr>
        <w:tc>
          <w:tcPr>
            <w:tcW w:w="2400" w:type="dxa"/>
            <w:shd w:val="clear" w:color="auto" w:fill="EEF3FA"/>
          </w:tcPr>
          <w:p>
            <w:pPr>
              <w:spacing w:before="40" w:after="40"/>
              <w:rPr>
                <w:sz w:val="24"/>
                <w:szCs w:val="24"/>
              </w:rPr>
            </w:pPr>
            <w:r>
              <w:rPr>
                <w:b/>
                <w:bCs/>
                <w:sz w:val="20"/>
                <w:szCs w:val="20"/>
              </w:rPr>
              <w:t xml:space="preserve">Time (Scrum Team)</w:t>
            </w:r>
          </w:p>
        </w:tc>
        <w:tc>
          <w:tcPr>
            <w:tcW w:w="6104" w:type="dxa"/>
          </w:tcPr>
          <w:p>
            <w:pPr>
              <w:spacing w:before="40" w:after="40"/>
              <w:rPr>
                <w:sz w:val="24"/>
                <w:szCs w:val="24"/>
              </w:rPr>
            </w:pPr>
            <w:r>
              <w:rPr>
                <w:sz w:val="20"/>
                <w:szCs w:val="20"/>
              </w:rPr>
              <w:t xml:space="preserve">SysMap</w:t>
            </w:r>
          </w:p>
        </w:tc>
      </w:tr>
      <w:tr>
        <w:tc>
          <w:tcPr>
            <w:tcW w:w="2400" w:type="dxa"/>
            <w:shd w:val="clear" w:color="auto" w:fill="EEF3FA"/>
          </w:tcPr>
          <w:p>
            <w:pPr>
              <w:spacing w:before="40" w:after="40"/>
              <w:rPr>
                <w:sz w:val="24"/>
                <w:szCs w:val="24"/>
              </w:rPr>
            </w:pPr>
            <w:r>
              <w:rPr>
                <w:b/>
                <w:bCs/>
                <w:sz w:val="20"/>
                <w:szCs w:val="20"/>
              </w:rPr>
              <w:t xml:space="preserve">Status</w:t>
            </w:r>
          </w:p>
        </w:tc>
        <w:tc>
          <w:tcPr>
            <w:tcW w:w="6104" w:type="dxa"/>
          </w:tcPr>
          <w:p>
            <w:pPr>
              <w:spacing w:before="40" w:after="40"/>
              <w:rPr>
                <w:sz w:val="24"/>
                <w:szCs w:val="24"/>
              </w:rPr>
            </w:pPr>
            <w:r>
              <w:rPr>
                <w:sz w:val="20"/>
                <w:szCs w:val="20"/>
              </w:rPr>
              <w:t xml:space="preserve">New</w:t>
            </w:r>
          </w:p>
        </w:tc>
      </w:tr>
      <w:tr>
        <w:tc>
          <w:tcPr>
            <w:tcW w:w="2400" w:type="dxa"/>
            <w:shd w:val="clear" w:color="auto" w:fill="EEF3FA"/>
          </w:tcPr>
          <w:p>
            <w:pPr>
              <w:spacing w:before="40" w:after="40"/>
              <w:rPr>
                <w:sz w:val="24"/>
                <w:szCs w:val="24"/>
              </w:rPr>
            </w:pPr>
            <w:r>
              <w:rPr>
                <w:b/>
                <w:bCs/>
                <w:sz w:val="20"/>
                <w:szCs w:val="20"/>
              </w:rPr>
              <w:t xml:space="preserve">Responsável</w:t>
            </w:r>
          </w:p>
        </w:tc>
        <w:tc>
          <w:tcPr>
            <w:tcW w:w="6104" w:type="dxa"/>
          </w:tcPr>
          <w:p>
            <w:pPr>
              <w:spacing w:before="40" w:after="40"/>
              <w:rPr>
                <w:sz w:val="24"/>
                <w:szCs w:val="24"/>
              </w:rPr>
            </w:pPr>
            <w:r>
              <w:rPr>
                <w:sz w:val="20"/>
                <w:szCs w:val="20"/>
              </w:rPr>
              <w:t xml:space="preserve">Davi Israel de Abreu</w:t>
            </w:r>
          </w:p>
        </w:tc>
      </w:tr>
      <w:tr>
        <w:tc>
          <w:tcPr>
            <w:tcW w:w="2400" w:type="dxa"/>
            <w:shd w:val="clear" w:color="auto" w:fill="EEF3FA"/>
          </w:tcPr>
          <w:p>
            <w:pPr>
              <w:spacing w:before="40" w:after="40"/>
              <w:rPr>
                <w:sz w:val="24"/>
                <w:szCs w:val="24"/>
              </w:rPr>
            </w:pPr>
            <w:r>
              <w:rPr>
                <w:b/>
                <w:bCs/>
                <w:sz w:val="20"/>
                <w:szCs w:val="20"/>
              </w:rPr>
              <w:t xml:space="preserve">Documento gerado em</w:t>
            </w:r>
          </w:p>
        </w:tc>
        <w:tc>
          <w:tcPr>
            <w:tcW w:w="6104" w:type="dxa"/>
          </w:tcPr>
          <w:p>
            <w:pPr>
              <w:spacing w:before="40" w:after="40"/>
              <w:rPr>
                <w:sz w:val="24"/>
                <w:szCs w:val="24"/>
              </w:rPr>
            </w:pPr>
            <w:r>
              <w:rPr>
                <w:sz w:val="20"/>
                <w:szCs w:val="20"/>
              </w:rPr>
              <w:t xml:space="preserve">15/09/2026 (conteúdo integral da work no Agile Accelerator; critérios de aceite na lista Acceptance Criteria)</w:t>
            </w:r>
          </w:p>
        </w:tc>
      </w:tr>
    </w:tbl>
    <w:p>
      <w:pPr>
        <w:rPr>
          <w:sz w:val="24"/>
          <w:szCs w:val="24"/>
        </w:rPr>
      </w:pPr>
    </w:p>
    <w:p>
      <w:pPr>
        <w:spacing w:after="60"/>
        <w:rPr>
          <w:sz w:val="24"/>
          <w:szCs w:val="24"/>
        </w:rPr>
      </w:pPr>
      <w:r>
        <w:rPr>
          <w:i/>
          <w:iCs/>
          <w:color w:val="595959"/>
          <w:sz w:val="20"/>
          <w:szCs w:val="20"/>
        </w:rPr>
        <w:t xml:space="preserve">US de negócio B2B (documento de 10/09, "Histórias novas", história 26; decisões de 10/09 na W-000100 notas (c) e (f); comentários de negócio de 14/09 na história 14: refidelização cobre todas as etiquetas do contrato guarda-chuva e prazo "e outros").</w:t>
      </w:r>
    </w:p>
    <w:p>
      <w:pPr>
        <w:keepNext/>
        <w:spacing w:before="240" w:after="80"/>
        <w:rPr>
          <w:sz w:val="24"/>
          <w:szCs w:val="24"/>
        </w:rPr>
      </w:pPr>
      <w:r>
        <w:rPr>
          <w:b/>
          <w:bCs/>
          <w:sz w:val="24"/>
          <w:szCs w:val="24"/>
        </w:rPr>
        <w:t xml:space="preserve">Descrição</w:t>
      </w:r>
    </w:p>
    <w:p>
      <w:pPr>
        <w:numPr>
          <w:ilvl w:val="0"/>
          <w:numId w:val="1"/>
        </w:numPr>
        <w:rPr>
          <w:sz w:val="24"/>
          <w:szCs w:val="24"/>
        </w:rPr>
      </w:pPr>
      <w:r>
        <w:rPr>
          <w:b/>
          <w:bCs/>
          <w:sz w:val="24"/>
          <w:szCs w:val="24"/>
        </w:rPr>
        <w:t xml:space="preserve">Como </w:t>
      </w:r>
      <w:r>
        <w:rPr>
          <w:sz w:val="24"/>
          <w:szCs w:val="24"/>
        </w:rPr>
        <w:t xml:space="preserve">Gerente de Relacionamento</w:t>
      </w:r>
    </w:p>
    <w:p>
      <w:pPr>
        <w:numPr>
          <w:ilvl w:val="0"/>
          <w:numId w:val="1"/>
        </w:numPr>
        <w:rPr>
          <w:sz w:val="24"/>
          <w:szCs w:val="24"/>
        </w:rPr>
      </w:pPr>
      <w:r>
        <w:rPr>
          <w:b/>
          <w:bCs/>
          <w:sz w:val="24"/>
          <w:szCs w:val="24"/>
        </w:rPr>
        <w:t xml:space="preserve">Quero </w:t>
      </w:r>
      <w:r>
        <w:rPr>
          <w:sz w:val="24"/>
          <w:szCs w:val="24"/>
        </w:rPr>
        <w:t xml:space="preserve">renovar o prazo de fidelidade de um contrato B2B ativo, sem alterar produtos, quantidades nem valores, escolhendo 12, 24, 36, 48, 60 meses ou prazo customizado, com aditivo de tempo gerado pelo sistema e aprovação do BKO</w:t>
      </w:r>
    </w:p>
    <w:p>
      <w:pPr>
        <w:numPr>
          <w:ilvl w:val="0"/>
          <w:numId w:val="1"/>
        </w:numPr>
        <w:rPr>
          <w:sz w:val="24"/>
          <w:szCs w:val="24"/>
        </w:rPr>
      </w:pPr>
      <w:r>
        <w:rPr>
          <w:b/>
          <w:bCs/>
          <w:sz w:val="24"/>
          <w:szCs w:val="24"/>
        </w:rPr>
        <w:t xml:space="preserve">Para que </w:t>
      </w:r>
      <w:r>
        <w:rPr>
          <w:sz w:val="24"/>
          <w:szCs w:val="24"/>
        </w:rPr>
        <w:t xml:space="preserve">a vigência jurídica seja estendida e o MRR garantido sem abrir ordem de alteração técnica.</w:t>
      </w:r>
    </w:p>
    <w:p>
      <w:pPr>
        <w:rPr>
          <w:sz w:val="24"/>
          <w:szCs w:val="24"/>
        </w:rPr>
      </w:pPr>
    </w:p>
    <w:p>
      <w:pPr>
        <w:keepNext/>
        <w:spacing w:before="240" w:after="80"/>
        <w:rPr>
          <w:sz w:val="24"/>
          <w:szCs w:val="24"/>
        </w:rPr>
      </w:pPr>
      <w:r>
        <w:rPr>
          <w:b/>
          <w:bCs/>
          <w:sz w:val="24"/>
          <w:szCs w:val="24"/>
        </w:rPr>
        <w:t xml:space="preserve">Contexto e Cenário de Negócio</w:t>
      </w:r>
    </w:p>
    <w:p>
      <w:pPr>
        <w:rPr>
          <w:sz w:val="24"/>
          <w:szCs w:val="24"/>
        </w:rPr>
      </w:pPr>
      <w:r>
        <w:rPr>
          <w:sz w:val="24"/>
          <w:szCs w:val="24"/>
        </w:rPr>
        <w:t xml:space="preserve">A W-000100 trata refidelização só junto com upgrade. Não existe fluxo de renovação de prazo sem mexer no escopo, que é a operação mais frequente de retenção preventiva. O contrato B2B é guarda-chuva: a renovação vale para todas as etiquetas e ativos do contrato. Sem Arquitetura, sem carrinho e sem Order Management: só datas, aditivo, aprovação e sincronização de vigência com o Customer Core.</w:t>
      </w:r>
    </w:p>
    <w:p>
      <w:pPr>
        <w:keepNext/>
        <w:spacing w:before="240" w:after="80"/>
        <w:rPr>
          <w:sz w:val="24"/>
          <w:szCs w:val="24"/>
        </w:rPr>
      </w:pPr>
      <w:r>
        <w:rPr>
          <w:b/>
          <w:bCs/>
          <w:sz w:val="24"/>
          <w:szCs w:val="24"/>
        </w:rPr>
        <w:t xml:space="preserve">Regras de Negócio Associadas</w:t>
      </w:r>
    </w:p>
    <w:p>
      <w:pPr>
        <w:rPr>
          <w:sz w:val="24"/>
          <w:szCs w:val="24"/>
        </w:rPr>
      </w:pPr>
      <w:r>
        <w:rPr>
          <w:sz w:val="24"/>
          <w:szCs w:val="24"/>
        </w:rPr>
        <w:t xml:space="preserve">RN-01 Entrada pela Visão 360º do grupo econômico (B2B-10) no contrato escolhido. Perfis: GR dono da conta e gestor; SDR não executa.</w:t>
      </w:r>
    </w:p>
    <w:p>
      <w:pPr>
        <w:rPr>
          <w:sz w:val="24"/>
          <w:szCs w:val="24"/>
        </w:rPr>
      </w:pPr>
      <w:r>
        <w:rPr>
          <w:sz w:val="24"/>
          <w:szCs w:val="24"/>
        </w:rPr>
        <w:t xml:space="preserve">RN-02 Elegibilidade: Contract com Status na categoria Activated e sem outra Opportunity aberta de record type Alteração Contratual ou Refidelização Simples para o mesmo contrato; havendo, o sistema bloqueia e aponta a oportunidade em andamento.</w:t>
      </w:r>
    </w:p>
    <w:p>
      <w:pPr>
        <w:rPr>
          <w:sz w:val="24"/>
          <w:szCs w:val="24"/>
        </w:rPr>
      </w:pPr>
      <w:r>
        <w:rPr>
          <w:sz w:val="24"/>
          <w:szCs w:val="24"/>
        </w:rPr>
        <w:t xml:space="preserve">RN-03 Prazo: picklist 12, 24, 36, 48, 60 meses ou "Outro" (número de meses) com justificativa obrigatória, como já decidido na W-000100 (c).</w:t>
      </w:r>
    </w:p>
    <w:p>
      <w:pPr>
        <w:rPr>
          <w:sz w:val="24"/>
          <w:szCs w:val="24"/>
        </w:rPr>
      </w:pPr>
      <w:r>
        <w:rPr>
          <w:sz w:val="24"/>
          <w:szCs w:val="24"/>
        </w:rPr>
        <w:t xml:space="preserve">RN-04 Escopo travado: o OmniScript exibe os ativos do contrato em somente leitura (nome, atributos principais, MRC atual). Sem carrinho, sem adicionar ou remover item, sem alterar preço. Necessidade de mudança de escopo encerra este fluxo e direciona ao MACD (W-000100 ou W-000125).</w:t>
      </w:r>
    </w:p>
    <w:p>
      <w:pPr>
        <w:rPr>
          <w:sz w:val="24"/>
          <w:szCs w:val="24"/>
        </w:rPr>
      </w:pPr>
      <w:r>
        <w:rPr>
          <w:sz w:val="24"/>
          <w:szCs w:val="24"/>
        </w:rPr>
        <w:t xml:space="preserve">RN-05 Vigência: grava novo Contract Term (months) e Contract Start Date da vigência renovada; Contract End Date é calculada pela configuração padrão do Contract (start + term). A Data Fim de Fidelidade (campo custom no Contract e nos Assets do contrato) é atualizada em todas as etiquetas do contrato.</w:t>
      </w:r>
    </w:p>
    <w:p>
      <w:pPr>
        <w:rPr>
          <w:sz w:val="24"/>
          <w:szCs w:val="24"/>
        </w:rPr>
      </w:pPr>
      <w:r>
        <w:rPr>
          <w:sz w:val="24"/>
          <w:szCs w:val="24"/>
        </w:rPr>
        <w:t xml:space="preserve">RN-06 Aditivo de tempo pelo Amend Frame Agreement do Industries CLM (TEC-CLM-01) com contract type próprio "Aditivo de Refidelização": nasce ligado ao contrato master (lista Amendment Contracts); no aditivo o sistema grava Contract Start Date e Contract Term e estende a Effective End Date dos descontos contract-based do frame agreement (desconto de fidelidade B2B, W-000100 nota g). Como o Amend não copia os termos gerais, o template do aditivo carrega as cláusulas de renovação. Aceite pelo signatário legal conforme B2B-09.</w:t>
      </w:r>
    </w:p>
    <w:p>
      <w:pPr>
        <w:rPr>
          <w:sz w:val="24"/>
          <w:szCs w:val="24"/>
        </w:rPr>
      </w:pPr>
      <w:r>
        <w:rPr>
          <w:sz w:val="24"/>
          <w:szCs w:val="24"/>
        </w:rPr>
        <w:t xml:space="preserve">RN-07 Ciclo do aditivo pelo Contract State Model do CLM: Rascunho &gt; Aguardando Aceite &gt; Aguardando BKO &gt; Ativo (ou Rejeitado), com Vlocity Actions por estado e Applicable User Profile: o GR só cria e envia; a ação "Aprovar Aditivo" aparece apenas para o perfil BKO no estado Aguardando BKO. O BKO só lê, não edita valores (W-000101).</w:t>
      </w:r>
    </w:p>
    <w:p>
      <w:pPr>
        <w:rPr>
          <w:sz w:val="24"/>
          <w:szCs w:val="24"/>
        </w:rPr>
      </w:pPr>
      <w:r>
        <w:rPr>
          <w:sz w:val="24"/>
          <w:szCs w:val="24"/>
        </w:rPr>
        <w:t xml:space="preserve">RN-08 Sincronização: na transição para Ativo, Integration Procedure envia as novas datas de vigência ao Customer Core pelo endpoint proprietário via MuleSoft (decisão 04/09, W-000087); TMF651 fica como mapa de capacidade. Só com retorno 200 o contrato passa a "Renovado" e a oportunidade a Ganha.</w:t>
      </w:r>
    </w:p>
    <w:p>
      <w:pPr>
        <w:rPr>
          <w:sz w:val="24"/>
          <w:szCs w:val="24"/>
        </w:rPr>
      </w:pPr>
      <w:r>
        <w:rPr>
          <w:sz w:val="24"/>
          <w:szCs w:val="24"/>
        </w:rPr>
        <w:t xml:space="preserve">RN-09 Nenhuma ordem técnica, nenhuma tarefa de Arquitetura, nenhuma submissão ao OM.</w:t>
      </w:r>
    </w:p>
    <w:p>
      <w:pPr>
        <w:rPr>
          <w:sz w:val="24"/>
          <w:szCs w:val="24"/>
        </w:rPr>
      </w:pPr>
      <w:r>
        <w:rPr>
          <w:sz w:val="24"/>
          <w:szCs w:val="24"/>
        </w:rPr>
        <w:t xml:space="preserve">RN-10 Alerta pré-vencimento: scheduled path no Contract com Time Source = Data Fim de Fidelidade e offset de 60 dias antes (parametrizável em Custom Metadata) cria Task para o GR; o path é cancelado automaticamente se o contrato deixar de atender (renovado, cancelado) e reagendado se a data mudar.</w:t>
      </w:r>
    </w:p>
    <w:p>
      <w:pPr>
        <w:rPr>
          <w:sz w:val="24"/>
          <w:szCs w:val="24"/>
        </w:rPr>
      </w:pPr>
      <w:r>
        <w:rPr>
          <w:sz w:val="24"/>
          <w:szCs w:val="24"/>
        </w:rPr>
        <w:t xml:space="preserve">RN-11 Desconto de fidelidade: no B2B ele é contract-based discount do frame agreement e a RN-06 estende sua vigência sem tocar nos assets. Se algum ativo tiver ajuste de promoção com Time Plan/Time Policy (Source = ABP), a nova duração é aplicada pelo Repricing Batch Processor restrito aos assets da conta, em lotes de até 20 line items, porque o repricing atualiza as datas de efetividade dos ajustes de promoção. Fora desse caso, nenhum repricing de assets: manter "Retain Original Price during MACD".</w:t>
      </w:r>
    </w:p>
    <w:p>
      <w:pPr>
        <w:rPr>
          <w:sz w:val="24"/>
          <w:szCs w:val="24"/>
        </w:rPr>
      </w:pPr>
      <w:r>
        <w:rPr>
          <w:sz w:val="24"/>
          <w:szCs w:val="24"/>
        </w:rPr>
        <w:t xml:space="preserve">RN-12 Sem multa (não há alteração de escopo nem cancelamento). Reajuste financeiro não tramita aqui (W-000100 nota b).</w:t>
      </w:r>
    </w:p>
    <w:p>
      <w:pPr>
        <w:keepNext/>
        <w:spacing w:before="240" w:after="80"/>
        <w:rPr>
          <w:sz w:val="24"/>
          <w:szCs w:val="24"/>
        </w:rPr>
      </w:pPr>
      <w:r>
        <w:rPr>
          <w:b/>
          <w:bCs/>
          <w:sz w:val="24"/>
          <w:szCs w:val="24"/>
        </w:rPr>
        <w:t xml:space="preserve">Especificação Técnica (Salesforce)</w:t>
      </w:r>
    </w:p>
    <w:p>
      <w:pPr>
        <w:rPr>
          <w:sz w:val="24"/>
          <w:szCs w:val="24"/>
        </w:rPr>
      </w:pPr>
      <w:r>
        <w:rPr>
          <w:sz w:val="24"/>
          <w:szCs w:val="24"/>
        </w:rPr>
        <w:t xml:space="preserve">Opportunity record type "Refidelização Simples" criada a partir da 360 (B2B-10); OmniScript "Renovação Contratual B2B" com FlexCard de ativos em somente leitura (Integration Procedure lendo Assets por Contract e Asset Reference ID); campos custom no Contract: Data Fim de Fidelidade, Prazo de Fidelidade (meses), Justificativa de Prazo; Validation Rule para RN-02; Vlocity CLM Amend com contract type "Aditivo de Refidelização" e template próprio (TEC-CLM-01, W-000106); Contract State Model e Vlocity Actions por perfil; Integration Procedure de sincronização via Named Credential MuleCallout / IntegrationConfig__mdt; record-triggered flow no Contract com scheduled path (RN-10); Custom Metadata para offset do alerta e lista de prazos.</w:t>
      </w:r>
    </w:p>
    <w:p>
      <w:pPr>
        <w:keepNext/>
        <w:spacing w:before="240" w:after="80"/>
        <w:rPr>
          <w:sz w:val="24"/>
          <w:szCs w:val="24"/>
        </w:rPr>
      </w:pPr>
      <w:r>
        <w:rPr>
          <w:b/>
          <w:bCs/>
          <w:sz w:val="24"/>
          <w:szCs w:val="24"/>
        </w:rPr>
        <w:t xml:space="preserve">Dependências, Riscos e Estimativa</w:t>
      </w:r>
    </w:p>
    <w:p>
      <w:pPr>
        <w:rPr>
          <w:sz w:val="24"/>
          <w:szCs w:val="24"/>
        </w:rPr>
      </w:pPr>
      <w:r>
        <w:rPr>
          <w:b/>
          <w:bCs/>
          <w:sz w:val="24"/>
          <w:szCs w:val="24"/>
        </w:rPr>
        <w:t xml:space="preserve">Dependências: </w:t>
      </w:r>
      <w:r>
        <w:rPr>
          <w:sz w:val="24"/>
          <w:szCs w:val="24"/>
        </w:rPr>
        <w:t xml:space="preserve">W-000123 (B2B-10, ponto de entrada), W-000100 (regras de prazo e justificativa), W-000126 (TEC-CLM-01 aditivo), W-000122 (B2B-09 signatário), W-000101 (fila BKO), W-000087 (integrações), W-000103 (Assets com fidelidade carregada), P1 do Joel (prazo de contrato na oferta).</w:t>
      </w:r>
    </w:p>
    <w:p>
      <w:pPr>
        <w:rPr>
          <w:sz w:val="24"/>
          <w:szCs w:val="24"/>
        </w:rPr>
      </w:pPr>
      <w:r>
        <w:rPr>
          <w:b/>
          <w:bCs/>
          <w:sz w:val="24"/>
          <w:szCs w:val="24"/>
        </w:rPr>
        <w:t xml:space="preserve">Riscos: </w:t>
      </w:r>
      <w:r>
        <w:rPr>
          <w:sz w:val="24"/>
          <w:szCs w:val="24"/>
        </w:rPr>
        <w:t xml:space="preserve">Customer Core precisa devolver as vigências atuais e aceitar update de datas; contratos sem Asset sincronizado não podem ser renovados pela 360; CLM precisa estar ativo na org (verificação de 15/09).</w:t>
      </w:r>
    </w:p>
    <w:p>
      <w:pPr>
        <w:rPr>
          <w:sz w:val="24"/>
          <w:szCs w:val="24"/>
        </w:rPr>
      </w:pPr>
      <w:r>
        <w:rPr>
          <w:b/>
          <w:bCs/>
          <w:sz w:val="24"/>
          <w:szCs w:val="24"/>
        </w:rPr>
        <w:t xml:space="preserve">Estimativa: </w:t>
      </w:r>
      <w:r>
        <w:rPr>
          <w:sz w:val="24"/>
          <w:szCs w:val="24"/>
        </w:rPr>
        <w:t xml:space="preserve">8 Story Points.</w:t>
      </w:r>
    </w:p>
    <w:p>
      <w:pPr>
        <w:keepNext/>
        <w:spacing w:before="240" w:after="80"/>
        <w:rPr>
          <w:sz w:val="24"/>
          <w:szCs w:val="24"/>
        </w:rPr>
      </w:pPr>
      <w:r>
        <w:rPr>
          <w:b/>
          <w:bCs/>
          <w:sz w:val="24"/>
          <w:szCs w:val="24"/>
        </w:rPr>
        <w:t xml:space="preserve">Critérios de Aceite</w:t>
      </w:r>
    </w:p>
    <w:p>
      <w:pPr>
        <w:keepNext/>
        <w:numPr>
          <w:ilvl w:val="0"/>
          <w:numId w:val="3"/>
        </w:numPr>
        <w:rPr>
          <w:sz w:val="24"/>
          <w:szCs w:val="24"/>
        </w:rPr>
      </w:pPr>
      <w:r>
        <w:rPr>
          <w:b/>
          <w:bCs/>
          <w:sz w:val="24"/>
          <w:szCs w:val="24"/>
        </w:rPr>
        <w:t xml:space="preserve">Critério 1: Elegibilidade e trava.</w:t>
      </w:r>
    </w:p>
    <w:p>
      <w:pPr>
        <w:numPr>
          <w:ilvl w:val="1"/>
          <w:numId w:val="3"/>
        </w:numPr>
        <w:rPr>
          <w:sz w:val="24"/>
          <w:szCs w:val="24"/>
        </w:rPr>
      </w:pPr>
      <w:r>
        <w:rPr>
          <w:b/>
          <w:bCs/>
          <w:sz w:val="24"/>
          <w:szCs w:val="24"/>
        </w:rPr>
        <w:t xml:space="preserve">Dado </w:t>
      </w:r>
      <w:r>
        <w:rPr>
          <w:sz w:val="24"/>
          <w:szCs w:val="24"/>
        </w:rPr>
        <w:t xml:space="preserve">um contrato B2B ativo com uma Opportunity de Alteração Contratual aberta</w:t>
      </w:r>
    </w:p>
    <w:p>
      <w:pPr>
        <w:numPr>
          <w:ilvl w:val="1"/>
          <w:numId w:val="3"/>
        </w:numPr>
        <w:rPr>
          <w:sz w:val="24"/>
          <w:szCs w:val="24"/>
        </w:rPr>
      </w:pPr>
      <w:r>
        <w:rPr>
          <w:b/>
          <w:bCs/>
          <w:sz w:val="24"/>
          <w:szCs w:val="24"/>
        </w:rPr>
        <w:t xml:space="preserve">Quando </w:t>
      </w:r>
      <w:r>
        <w:rPr>
          <w:sz w:val="24"/>
          <w:szCs w:val="24"/>
        </w:rPr>
        <w:t xml:space="preserve">o GR aciona "Refidelizar" na 360</w:t>
      </w:r>
    </w:p>
    <w:p>
      <w:pPr>
        <w:numPr>
          <w:ilvl w:val="1"/>
          <w:numId w:val="3"/>
        </w:numPr>
        <w:rPr>
          <w:sz w:val="24"/>
          <w:szCs w:val="24"/>
        </w:rPr>
      </w:pPr>
      <w:r>
        <w:rPr>
          <w:b/>
          <w:bCs/>
          <w:sz w:val="24"/>
          <w:szCs w:val="24"/>
        </w:rPr>
        <w:t xml:space="preserve">Então </w:t>
      </w:r>
      <w:r>
        <w:rPr>
          <w:sz w:val="24"/>
          <w:szCs w:val="24"/>
        </w:rPr>
        <w:t xml:space="preserve">o sistema bloqueia e exibe o número da oportunidade em andamento.</w:t>
      </w:r>
    </w:p>
    <w:p>
      <w:pPr>
        <w:keepNext/>
        <w:numPr>
          <w:ilvl w:val="0"/>
          <w:numId w:val="3"/>
        </w:numPr>
        <w:rPr>
          <w:sz w:val="24"/>
          <w:szCs w:val="24"/>
        </w:rPr>
      </w:pPr>
      <w:r>
        <w:rPr>
          <w:b/>
          <w:bCs/>
          <w:sz w:val="24"/>
          <w:szCs w:val="24"/>
        </w:rPr>
        <w:t xml:space="preserve">Critério 2: Prazo padrão.</w:t>
      </w:r>
    </w:p>
    <w:p>
      <w:pPr>
        <w:numPr>
          <w:ilvl w:val="1"/>
          <w:numId w:val="3"/>
        </w:numPr>
        <w:rPr>
          <w:sz w:val="24"/>
          <w:szCs w:val="24"/>
        </w:rPr>
      </w:pPr>
      <w:r>
        <w:rPr>
          <w:b/>
          <w:bCs/>
          <w:sz w:val="24"/>
          <w:szCs w:val="24"/>
        </w:rPr>
        <w:t xml:space="preserve">Dado </w:t>
      </w:r>
      <w:r>
        <w:rPr>
          <w:sz w:val="24"/>
          <w:szCs w:val="24"/>
        </w:rPr>
        <w:t xml:space="preserve">um contrato ativo há 12 meses sem MACD aberto</w:t>
      </w:r>
    </w:p>
    <w:p>
      <w:pPr>
        <w:numPr>
          <w:ilvl w:val="1"/>
          <w:numId w:val="3"/>
        </w:numPr>
        <w:rPr>
          <w:sz w:val="24"/>
          <w:szCs w:val="24"/>
        </w:rPr>
      </w:pPr>
      <w:r>
        <w:rPr>
          <w:b/>
          <w:bCs/>
          <w:sz w:val="24"/>
          <w:szCs w:val="24"/>
        </w:rPr>
        <w:t xml:space="preserve">Quando </w:t>
      </w:r>
      <w:r>
        <w:rPr>
          <w:sz w:val="24"/>
          <w:szCs w:val="24"/>
        </w:rPr>
        <w:t xml:space="preserve">o GR escolhe 24 meses e confirma</w:t>
      </w:r>
    </w:p>
    <w:p>
      <w:pPr>
        <w:numPr>
          <w:ilvl w:val="1"/>
          <w:numId w:val="3"/>
        </w:numPr>
        <w:rPr>
          <w:sz w:val="24"/>
          <w:szCs w:val="24"/>
        </w:rPr>
      </w:pPr>
      <w:r>
        <w:rPr>
          <w:b/>
          <w:bCs/>
          <w:sz w:val="24"/>
          <w:szCs w:val="24"/>
        </w:rPr>
        <w:t xml:space="preserve">Então </w:t>
      </w:r>
      <w:r>
        <w:rPr>
          <w:sz w:val="24"/>
          <w:szCs w:val="24"/>
        </w:rPr>
        <w:t xml:space="preserve">o sistema gera o aditivo sem acionar Arquitetura e envia à fila de aprovação do BKO.</w:t>
      </w:r>
    </w:p>
    <w:p>
      <w:pPr>
        <w:keepNext/>
        <w:numPr>
          <w:ilvl w:val="0"/>
          <w:numId w:val="3"/>
        </w:numPr>
        <w:rPr>
          <w:sz w:val="24"/>
          <w:szCs w:val="24"/>
        </w:rPr>
      </w:pPr>
      <w:r>
        <w:rPr>
          <w:b/>
          <w:bCs/>
          <w:sz w:val="24"/>
          <w:szCs w:val="24"/>
        </w:rPr>
        <w:t xml:space="preserve">Critério 3: Prazo customizado.</w:t>
      </w:r>
    </w:p>
    <w:p>
      <w:pPr>
        <w:numPr>
          <w:ilvl w:val="1"/>
          <w:numId w:val="3"/>
        </w:numPr>
        <w:rPr>
          <w:sz w:val="24"/>
          <w:szCs w:val="24"/>
        </w:rPr>
      </w:pPr>
      <w:r>
        <w:rPr>
          <w:b/>
          <w:bCs/>
          <w:sz w:val="24"/>
          <w:szCs w:val="24"/>
        </w:rPr>
        <w:t xml:space="preserve">Dado </w:t>
      </w:r>
      <w:r>
        <w:rPr>
          <w:sz w:val="24"/>
          <w:szCs w:val="24"/>
        </w:rPr>
        <w:t xml:space="preserve">o OmniScript de renovação</w:t>
      </w:r>
    </w:p>
    <w:p>
      <w:pPr>
        <w:numPr>
          <w:ilvl w:val="1"/>
          <w:numId w:val="3"/>
        </w:numPr>
        <w:rPr>
          <w:sz w:val="24"/>
          <w:szCs w:val="24"/>
        </w:rPr>
      </w:pPr>
      <w:r>
        <w:rPr>
          <w:b/>
          <w:bCs/>
          <w:sz w:val="24"/>
          <w:szCs w:val="24"/>
        </w:rPr>
        <w:t xml:space="preserve">Quando </w:t>
      </w:r>
      <w:r>
        <w:rPr>
          <w:sz w:val="24"/>
          <w:szCs w:val="24"/>
        </w:rPr>
        <w:t xml:space="preserve">o GR escolhe "Outro" e informa 18 meses sem justificativa</w:t>
      </w:r>
    </w:p>
    <w:p>
      <w:pPr>
        <w:numPr>
          <w:ilvl w:val="1"/>
          <w:numId w:val="3"/>
        </w:numPr>
        <w:rPr>
          <w:sz w:val="24"/>
          <w:szCs w:val="24"/>
        </w:rPr>
      </w:pPr>
      <w:r>
        <w:rPr>
          <w:b/>
          <w:bCs/>
          <w:sz w:val="24"/>
          <w:szCs w:val="24"/>
        </w:rPr>
        <w:t xml:space="preserve">Então </w:t>
      </w:r>
      <w:r>
        <w:rPr>
          <w:sz w:val="24"/>
          <w:szCs w:val="24"/>
        </w:rPr>
        <w:t xml:space="preserve">o sistema bloqueia o avanço até a justificativa ser preenchida.</w:t>
      </w:r>
    </w:p>
    <w:p>
      <w:pPr>
        <w:keepNext/>
        <w:numPr>
          <w:ilvl w:val="0"/>
          <w:numId w:val="3"/>
        </w:numPr>
        <w:rPr>
          <w:sz w:val="24"/>
          <w:szCs w:val="24"/>
        </w:rPr>
      </w:pPr>
      <w:r>
        <w:rPr>
          <w:b/>
          <w:bCs/>
          <w:sz w:val="24"/>
          <w:szCs w:val="24"/>
        </w:rPr>
        <w:t xml:space="preserve">Critério 4: Escopo somente leitura.</w:t>
      </w:r>
    </w:p>
    <w:p>
      <w:pPr>
        <w:numPr>
          <w:ilvl w:val="1"/>
          <w:numId w:val="3"/>
        </w:numPr>
        <w:rPr>
          <w:sz w:val="24"/>
          <w:szCs w:val="24"/>
        </w:rPr>
      </w:pPr>
      <w:r>
        <w:rPr>
          <w:b/>
          <w:bCs/>
          <w:sz w:val="24"/>
          <w:szCs w:val="24"/>
        </w:rPr>
        <w:t xml:space="preserve">Dado </w:t>
      </w:r>
      <w:r>
        <w:rPr>
          <w:sz w:val="24"/>
          <w:szCs w:val="24"/>
        </w:rPr>
        <w:t xml:space="preserve">o OmniScript carregado</w:t>
      </w:r>
    </w:p>
    <w:p>
      <w:pPr>
        <w:numPr>
          <w:ilvl w:val="1"/>
          <w:numId w:val="3"/>
        </w:numPr>
        <w:rPr>
          <w:sz w:val="24"/>
          <w:szCs w:val="24"/>
        </w:rPr>
      </w:pPr>
      <w:r>
        <w:rPr>
          <w:b/>
          <w:bCs/>
          <w:sz w:val="24"/>
          <w:szCs w:val="24"/>
        </w:rPr>
        <w:t xml:space="preserve">Quando </w:t>
      </w:r>
      <w:r>
        <w:rPr>
          <w:sz w:val="24"/>
          <w:szCs w:val="24"/>
        </w:rPr>
        <w:t xml:space="preserve">o GR visualiza os ativos</w:t>
      </w:r>
    </w:p>
    <w:p>
      <w:pPr>
        <w:numPr>
          <w:ilvl w:val="1"/>
          <w:numId w:val="3"/>
        </w:numPr>
        <w:rPr>
          <w:sz w:val="24"/>
          <w:szCs w:val="24"/>
        </w:rPr>
      </w:pPr>
      <w:r>
        <w:rPr>
          <w:b/>
          <w:bCs/>
          <w:sz w:val="24"/>
          <w:szCs w:val="24"/>
        </w:rPr>
        <w:t xml:space="preserve">Então </w:t>
      </w:r>
      <w:r>
        <w:rPr>
          <w:sz w:val="24"/>
          <w:szCs w:val="24"/>
        </w:rPr>
        <w:t xml:space="preserve">eles aparecem em somente leitura e não existe ação de adicionar item, remover item ou alterar preço.</w:t>
      </w:r>
    </w:p>
    <w:p>
      <w:pPr>
        <w:keepNext/>
        <w:numPr>
          <w:ilvl w:val="0"/>
          <w:numId w:val="3"/>
        </w:numPr>
        <w:rPr>
          <w:sz w:val="24"/>
          <w:szCs w:val="24"/>
        </w:rPr>
      </w:pPr>
      <w:r>
        <w:rPr>
          <w:b/>
          <w:bCs/>
          <w:sz w:val="24"/>
          <w:szCs w:val="24"/>
        </w:rPr>
        <w:t xml:space="preserve">Critério 5: Aditivo e datas.</w:t>
      </w:r>
    </w:p>
    <w:p>
      <w:pPr>
        <w:numPr>
          <w:ilvl w:val="1"/>
          <w:numId w:val="3"/>
        </w:numPr>
        <w:rPr>
          <w:sz w:val="24"/>
          <w:szCs w:val="24"/>
        </w:rPr>
      </w:pPr>
      <w:r>
        <w:rPr>
          <w:b/>
          <w:bCs/>
          <w:sz w:val="24"/>
          <w:szCs w:val="24"/>
        </w:rPr>
        <w:t xml:space="preserve">Dado </w:t>
      </w:r>
      <w:r>
        <w:rPr>
          <w:sz w:val="24"/>
          <w:szCs w:val="24"/>
        </w:rPr>
        <w:t xml:space="preserve">o aditivo de 36 meses aceito pelo signatário legal e aprovado pelo BKO</w:t>
      </w:r>
    </w:p>
    <w:p>
      <w:pPr>
        <w:numPr>
          <w:ilvl w:val="1"/>
          <w:numId w:val="3"/>
        </w:numPr>
        <w:rPr>
          <w:sz w:val="24"/>
          <w:szCs w:val="24"/>
        </w:rPr>
      </w:pPr>
      <w:r>
        <w:rPr>
          <w:b/>
          <w:bCs/>
          <w:sz w:val="24"/>
          <w:szCs w:val="24"/>
        </w:rPr>
        <w:t xml:space="preserve">Quando </w:t>
      </w:r>
      <w:r>
        <w:rPr>
          <w:sz w:val="24"/>
          <w:szCs w:val="24"/>
        </w:rPr>
        <w:t xml:space="preserve">a sincronização com o Customer Core retorna sucesso</w:t>
      </w:r>
    </w:p>
    <w:p>
      <w:pPr>
        <w:numPr>
          <w:ilvl w:val="1"/>
          <w:numId w:val="3"/>
        </w:numPr>
        <w:rPr>
          <w:sz w:val="24"/>
          <w:szCs w:val="24"/>
        </w:rPr>
      </w:pPr>
      <w:r>
        <w:rPr>
          <w:b/>
          <w:bCs/>
          <w:sz w:val="24"/>
          <w:szCs w:val="24"/>
        </w:rPr>
        <w:t xml:space="preserve">Então </w:t>
      </w:r>
      <w:r>
        <w:rPr>
          <w:sz w:val="24"/>
          <w:szCs w:val="24"/>
        </w:rPr>
        <w:t xml:space="preserve">Contract Term = 36, Contract End Date recalculada, Data Fim de Fidelidade atualizada em todos os assets do contrato e o aditivo listado em Amendment Contracts.</w:t>
      </w:r>
    </w:p>
    <w:p>
      <w:pPr>
        <w:keepNext/>
        <w:numPr>
          <w:ilvl w:val="0"/>
          <w:numId w:val="3"/>
        </w:numPr>
        <w:rPr>
          <w:sz w:val="24"/>
          <w:szCs w:val="24"/>
        </w:rPr>
      </w:pPr>
      <w:r>
        <w:rPr>
          <w:b/>
          <w:bCs/>
          <w:sz w:val="24"/>
          <w:szCs w:val="24"/>
        </w:rPr>
        <w:t xml:space="preserve">Critério 6: BKO obrigatório.</w:t>
      </w:r>
    </w:p>
    <w:p>
      <w:pPr>
        <w:numPr>
          <w:ilvl w:val="1"/>
          <w:numId w:val="3"/>
        </w:numPr>
        <w:rPr>
          <w:sz w:val="24"/>
          <w:szCs w:val="24"/>
        </w:rPr>
      </w:pPr>
      <w:r>
        <w:rPr>
          <w:b/>
          <w:bCs/>
          <w:sz w:val="24"/>
          <w:szCs w:val="24"/>
        </w:rPr>
        <w:t xml:space="preserve">Dado </w:t>
      </w:r>
      <w:r>
        <w:rPr>
          <w:sz w:val="24"/>
          <w:szCs w:val="24"/>
        </w:rPr>
        <w:t xml:space="preserve">o aditivo em Aguardando BKO</w:t>
      </w:r>
    </w:p>
    <w:p>
      <w:pPr>
        <w:numPr>
          <w:ilvl w:val="1"/>
          <w:numId w:val="3"/>
        </w:numPr>
        <w:rPr>
          <w:sz w:val="24"/>
          <w:szCs w:val="24"/>
        </w:rPr>
      </w:pPr>
      <w:r>
        <w:rPr>
          <w:b/>
          <w:bCs/>
          <w:sz w:val="24"/>
          <w:szCs w:val="24"/>
        </w:rPr>
        <w:t xml:space="preserve">Quando </w:t>
      </w:r>
      <w:r>
        <w:rPr>
          <w:sz w:val="24"/>
          <w:szCs w:val="24"/>
        </w:rPr>
        <w:t xml:space="preserve">um usuário GR abre o registro</w:t>
      </w:r>
    </w:p>
    <w:p>
      <w:pPr>
        <w:numPr>
          <w:ilvl w:val="1"/>
          <w:numId w:val="3"/>
        </w:numPr>
        <w:rPr>
          <w:sz w:val="24"/>
          <w:szCs w:val="24"/>
        </w:rPr>
      </w:pPr>
      <w:r>
        <w:rPr>
          <w:b/>
          <w:bCs/>
          <w:sz w:val="24"/>
          <w:szCs w:val="24"/>
        </w:rPr>
        <w:t xml:space="preserve">Então </w:t>
      </w:r>
      <w:r>
        <w:rPr>
          <w:sz w:val="24"/>
          <w:szCs w:val="24"/>
        </w:rPr>
        <w:t xml:space="preserve">a ação "Aprovar Aditivo" não aparece; e enquanto o BKO não aprova, nenhuma chamada ao Customer Core é feita e o contrato permanece com os dados anteriores.</w:t>
      </w:r>
    </w:p>
    <w:p>
      <w:pPr>
        <w:keepNext/>
        <w:numPr>
          <w:ilvl w:val="0"/>
          <w:numId w:val="3"/>
        </w:numPr>
        <w:rPr>
          <w:sz w:val="24"/>
          <w:szCs w:val="24"/>
        </w:rPr>
      </w:pPr>
      <w:r>
        <w:rPr>
          <w:b/>
          <w:bCs/>
          <w:sz w:val="24"/>
          <w:szCs w:val="24"/>
        </w:rPr>
        <w:t xml:space="preserve">Critério 7: Alerta pré-vencimento.</w:t>
      </w:r>
    </w:p>
    <w:p>
      <w:pPr>
        <w:numPr>
          <w:ilvl w:val="1"/>
          <w:numId w:val="3"/>
        </w:numPr>
        <w:rPr>
          <w:sz w:val="24"/>
          <w:szCs w:val="24"/>
        </w:rPr>
      </w:pPr>
      <w:r>
        <w:rPr>
          <w:b/>
          <w:bCs/>
          <w:sz w:val="24"/>
          <w:szCs w:val="24"/>
        </w:rPr>
        <w:t xml:space="preserve">Dado </w:t>
      </w:r>
      <w:r>
        <w:rPr>
          <w:sz w:val="24"/>
          <w:szCs w:val="24"/>
        </w:rPr>
        <w:t xml:space="preserve">um contrato com Data Fim de Fidelidade em 60 dias</w:t>
      </w:r>
    </w:p>
    <w:p>
      <w:pPr>
        <w:numPr>
          <w:ilvl w:val="1"/>
          <w:numId w:val="3"/>
        </w:numPr>
        <w:rPr>
          <w:sz w:val="24"/>
          <w:szCs w:val="24"/>
        </w:rPr>
      </w:pPr>
      <w:r>
        <w:rPr>
          <w:b/>
          <w:bCs/>
          <w:sz w:val="24"/>
          <w:szCs w:val="24"/>
        </w:rPr>
        <w:t xml:space="preserve">Quando </w:t>
      </w:r>
      <w:r>
        <w:rPr>
          <w:sz w:val="24"/>
          <w:szCs w:val="24"/>
        </w:rPr>
        <w:t xml:space="preserve">o scheduled path executa</w:t>
      </w:r>
    </w:p>
    <w:p>
      <w:pPr>
        <w:numPr>
          <w:ilvl w:val="1"/>
          <w:numId w:val="3"/>
        </w:numPr>
        <w:rPr>
          <w:sz w:val="24"/>
          <w:szCs w:val="24"/>
        </w:rPr>
      </w:pPr>
      <w:r>
        <w:rPr>
          <w:b/>
          <w:bCs/>
          <w:sz w:val="24"/>
          <w:szCs w:val="24"/>
        </w:rPr>
        <w:t xml:space="preserve">Então </w:t>
      </w:r>
      <w:r>
        <w:rPr>
          <w:sz w:val="24"/>
          <w:szCs w:val="24"/>
        </w:rPr>
        <w:t xml:space="preserve">uma Task é criada para o GR; e se o contrato for renovado antes, o path pendente é cancelado sem gerar Task.</w:t>
      </w:r>
    </w:p>
    <w:p>
      <w:pPr>
        <w:keepNext/>
        <w:numPr>
          <w:ilvl w:val="0"/>
          <w:numId w:val="3"/>
        </w:numPr>
        <w:rPr>
          <w:sz w:val="24"/>
          <w:szCs w:val="24"/>
        </w:rPr>
      </w:pPr>
      <w:r>
        <w:rPr>
          <w:b/>
          <w:bCs/>
          <w:sz w:val="24"/>
          <w:szCs w:val="24"/>
        </w:rPr>
        <w:t xml:space="preserve">Critério 8: Guarda-chuva.</w:t>
      </w:r>
    </w:p>
    <w:p>
      <w:pPr>
        <w:numPr>
          <w:ilvl w:val="1"/>
          <w:numId w:val="3"/>
        </w:numPr>
        <w:rPr>
          <w:sz w:val="24"/>
          <w:szCs w:val="24"/>
        </w:rPr>
      </w:pPr>
      <w:r>
        <w:rPr>
          <w:b/>
          <w:bCs/>
          <w:sz w:val="24"/>
          <w:szCs w:val="24"/>
        </w:rPr>
        <w:t xml:space="preserve">Dado </w:t>
      </w:r>
      <w:r>
        <w:rPr>
          <w:sz w:val="24"/>
          <w:szCs w:val="24"/>
        </w:rPr>
        <w:t xml:space="preserve">um contrato com três etiquetas ativas</w:t>
      </w:r>
    </w:p>
    <w:p>
      <w:pPr>
        <w:numPr>
          <w:ilvl w:val="1"/>
          <w:numId w:val="3"/>
        </w:numPr>
        <w:rPr>
          <w:sz w:val="24"/>
          <w:szCs w:val="24"/>
        </w:rPr>
      </w:pPr>
      <w:r>
        <w:rPr>
          <w:b/>
          <w:bCs/>
          <w:sz w:val="24"/>
          <w:szCs w:val="24"/>
        </w:rPr>
        <w:t xml:space="preserve">Quando </w:t>
      </w:r>
      <w:r>
        <w:rPr>
          <w:sz w:val="24"/>
          <w:szCs w:val="24"/>
        </w:rPr>
        <w:t xml:space="preserve">a refidelização é concluída</w:t>
      </w:r>
    </w:p>
    <w:p>
      <w:pPr>
        <w:numPr>
          <w:ilvl w:val="1"/>
          <w:numId w:val="3"/>
        </w:numPr>
        <w:rPr>
          <w:sz w:val="24"/>
          <w:szCs w:val="24"/>
        </w:rPr>
      </w:pPr>
      <w:r>
        <w:rPr>
          <w:b/>
          <w:bCs/>
          <w:sz w:val="24"/>
          <w:szCs w:val="24"/>
        </w:rPr>
        <w:t xml:space="preserve">Então </w:t>
      </w:r>
      <w:r>
        <w:rPr>
          <w:sz w:val="24"/>
          <w:szCs w:val="24"/>
        </w:rPr>
        <w:t xml:space="preserve">as três recebem a mesma Data Fim de Fidelidade.</w:t>
      </w:r>
    </w:p>
    <w:p>
      <w:pPr>
        <w:keepNext/>
        <w:numPr>
          <w:ilvl w:val="0"/>
          <w:numId w:val="3"/>
        </w:numPr>
        <w:rPr>
          <w:sz w:val="24"/>
          <w:szCs w:val="24"/>
        </w:rPr>
      </w:pPr>
      <w:r>
        <w:rPr>
          <w:b/>
          <w:bCs/>
          <w:sz w:val="24"/>
          <w:szCs w:val="24"/>
        </w:rPr>
        <w:t xml:space="preserve">Critério 9: Desconto de fidelidade.</w:t>
      </w:r>
    </w:p>
    <w:p>
      <w:pPr>
        <w:numPr>
          <w:ilvl w:val="1"/>
          <w:numId w:val="3"/>
        </w:numPr>
        <w:rPr>
          <w:sz w:val="24"/>
          <w:szCs w:val="24"/>
        </w:rPr>
      </w:pPr>
      <w:r>
        <w:rPr>
          <w:b/>
          <w:bCs/>
          <w:sz w:val="24"/>
          <w:szCs w:val="24"/>
        </w:rPr>
        <w:t xml:space="preserve">Dado </w:t>
      </w:r>
      <w:r>
        <w:rPr>
          <w:sz w:val="24"/>
          <w:szCs w:val="24"/>
        </w:rPr>
        <w:t xml:space="preserve">um frame agreement com desconto contract-based vencendo em 31/12</w:t>
      </w:r>
    </w:p>
    <w:p>
      <w:pPr>
        <w:numPr>
          <w:ilvl w:val="1"/>
          <w:numId w:val="3"/>
        </w:numPr>
        <w:rPr>
          <w:sz w:val="24"/>
          <w:szCs w:val="24"/>
        </w:rPr>
      </w:pPr>
      <w:r>
        <w:rPr>
          <w:b/>
          <w:bCs/>
          <w:sz w:val="24"/>
          <w:szCs w:val="24"/>
        </w:rPr>
        <w:t xml:space="preserve">Quando </w:t>
      </w:r>
      <w:r>
        <w:rPr>
          <w:sz w:val="24"/>
          <w:szCs w:val="24"/>
        </w:rPr>
        <w:t xml:space="preserve">a refidelização de 24 meses é ativada</w:t>
      </w:r>
    </w:p>
    <w:p>
      <w:pPr>
        <w:numPr>
          <w:ilvl w:val="1"/>
          <w:numId w:val="3"/>
        </w:numPr>
        <w:rPr>
          <w:sz w:val="24"/>
          <w:szCs w:val="24"/>
        </w:rPr>
      </w:pPr>
      <w:r>
        <w:rPr>
          <w:b/>
          <w:bCs/>
          <w:sz w:val="24"/>
          <w:szCs w:val="24"/>
        </w:rPr>
        <w:t xml:space="preserve">Então </w:t>
      </w:r>
      <w:r>
        <w:rPr>
          <w:sz w:val="24"/>
          <w:szCs w:val="24"/>
        </w:rPr>
        <w:t xml:space="preserve">a Effective End Date do desconto passa para 24 meses após o novo início e os MRC dos assets não mudam.</w:t>
      </w:r>
    </w:p>
    <w:p>
      <w:pPr>
        <w:rPr>
          <w:sz w:val="24"/>
          <w:szCs w:val="24"/>
        </w:rPr>
      </w:pPr>
    </w:p>
    <w:p>
      <w:pPr>
        <w:rPr>
          <w:sz w:val="24"/>
          <w:szCs w:val="24"/>
        </w:rPr>
      </w:pPr>
      <w:r>
        <w:rPr>
          <w:b/>
          <w:bCs/>
          <w:sz w:val="24"/>
          <w:szCs w:val="24"/>
        </w:rPr>
        <w:t xml:space="preserve">Massa de Teste Sugerida: </w:t>
      </w:r>
      <w:r>
        <w:rPr>
          <w:sz w:val="24"/>
          <w:szCs w:val="24"/>
        </w:rPr>
        <w:t xml:space="preserve">Business Account (CNPJ) com contrato de conectividade ativo há 12 meses e três assets; renovação para 36 meses; usuário perfil BKO para aprovar; contrato com oportunidade de upgrade aberta para o critério 1.</w:t>
      </w:r>
    </w:p>
    <w:p>
      <w:pPr>
        <w:keepNext/>
        <w:spacing w:before="240" w:after="80"/>
        <w:rPr>
          <w:sz w:val="24"/>
          <w:szCs w:val="24"/>
        </w:rPr>
      </w:pPr>
      <w:r>
        <w:rPr>
          <w:b/>
          <w:bCs/>
          <w:sz w:val="24"/>
          <w:szCs w:val="24"/>
        </w:rPr>
        <w:t xml:space="preserve">Fundamentação Técnica (Salesforce Help)</w:t>
      </w:r>
    </w:p>
    <w:p>
      <w:pPr>
        <w:rPr>
          <w:sz w:val="24"/>
          <w:szCs w:val="24"/>
        </w:rPr>
      </w:pPr>
      <w:r>
        <w:rPr>
          <w:sz w:val="24"/>
          <w:szCs w:val="24"/>
        </w:rPr>
        <w:t xml:space="preserve">Salesforce Help: Contract Lifecycle Management Overview; To Amend Frame Agreements; Contract State Model and the Contract Workflow; Contract Fields; Scheduled Paths (record-triggered flow); Reprice Existing Prices; Set Up Attribute-Based Pricing with Time Plan and Time Policy; Vlocity CLM Custom Settings.</w:t>
      </w:r>
    </w:p>
    <w:sectPr w:rsidR="00667FCE" w:rsidRPr="00D95147">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66A4" w14:textId="77777777" w:rsidR="006905A9" w:rsidRDefault="006905A9" w:rsidP="00503E52">
      <w:pPr>
        <w:spacing w:after="0" w:line="240" w:lineRule="auto"/>
      </w:pPr>
      <w:r>
        <w:separator/>
      </w:r>
    </w:p>
  </w:endnote>
  <w:endnote w:type="continuationSeparator" w:id="0">
    <w:p w14:paraId="164B2F6C" w14:textId="77777777" w:rsidR="006905A9" w:rsidRDefault="006905A9" w:rsidP="0050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60D7" w14:textId="4EC72B34" w:rsidR="00D40736" w:rsidRDefault="00D40736" w:rsidP="00D40736">
    <w:pPr>
      <w:pBdr>
        <w:top w:val="single" w:sz="6" w:space="4" w:color="4FC3E0"/>
      </w:pBdr>
      <w:tabs>
        <w:tab w:val="right" w:pos="9026"/>
      </w:tabs>
    </w:pPr>
    <w:r>
      <w:rPr>
        <w:color w:val="555555"/>
        <w:sz w:val="16"/>
        <w:szCs w:val="16"/>
      </w:rPr>
      <w:t xml:space="preserve">Brasil </w:t>
    </w:r>
    <w:proofErr w:type="spellStart"/>
    <w:r>
      <w:rPr>
        <w:color w:val="555555"/>
        <w:sz w:val="16"/>
        <w:szCs w:val="16"/>
      </w:rPr>
      <w:t>TecPar</w:t>
    </w:r>
    <w:proofErr w:type="spellEnd"/>
    <w:r>
      <w:rPr>
        <w:color w:val="555555"/>
        <w:sz w:val="16"/>
        <w:szCs w:val="16"/>
      </w:rPr>
      <w:t xml:space="preserve"> — Confidencial</w:t>
    </w:r>
    <w:r>
      <w:tab/>
    </w: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Pr>
        <w:color w:val="555555"/>
        <w:sz w:val="16"/>
        <w:szCs w:val="16"/>
      </w:rPr>
      <w:t>2</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Pr>
        <w:color w:val="555555"/>
        <w:sz w:val="16"/>
        <w:szCs w:val="16"/>
      </w:rPr>
      <w:t>9</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5657" w14:textId="77777777" w:rsidR="006905A9" w:rsidRDefault="006905A9" w:rsidP="00503E52">
      <w:pPr>
        <w:spacing w:after="0" w:line="240" w:lineRule="auto"/>
      </w:pPr>
      <w:r>
        <w:separator/>
      </w:r>
    </w:p>
  </w:footnote>
  <w:footnote w:type="continuationSeparator" w:id="0">
    <w:p w14:paraId="16485611" w14:textId="77777777" w:rsidR="006905A9" w:rsidRDefault="006905A9" w:rsidP="00503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single" w:sz="6" w:space="0" w:color="4FC3E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50"/>
      <w:gridCol w:w="6000"/>
    </w:tblGrid>
    <w:tr w:rsidR="00503E52" w14:paraId="590DEADA" w14:textId="77777777" w:rsidTr="00CF0C8D">
      <w:trPr>
        <w:trHeight w:val="426"/>
      </w:trPr>
      <w:tc>
        <w:tcPr>
          <w:tcW w:w="3350" w:type="dxa"/>
          <w:tcMar>
            <w:bottom w:w="120" w:type="dxa"/>
          </w:tcMar>
          <w:vAlign w:val="center"/>
        </w:tcPr>
        <w:p w14:paraId="453FE15E" w14:textId="77777777" w:rsidR="00503E52" w:rsidRDefault="00503E52" w:rsidP="00503E52">
          <w:r>
            <w:rPr>
              <w:noProof/>
            </w:rPr>
            <w:drawing>
              <wp:anchor distT="0" distB="0" distL="114300" distR="114300" simplePos="0" relativeHeight="251659264" behindDoc="1" locked="0" layoutInCell="1" allowOverlap="1" wp14:anchorId="05F786D0" wp14:editId="03FB9655">
                <wp:simplePos x="0" y="0"/>
                <wp:positionH relativeFrom="margin">
                  <wp:posOffset>1098550</wp:posOffset>
                </wp:positionH>
                <wp:positionV relativeFrom="paragraph">
                  <wp:posOffset>132080</wp:posOffset>
                </wp:positionV>
                <wp:extent cx="827405" cy="304165"/>
                <wp:effectExtent l="0" t="0" r="0" b="635"/>
                <wp:wrapNone/>
                <wp:docPr id="1974319684" name="Imagem 1" descr="SysMap Solutions | Softwares e Soluções Digit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Map Solutions | Softwares e Soluções Digitai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7405" cy="3041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5C2FA44" wp14:editId="0407F62C">
                <wp:extent cx="1047750" cy="466725"/>
                <wp:effectExtent l="0" t="0" r="0" b="0"/>
                <wp:docPr id="633266941" name="Imagem 63326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47750" cy="466725"/>
                        </a:xfrm>
                        <a:prstGeom prst="rect">
                          <a:avLst/>
                        </a:prstGeom>
                      </pic:spPr>
                    </pic:pic>
                  </a:graphicData>
                </a:graphic>
              </wp:inline>
            </w:drawing>
          </w:r>
        </w:p>
      </w:tc>
      <w:tc>
        <w:tcPr>
          <w:tcW w:w="6000" w:type="dxa"/>
          <w:tcMar>
            <w:bottom w:w="120" w:type="dxa"/>
          </w:tcMar>
          <w:vAlign w:val="center"/>
        </w:tcPr>
        <w:p w14:paraId="51E44935" w14:textId="77777777" w:rsidR="00D40736" w:rsidRDefault="00D40736" w:rsidP="00503E52">
          <w:pPr>
            <w:jc w:val="right"/>
            <w:rPr>
              <w:i/>
              <w:iCs/>
              <w:color w:val="555555"/>
              <w:sz w:val="16"/>
              <w:szCs w:val="16"/>
            </w:rPr>
          </w:pPr>
        </w:p>
        <w:p w14:paraId="3EB5A1D3" w14:textId="3DD953D7" w:rsidR="00D40736" w:rsidRDefault="00D40736" w:rsidP="00D40736">
          <w:pPr>
            <w:jc w:val="right"/>
          </w:pPr>
          <w:r>
            <w:rPr>
              <w:i/>
              <w:iCs/>
              <w:color w:val="555555"/>
              <w:sz w:val="16"/>
              <w:szCs w:val="16"/>
            </w:rPr>
            <w:t>Requisitos</w:t>
          </w:r>
        </w:p>
      </w:tc>
    </w:tr>
  </w:tbl>
  <w:p w14:paraId="2ED8DC7A" w14:textId="77777777" w:rsidR="00503E52" w:rsidRDefault="00503E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20E"/>
    <w:multiLevelType w:val="multilevel"/>
    <w:tmpl w:val="EAD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750B4"/>
    <w:multiLevelType w:val="multilevel"/>
    <w:tmpl w:val="A0C8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521A6"/>
    <w:multiLevelType w:val="multilevel"/>
    <w:tmpl w:val="3C387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50AEC"/>
    <w:multiLevelType w:val="multilevel"/>
    <w:tmpl w:val="453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60E3"/>
    <w:multiLevelType w:val="multilevel"/>
    <w:tmpl w:val="7AC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34CBC"/>
    <w:multiLevelType w:val="multilevel"/>
    <w:tmpl w:val="02B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054A1"/>
    <w:multiLevelType w:val="multilevel"/>
    <w:tmpl w:val="FDD8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8266B"/>
    <w:multiLevelType w:val="multilevel"/>
    <w:tmpl w:val="0C3A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C371D"/>
    <w:multiLevelType w:val="multilevel"/>
    <w:tmpl w:val="406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C4F90"/>
    <w:multiLevelType w:val="multilevel"/>
    <w:tmpl w:val="F630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014425">
    <w:abstractNumId w:val="4"/>
  </w:num>
  <w:num w:numId="2" w16cid:durableId="418017940">
    <w:abstractNumId w:val="1"/>
  </w:num>
  <w:num w:numId="3" w16cid:durableId="1383214474">
    <w:abstractNumId w:val="7"/>
  </w:num>
  <w:num w:numId="4" w16cid:durableId="1976526192">
    <w:abstractNumId w:val="2"/>
  </w:num>
  <w:num w:numId="5" w16cid:durableId="447050316">
    <w:abstractNumId w:val="8"/>
  </w:num>
  <w:num w:numId="6" w16cid:durableId="1396733446">
    <w:abstractNumId w:val="6"/>
  </w:num>
  <w:num w:numId="7" w16cid:durableId="372315281">
    <w:abstractNumId w:val="0"/>
  </w:num>
  <w:num w:numId="8" w16cid:durableId="1536652809">
    <w:abstractNumId w:val="9"/>
  </w:num>
  <w:num w:numId="9" w16cid:durableId="1379085755">
    <w:abstractNumId w:val="3"/>
  </w:num>
  <w:num w:numId="10" w16cid:durableId="1764639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47"/>
    <w:rsid w:val="00324582"/>
    <w:rsid w:val="004E12D8"/>
    <w:rsid w:val="00503E52"/>
    <w:rsid w:val="00553E15"/>
    <w:rsid w:val="00667FCE"/>
    <w:rsid w:val="006905A9"/>
    <w:rsid w:val="00C35324"/>
    <w:rsid w:val="00CF09F0"/>
    <w:rsid w:val="00D40736"/>
    <w:rsid w:val="00D95147"/>
    <w:rsid w:val="00F03642"/>
    <w:rsid w:val="00F310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C051"/>
  <w15:chartTrackingRefBased/>
  <w15:docId w15:val="{DED9F346-9818-4112-8711-CFC6743C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95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95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951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951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951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951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951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951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9514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9514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9514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9514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9514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9514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9514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9514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9514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95147"/>
    <w:rPr>
      <w:rFonts w:eastAsiaTheme="majorEastAsia" w:cstheme="majorBidi"/>
      <w:color w:val="272727" w:themeColor="text1" w:themeTint="D8"/>
    </w:rPr>
  </w:style>
  <w:style w:type="paragraph" w:styleId="Ttulo">
    <w:name w:val="Title"/>
    <w:basedOn w:val="Normal"/>
    <w:next w:val="Normal"/>
    <w:link w:val="TtuloChar"/>
    <w:uiPriority w:val="10"/>
    <w:qFormat/>
    <w:rsid w:val="00D95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951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9514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9514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95147"/>
    <w:pPr>
      <w:spacing w:before="160"/>
      <w:jc w:val="center"/>
    </w:pPr>
    <w:rPr>
      <w:i/>
      <w:iCs/>
      <w:color w:val="404040" w:themeColor="text1" w:themeTint="BF"/>
    </w:rPr>
  </w:style>
  <w:style w:type="character" w:customStyle="1" w:styleId="CitaoChar">
    <w:name w:val="Citação Char"/>
    <w:basedOn w:val="Fontepargpadro"/>
    <w:link w:val="Citao"/>
    <w:uiPriority w:val="29"/>
    <w:rsid w:val="00D95147"/>
    <w:rPr>
      <w:i/>
      <w:iCs/>
      <w:color w:val="404040" w:themeColor="text1" w:themeTint="BF"/>
    </w:rPr>
  </w:style>
  <w:style w:type="paragraph" w:styleId="PargrafodaLista">
    <w:name w:val="List Paragraph"/>
    <w:basedOn w:val="Normal"/>
    <w:uiPriority w:val="34"/>
    <w:qFormat/>
    <w:rsid w:val="00D95147"/>
    <w:pPr>
      <w:ind w:left="720"/>
      <w:contextualSpacing/>
    </w:pPr>
  </w:style>
  <w:style w:type="character" w:styleId="nfaseIntensa">
    <w:name w:val="Intense Emphasis"/>
    <w:basedOn w:val="Fontepargpadro"/>
    <w:uiPriority w:val="21"/>
    <w:qFormat/>
    <w:rsid w:val="00D95147"/>
    <w:rPr>
      <w:i/>
      <w:iCs/>
      <w:color w:val="2F5496" w:themeColor="accent1" w:themeShade="BF"/>
    </w:rPr>
  </w:style>
  <w:style w:type="paragraph" w:styleId="CitaoIntensa">
    <w:name w:val="Intense Quote"/>
    <w:basedOn w:val="Normal"/>
    <w:next w:val="Normal"/>
    <w:link w:val="CitaoIntensaChar"/>
    <w:uiPriority w:val="30"/>
    <w:qFormat/>
    <w:rsid w:val="00D95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95147"/>
    <w:rPr>
      <w:i/>
      <w:iCs/>
      <w:color w:val="2F5496" w:themeColor="accent1" w:themeShade="BF"/>
    </w:rPr>
  </w:style>
  <w:style w:type="character" w:styleId="RefernciaIntensa">
    <w:name w:val="Intense Reference"/>
    <w:basedOn w:val="Fontepargpadro"/>
    <w:uiPriority w:val="32"/>
    <w:qFormat/>
    <w:rsid w:val="00D95147"/>
    <w:rPr>
      <w:b/>
      <w:bCs/>
      <w:smallCaps/>
      <w:color w:val="2F5496" w:themeColor="accent1" w:themeShade="BF"/>
      <w:spacing w:val="5"/>
    </w:rPr>
  </w:style>
  <w:style w:type="paragraph" w:styleId="Cabealho">
    <w:name w:val="header"/>
    <w:basedOn w:val="Normal"/>
    <w:link w:val="CabealhoChar"/>
    <w:uiPriority w:val="99"/>
    <w:unhideWhenUsed/>
    <w:rsid w:val="00503E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03E52"/>
  </w:style>
  <w:style w:type="paragraph" w:styleId="Rodap">
    <w:name w:val="footer"/>
    <w:basedOn w:val="Normal"/>
    <w:link w:val="RodapChar"/>
    <w:uiPriority w:val="99"/>
    <w:unhideWhenUsed/>
    <w:rsid w:val="00503E52"/>
    <w:pPr>
      <w:tabs>
        <w:tab w:val="center" w:pos="4252"/>
        <w:tab w:val="right" w:pos="8504"/>
      </w:tabs>
      <w:spacing w:after="0" w:line="240" w:lineRule="auto"/>
    </w:pPr>
  </w:style>
  <w:style w:type="character" w:customStyle="1" w:styleId="RodapChar">
    <w:name w:val="Rodapé Char"/>
    <w:basedOn w:val="Fontepargpadro"/>
    <w:link w:val="Rodap"/>
    <w:uiPriority w:val="99"/>
    <w:rsid w:val="00503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7</Pages>
  <Words>1616</Words>
  <Characters>8727</Characters>
  <Application>Microsoft Office Word</Application>
  <DocSecurity>0</DocSecurity>
  <Lines>72</Lines>
  <Paragraphs>20</Paragraphs>
  <ScaleCrop>false</ScaleCrop>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W-000142 - US B2B-13 — Refidelização pura e simples B2B: renovação de prazo sem alteração de escopo (aditivo de tempo)</dc:title>
  <dc:subject/>
  <dc:creator>Brasil TecPar</dc:creator>
  <cp:keywords/>
  <dc:description/>
  <cp:lastModifiedBy>Diego Beltrão de Moraes</cp:lastModifiedBy>
  <cp:revision>3</cp:revision>
  <dcterms:created xsi:type="dcterms:W3CDTF">2026-09-15T17:48:00Z</dcterms:created>
  <dcterms:modified xsi:type="dcterms:W3CDTF">2026-09-15T17:48:00Z</dcterms:modified>
</cp:coreProperties>
</file>