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6EC72" w14:textId="77777777" w:rsidR="00503E52" w:rsidRDefault="00503E52" w:rsidP="00503E52">
      <w:r>
        <w:rPr>
          <w:noProof/>
        </w:rPr>
        <w:drawing>
          <wp:anchor distT="0" distB="0" distL="114300" distR="114300" simplePos="0" relativeHeight="251659264" behindDoc="1" locked="0" layoutInCell="1" allowOverlap="1" wp14:anchorId="7622A1AB" wp14:editId="29A11D7A">
            <wp:simplePos x="0" y="0"/>
            <wp:positionH relativeFrom="margin">
              <wp:posOffset>3082925</wp:posOffset>
            </wp:positionH>
            <wp:positionV relativeFrom="paragraph">
              <wp:posOffset>494665</wp:posOffset>
            </wp:positionV>
            <wp:extent cx="1905000" cy="700121"/>
            <wp:effectExtent l="0" t="0" r="0" b="5080"/>
            <wp:wrapNone/>
            <wp:docPr id="242947192" name="Imagem 1" descr="SysMap Solutions | Softwares e Soluções Digita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ysMap Solutions | Softwares e Soluções Digitai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700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  <w:drawing>
          <wp:inline distT="0" distB="0" distL="0" distR="0" wp14:anchorId="24F48AA4" wp14:editId="54778DB1">
            <wp:extent cx="2857500" cy="12763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9A5EE" w14:textId="77777777" w:rsidR="00503E52" w:rsidRDefault="00503E52" w:rsidP="00503E52">
      <w:pPr>
        <w:spacing w:before="900"/>
      </w:pPr>
    </w:p>
    <w:p>
      <w:pPr>
        <w:spacing w:after="100"/>
        <w:jc w:val="center"/>
        <w:rPr>
          <w:sz w:val="24"/>
          <w:szCs w:val="24"/>
        </w:rPr>
      </w:pPr>
      <w:r>
        <w:rPr>
          <w:b/>
          <w:bCs/>
          <w:color w:val="0C3C8C"/>
          <w:sz w:val="44"/>
          <w:szCs w:val="44"/>
        </w:rPr>
        <w:t xml:space="preserve">Requisitos de negócio Projeto Salesforce</w:t>
      </w:r>
    </w:p>
    <w:p>
      <w:pPr>
        <w:spacing w:before="600" w:after="200"/>
        <w:jc w:val="center"/>
        <w:rPr>
          <w:sz w:val="24"/>
          <w:szCs w:val="24"/>
        </w:rPr>
      </w:pPr>
      <w:r>
        <w:rPr>
          <w:b/>
          <w:bCs/>
          <w:color w:val="0C3C8C"/>
          <w:sz w:val="28"/>
          <w:szCs w:val="28"/>
        </w:rPr>
        <w:t xml:space="preserve">US B2B-15 — Condições especiais de faturamento e intervalos de cobrança na cotação B2B</w:t>
      </w:r>
    </w:p>
    <w:p>
      <w:pPr>
        <w:jc w:val="center"/>
        <w:rPr>
          <w:sz w:val="24"/>
          <w:szCs w:val="24"/>
        </w:rPr>
      </w:pPr>
      <w:r>
        <w:rPr>
          <w:color w:val="595959"/>
          <w:sz w:val="22"/>
          <w:szCs w:val="22"/>
        </w:rPr>
        <w:t xml:space="preserve">W-000144  ·  B2B - Jornadas de Venda e Gestão do Ciclo de Vida do Cliente</w:t>
      </w:r>
    </w:p>
    <w:p>
      <w:pPr>
        <w:jc w:val="center"/>
        <w:rPr>
          <w:sz w:val="24"/>
          <w:szCs w:val="24"/>
        </w:rPr>
      </w:pPr>
      <w:r>
        <w:rPr>
          <w:color w:val="595959"/>
          <w:sz w:val="22"/>
          <w:szCs w:val="22"/>
        </w:rPr>
        <w:t xml:space="preserve">Time: SysMap  ·  Status: New</w:t>
      </w:r>
    </w:p>
    <w:p>
      <w:pPr>
        <w:rPr>
          <w:sz w:val="24"/>
          <w:szCs w:val="24"/>
        </w:rPr>
      </w:pPr>
    </w:p>
    <w:p>
      <w:pPr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US - B2B-15 — Condições especiais de faturamento e intervalos de cobrança na cotação B2B</w:t>
      </w:r>
    </w:p>
    <w:tbl>
      <w:tblPr>
        <w:tblW w:w="8504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/>
      </w:tblPr>
      <w:tblGrid>
        <w:gridCol w:w="2400"/>
        <w:gridCol w:w="6104"/>
      </w:tblGrid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Work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W-000144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Épico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B2B - Jornadas de Venda e Gestão do Ciclo de Vida do Cliente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Time (Scrum Team)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SysMap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New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Responsável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Davi Israel de Abreu</w:t>
            </w:r>
          </w:p>
        </w:tc>
      </w:tr>
      <w:tr>
        <w:tc>
          <w:tcPr>
            <w:tcW w:w="2400" w:type="dxa"/>
            <w:shd w:val="clear" w:color="auto" w:fill="EEF3F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b/>
                <w:bCs/>
                <w:sz w:val="20"/>
                <w:szCs w:val="20"/>
              </w:rPr>
              <w:t xml:space="preserve">Documento gerado em</w:t>
            </w:r>
          </w:p>
        </w:tc>
        <w:tc>
          <w:tcPr>
            <w:tcW w:w="6104" w:type="dxa"/>
          </w:tcPr>
          <w:p>
            <w:pPr>
              <w:spacing w:before="40" w:after="40"/>
              <w:rPr>
                <w:sz w:val="24"/>
                <w:szCs w:val="24"/>
              </w:rPr>
            </w:pPr>
            <w:r>
              <w:rPr>
                <w:sz w:val="20"/>
                <w:szCs w:val="20"/>
              </w:rPr>
              <w:t xml:space="preserve">15/09/2026 (conteúdo integral da work no Agile Accelerator; critérios de aceite na lista Acceptance Criteria)</w:t>
            </w:r>
          </w:p>
        </w:tc>
      </w:tr>
    </w:tbl>
    <w:p>
      <w:pPr>
        <w:rPr>
          <w:sz w:val="24"/>
          <w:szCs w:val="24"/>
        </w:rPr>
      </w:pPr>
    </w:p>
    <w:p>
      <w:pPr>
        <w:spacing w:after="60"/>
        <w:rPr>
          <w:sz w:val="24"/>
          <w:szCs w:val="24"/>
        </w:rPr>
      </w:pPr>
      <w:r>
        <w:rPr>
          <w:i/>
          <w:iCs/>
          <w:color w:val="595959"/>
          <w:sz w:val="20"/>
          <w:szCs w:val="20"/>
        </w:rPr>
        <w:t xml:space="preserve">US de negócio B2B (documento de 10/09, "Histórias novas", história 28; comentário de negócio de 14/09 na história 8: parâmetros de faturamento são preenchidos na etapa "dados de faturamento, fidelidade e tempo de contrato", depois do carrinho; W-000081 B2C-24 mantém "Mensal" somente leitura no B2C; W-000125 RN-02: nenhum cálculo financeiro no Salesforce).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Descrição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Como </w:t>
      </w:r>
      <w:r>
        <w:rPr>
          <w:sz w:val="24"/>
          <w:szCs w:val="24"/>
        </w:rPr>
        <w:t xml:space="preserve">Gerente de Relacionamento / Backoffice B2B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Quero </w:t>
      </w:r>
      <w:r>
        <w:rPr>
          <w:sz w:val="24"/>
          <w:szCs w:val="24"/>
        </w:rPr>
        <w:t xml:space="preserve">parametrizar na cotação corporativa o intervalo de cobrança (mensal, bimestral, trimestral, semestral, anual) e a condição de vencimento, com aprovação quando fugir do padrão</w:t>
      </w:r>
    </w:p>
    <w:p>
      <w:pPr>
        <w:numPr>
          <w:ilvl w:val="0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Para que </w:t>
      </w:r>
      <w:r>
        <w:rPr>
          <w:sz w:val="24"/>
          <w:szCs w:val="24"/>
        </w:rPr>
        <w:t xml:space="preserve">contas governamentais e grandes grupos sejam faturados conforme o contrato sem ajuste manual no legado.</w:t>
      </w:r>
    </w:p>
    <w:p>
      <w:pPr>
        <w:rPr>
          <w:sz w:val="24"/>
          <w:szCs w:val="24"/>
        </w:rPr>
      </w:pP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Contexto e Cenário de Negócio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Hoje o BKO configura essas condições manualmente no legado. No Industries CPQ a frequência de cobrança é propriedade da pricing variable (Charge Type Recurring + Frequency) da price list entry, ou seja, é definição de catálogo, não escolha por cotação. Criar cinco pricing variables e price list entries por frequência multiplicaria o catálogo e contraria a decisão de precificação por atributo sem produto duplicado (CAT-CPX-01).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Decisão de desenho desta US: o preço da cotação continua sendo o recorrente mensal da price list; intervalo de cobrança e condição de vencimento são parâmetros contratuais do header (Quote &gt; Order &gt; Contract) que viajam no handoff e são aplicados pelo motor de cobrança do SAP/Customer Core.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Regras de Negócio Associadas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RN-01 Campos no header da Quote, preenchidos pelo GR na etapa de dados de faturamento após o carrinho (junto com fidelidade e prazo): Intervalo de Cobrança (Mensal padrão, Bimestral, Trimestral, Semestral, Anual); Condição de Vencimento (Mês Corrente padrão, Mês Seguinte); Dia de Vencimento (lista permitida em Custom Metadata); Tipo de Faturamento (Padrão, Órgão Público, Conglomerado).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RN-02 O preço das linhas não muda: continua o MRC mensal da price list (pricing variable recorrente mensal). O sistema apenas exibe, em campo fórmula informativo, o valor por ciclo = MRC x meses do intervalo. Nenhuma pricing variable, price list entry ou adjustment é criada por frequência.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RN-03 Combinação fora do padrão (intervalo diferente de Mensal, vencimento diferente de Mês Corrente ou tipo Órgão Público/Conglomerado) bloqueia a aprovação expressa: Approval Process com critério de entrada roteia a cotação ao BKO ou Gestor Financeiro, com justificativa obrigatória e record lock durante a aprovação.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RN-04 Após aprovação os campos ficam somente leitura (FLS para o GR e Validation Rule por status); alteração exige abandonar a cotação e gerar cotação filha (W-000098).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RN-05 Propagação: os campos são mapeados de Quote para Order e Contract pelo Field Mapper do ABO e entram no payload de handoff do Imputar Venda (W-000101) e da decomposição (W-000088) como campos de header, com as chaves acordadas com o SAP (Billing Frequency, Payment Terms). Não são atributos de produto e não passam pelas mapping rules de produto.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RN-06 De-para de valores Salesforce &gt; SAP em Custom Metadata, mantido com Rodrigo/fiscal; valor sem de-para bloqueia o handoff com mensagem.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RN-07 Pró-rata em ciclos longos é apurado pelo billing (SAP), não no Salesforce (W-000125 RN-02). O Salesforce só envia a data de início de vigência.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RN-08 Elegibilidade: intervalos não mensais só para Business Account; Consumer Account mantém Mensal somente leitura (W-000081).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RN-09 Multi-site: os parâmetros são do master quote e valem para todos os grupos, salvo override por grupo com a mesma alçada da RN-03.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Especificação Técnica (Salesforce)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Campos custom em Quote, Order e Contract (mesmos API names para o mapeamento); passo do OmniScript de dados de faturamento (W-000081 estendido para B2B); campo fórmula "Valor por ciclo"; Approval Process "Condições de Faturamento Não Padrão" com record lock; Validation Rules (RN-04, RN-08); Field Mapper do ABO para Quote &gt; Order &gt; Asset/Contract; DataRaptor Transform do handoff (W-000101/W-000088) incluindo os campos de header; Custom Metadata de de-para SAP e de dias de vencimento.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Dependências, Riscos e Estimativa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Dependências: </w:t>
      </w:r>
      <w:r>
        <w:rPr>
          <w:sz w:val="24"/>
          <w:szCs w:val="24"/>
        </w:rPr>
        <w:t xml:space="preserve">W-000081 (etapa de dados de faturamento), W-000098 (cotação e cotação filha), W-000101 (handoff/Imputar Venda), W-000088 (decomposição e payload), W-000121 (CAT-CPX-01, Modalidade de Pagamento), Rodrigo/fiscal e SAP (chaves de Billing Frequency e Payment Terms).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Riscos: </w:t>
      </w:r>
      <w:r>
        <w:rPr>
          <w:sz w:val="24"/>
          <w:szCs w:val="24"/>
        </w:rPr>
        <w:t xml:space="preserve">SAP/Customer Core precisam absorver as novas chaves; contratos estaduais/federais podem exigir descrições fiscais distintas por ciclo (já tratadas por linha na W-000101).</w:t>
      </w: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Estimativa: </w:t>
      </w:r>
      <w:r>
        <w:rPr>
          <w:sz w:val="24"/>
          <w:szCs w:val="24"/>
        </w:rPr>
        <w:t xml:space="preserve">5 Story Points.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Critérios de Aceite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1: Padrão.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cotação B2B nova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GR chega à etapa de dados de faturamento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Intervalo = Mensal e Condição = Mês Corrente vêm preenchidos e a cotação segue sem aprovação adicional.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2: Não padrão roteia.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cotação para órgão público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GR seleciona Trimestral e Vencimento Mês Seguinte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a aprovação expressa é bloqueada, a justificativa é exigida e a cotação vai à fila do BKO/Gestor Financeiro com o registro travado.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3: Preço inalterado.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cotação com MRC de R$ 1.000 e intervalo Semestral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carrinho é reprecificado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as linhas continuam com R$ 1.000 mensais e o campo informativo mostra R$ 6.000 por ciclo.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4: Somente leitura após aprovação.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cotação aprovada com condições não padrão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GR tenta alterar o intervalo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sistema bloqueia e orienta a gerar cotação filha.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5: Propagação e payload.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Opportunity Semestral aprovada e convertida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BKO aciona Imputar Venda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Order e Contract carregam os mesmos valores e o payload ao SAP traz Billing Frequency e Payment Terms com as chaves do de-para.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6: Sem de-para.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 valor de intervalo sem chave SAP cadastrada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handoff é acionado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o envio é bloqueado com mensagem indicando o valor sem de-para.</w:t>
      </w:r>
    </w:p>
    <w:p>
      <w:pPr>
        <w:keepNext/>
        <w:numPr>
          <w:ilvl w:val="0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Critério 7: B2C inalterado.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Dado </w:t>
      </w:r>
      <w:r>
        <w:rPr>
          <w:sz w:val="24"/>
          <w:szCs w:val="24"/>
        </w:rPr>
        <w:t xml:space="preserve">uma venda B2C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Quando </w:t>
      </w:r>
      <w:r>
        <w:rPr>
          <w:sz w:val="24"/>
          <w:szCs w:val="24"/>
        </w:rPr>
        <w:t xml:space="preserve">o vendedor chega aos dados de faturamento</w:t>
      </w:r>
    </w:p>
    <w:p>
      <w:pPr>
        <w:numPr>
          <w:ilvl w:val="1"/>
          <w:numId w:val="3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Então </w:t>
      </w:r>
      <w:r>
        <w:rPr>
          <w:sz w:val="24"/>
          <w:szCs w:val="24"/>
        </w:rPr>
        <w:t xml:space="preserve">Intervalo continua "Mensal" somente leitura.</w:t>
      </w:r>
    </w:p>
    <w:p>
      <w:pPr>
        <w:rPr>
          <w:sz w:val="24"/>
          <w:szCs w:val="24"/>
        </w:rPr>
      </w:pPr>
    </w:p>
    <w:p>
      <w:p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Massa de Teste Sugerida: </w:t>
      </w:r>
      <w:r>
        <w:rPr>
          <w:sz w:val="24"/>
          <w:szCs w:val="24"/>
        </w:rPr>
        <w:t xml:space="preserve">Cotações com "Mensal/Mês Corrente", "Trimestral/Mês Seguinte" e "Anual"; conta Consumer para o critério 7; auditoria do payload recebido pelo SAP em sandbox.</w:t>
      </w:r>
    </w:p>
    <w:p>
      <w:pPr>
        <w:keepNext/>
        <w:spacing w:before="24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Fundamentação Técnica (Salesforce Help)</w:t>
      </w:r>
    </w:p>
    <w:p>
      <w:pPr>
        <w:rPr>
          <w:sz w:val="24"/>
          <w:szCs w:val="24"/>
        </w:rPr>
      </w:pPr>
      <w:r>
        <w:rPr>
          <w:sz w:val="24"/>
          <w:szCs w:val="24"/>
        </w:rPr>
        <w:t xml:space="preserve">Salesforce Help: Pricing Definition in Industries CPQ; Create a Pricing Variable in Pricing Designer (Charge Type Recurring + Frequency); Price Assignment and the Industries CPQ Cart; Order Decomposition Configuration; Record Locking in Approval Processes.</w:t>
      </w:r>
    </w:p>
    <w:sectPr w:rsidR="00667FCE" w:rsidRPr="00D95147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D66A4" w14:textId="77777777" w:rsidR="006905A9" w:rsidRDefault="006905A9" w:rsidP="00503E52">
      <w:pPr>
        <w:spacing w:after="0" w:line="240" w:lineRule="auto"/>
      </w:pPr>
      <w:r>
        <w:separator/>
      </w:r>
    </w:p>
  </w:endnote>
  <w:endnote w:type="continuationSeparator" w:id="0">
    <w:p w14:paraId="164B2F6C" w14:textId="77777777" w:rsidR="006905A9" w:rsidRDefault="006905A9" w:rsidP="00503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760D7" w14:textId="4EC72B34" w:rsidR="00D40736" w:rsidRDefault="00D40736" w:rsidP="00D40736">
    <w:pPr>
      <w:pBdr>
        <w:top w:val="single" w:sz="6" w:space="4" w:color="4FC3E0"/>
      </w:pBdr>
      <w:tabs>
        <w:tab w:val="right" w:pos="9026"/>
      </w:tabs>
    </w:pPr>
    <w:r>
      <w:rPr>
        <w:color w:val="555555"/>
        <w:sz w:val="16"/>
        <w:szCs w:val="16"/>
      </w:rPr>
      <w:t xml:space="preserve">Brasil </w:t>
    </w:r>
    <w:proofErr w:type="spellStart"/>
    <w:r>
      <w:rPr>
        <w:color w:val="555555"/>
        <w:sz w:val="16"/>
        <w:szCs w:val="16"/>
      </w:rPr>
      <w:t>TecPar</w:t>
    </w:r>
    <w:proofErr w:type="spellEnd"/>
    <w:r>
      <w:rPr>
        <w:color w:val="555555"/>
        <w:sz w:val="16"/>
        <w:szCs w:val="16"/>
      </w:rPr>
      <w:t xml:space="preserve"> — Confidencial</w:t>
    </w:r>
    <w:r>
      <w:tab/>
    </w:r>
    <w:r>
      <w:rPr>
        <w:color w:val="555555"/>
        <w:sz w:val="16"/>
        <w:szCs w:val="16"/>
      </w:rPr>
      <w:t xml:space="preserve">Página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  <w:r>
      <w:rPr>
        <w:color w:val="555555"/>
        <w:sz w:val="16"/>
        <w:szCs w:val="16"/>
      </w:rPr>
      <w:t xml:space="preserve"> de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NUMPAGES</w:instrText>
    </w:r>
    <w:r>
      <w:rPr>
        <w:color w:val="555555"/>
        <w:sz w:val="16"/>
        <w:szCs w:val="16"/>
      </w:rPr>
      <w:fldChar w:fldCharType="separate"/>
    </w:r>
    <w:r>
      <w:rPr>
        <w:color w:val="555555"/>
        <w:sz w:val="16"/>
        <w:szCs w:val="16"/>
      </w:rPr>
      <w:t>9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75657" w14:textId="77777777" w:rsidR="006905A9" w:rsidRDefault="006905A9" w:rsidP="00503E52">
      <w:pPr>
        <w:spacing w:after="0" w:line="240" w:lineRule="auto"/>
      </w:pPr>
      <w:r>
        <w:separator/>
      </w:r>
    </w:p>
  </w:footnote>
  <w:footnote w:type="continuationSeparator" w:id="0">
    <w:p w14:paraId="16485611" w14:textId="77777777" w:rsidR="006905A9" w:rsidRDefault="006905A9" w:rsidP="00503E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0" w:type="dxa"/>
      <w:tblBorders>
        <w:top w:val="none" w:sz="0" w:space="0" w:color="FFFFFF"/>
        <w:left w:val="none" w:sz="0" w:space="0" w:color="FFFFFF"/>
        <w:bottom w:val="single" w:sz="6" w:space="0" w:color="4FC3E0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350"/>
      <w:gridCol w:w="6000"/>
    </w:tblGrid>
    <w:tr w:rsidR="00503E52" w14:paraId="590DEADA" w14:textId="77777777" w:rsidTr="00CF0C8D">
      <w:trPr>
        <w:trHeight w:val="426"/>
      </w:trPr>
      <w:tc>
        <w:tcPr>
          <w:tcW w:w="3350" w:type="dxa"/>
          <w:tcMar>
            <w:bottom w:w="120" w:type="dxa"/>
          </w:tcMar>
          <w:vAlign w:val="center"/>
        </w:tcPr>
        <w:p w14:paraId="453FE15E" w14:textId="77777777" w:rsidR="00503E52" w:rsidRDefault="00503E52" w:rsidP="00503E52"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05F786D0" wp14:editId="03FB9655">
                <wp:simplePos x="0" y="0"/>
                <wp:positionH relativeFrom="margin">
                  <wp:posOffset>1098550</wp:posOffset>
                </wp:positionH>
                <wp:positionV relativeFrom="paragraph">
                  <wp:posOffset>132080</wp:posOffset>
                </wp:positionV>
                <wp:extent cx="827405" cy="304165"/>
                <wp:effectExtent l="0" t="0" r="0" b="635"/>
                <wp:wrapNone/>
                <wp:docPr id="1974319684" name="Imagem 1" descr="SysMap Solutions | Softwares e Soluções Digita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SysMap Solutions | Softwares e Soluções Digitais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27405" cy="3041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</w:rPr>
            <w:drawing>
              <wp:inline distT="0" distB="0" distL="0" distR="0" wp14:anchorId="65C2FA44" wp14:editId="0407F62C">
                <wp:extent cx="1047750" cy="466725"/>
                <wp:effectExtent l="0" t="0" r="0" b="0"/>
                <wp:docPr id="633266941" name="Imagem 6332669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66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00" w:type="dxa"/>
          <w:tcMar>
            <w:bottom w:w="120" w:type="dxa"/>
          </w:tcMar>
          <w:vAlign w:val="center"/>
        </w:tcPr>
        <w:p w14:paraId="51E44935" w14:textId="77777777" w:rsidR="00D40736" w:rsidRDefault="00D40736" w:rsidP="00503E52">
          <w:pPr>
            <w:jc w:val="right"/>
            <w:rPr>
              <w:i/>
              <w:iCs/>
              <w:color w:val="555555"/>
              <w:sz w:val="16"/>
              <w:szCs w:val="16"/>
            </w:rPr>
          </w:pPr>
        </w:p>
        <w:p w14:paraId="3EB5A1D3" w14:textId="3DD953D7" w:rsidR="00D40736" w:rsidRDefault="00D40736" w:rsidP="00D40736">
          <w:pPr>
            <w:jc w:val="right"/>
          </w:pPr>
          <w:r>
            <w:rPr>
              <w:i/>
              <w:iCs/>
              <w:color w:val="555555"/>
              <w:sz w:val="16"/>
              <w:szCs w:val="16"/>
            </w:rPr>
            <w:t>Requisitos</w:t>
          </w:r>
        </w:p>
      </w:tc>
    </w:tr>
  </w:tbl>
  <w:p w14:paraId="2ED8DC7A" w14:textId="77777777" w:rsidR="00503E52" w:rsidRDefault="00503E5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20E"/>
    <w:multiLevelType w:val="multilevel"/>
    <w:tmpl w:val="EADA4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750B4"/>
    <w:multiLevelType w:val="multilevel"/>
    <w:tmpl w:val="A0C8C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7521A6"/>
    <w:multiLevelType w:val="multilevel"/>
    <w:tmpl w:val="3C387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C50AEC"/>
    <w:multiLevelType w:val="multilevel"/>
    <w:tmpl w:val="4534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6A60E3"/>
    <w:multiLevelType w:val="multilevel"/>
    <w:tmpl w:val="7AC6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834CBC"/>
    <w:multiLevelType w:val="multilevel"/>
    <w:tmpl w:val="02B4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054A1"/>
    <w:multiLevelType w:val="multilevel"/>
    <w:tmpl w:val="FDD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8266B"/>
    <w:multiLevelType w:val="multilevel"/>
    <w:tmpl w:val="0C3A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9C371D"/>
    <w:multiLevelType w:val="multilevel"/>
    <w:tmpl w:val="406CF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2C4F90"/>
    <w:multiLevelType w:val="multilevel"/>
    <w:tmpl w:val="F6302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9014425">
    <w:abstractNumId w:val="4"/>
  </w:num>
  <w:num w:numId="2" w16cid:durableId="418017940">
    <w:abstractNumId w:val="1"/>
  </w:num>
  <w:num w:numId="3" w16cid:durableId="1383214474">
    <w:abstractNumId w:val="7"/>
  </w:num>
  <w:num w:numId="4" w16cid:durableId="1976526192">
    <w:abstractNumId w:val="2"/>
  </w:num>
  <w:num w:numId="5" w16cid:durableId="447050316">
    <w:abstractNumId w:val="8"/>
  </w:num>
  <w:num w:numId="6" w16cid:durableId="1396733446">
    <w:abstractNumId w:val="6"/>
  </w:num>
  <w:num w:numId="7" w16cid:durableId="372315281">
    <w:abstractNumId w:val="0"/>
  </w:num>
  <w:num w:numId="8" w16cid:durableId="1536652809">
    <w:abstractNumId w:val="9"/>
  </w:num>
  <w:num w:numId="9" w16cid:durableId="1379085755">
    <w:abstractNumId w:val="3"/>
  </w:num>
  <w:num w:numId="10" w16cid:durableId="17646399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147"/>
    <w:rsid w:val="00324582"/>
    <w:rsid w:val="004E12D8"/>
    <w:rsid w:val="00503E52"/>
    <w:rsid w:val="00553E15"/>
    <w:rsid w:val="00667FCE"/>
    <w:rsid w:val="006905A9"/>
    <w:rsid w:val="00C35324"/>
    <w:rsid w:val="00CF09F0"/>
    <w:rsid w:val="00D40736"/>
    <w:rsid w:val="00D95147"/>
    <w:rsid w:val="00F03642"/>
    <w:rsid w:val="00F3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3C051"/>
  <w15:chartTrackingRefBased/>
  <w15:docId w15:val="{DED9F346-9818-4112-8711-CFC6743C5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95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95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95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95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95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95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95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95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95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95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95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95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9514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9514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951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951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951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951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95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95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95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95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95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951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951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9514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95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9514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95147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03E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03E52"/>
  </w:style>
  <w:style w:type="paragraph" w:styleId="Rodap">
    <w:name w:val="footer"/>
    <w:basedOn w:val="Normal"/>
    <w:link w:val="RodapChar"/>
    <w:uiPriority w:val="99"/>
    <w:unhideWhenUsed/>
    <w:rsid w:val="00503E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03E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578</TotalTime>
  <Pages>7</Pages>
  <Words>1616</Words>
  <Characters>8727</Characters>
  <Application>Microsoft Office Word</Application>
  <DocSecurity>0</DocSecurity>
  <Lines>72</Lines>
  <Paragraphs>20</Paragraphs>
  <ScaleCrop>false</ScaleCrop>
  <Company/>
  <LinksUpToDate>false</LinksUpToDate>
  <CharactersWithSpaces>10323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W-000144 - US B2B-15 — Condições especiais de faturamento e intervalos de cobrança na cotação B2B</dc:title>
  <dc:subject/>
  <dc:creator>Brasil TecPar</dc:creator>
  <cp:keywords/>
  <dc:description/>
  <cp:lastModifiedBy>Diego Beltrão de Moraes</cp:lastModifiedBy>
  <cp:revision>3</cp:revision>
  <dcterms:created xsi:type="dcterms:W3CDTF">2026-09-15T17:48:00Z</dcterms:created>
  <dcterms:modified xsi:type="dcterms:W3CDTF">2026-09-15T17:48:00Z</dcterms:modified>
</cp:coreProperties>
</file>