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120" w:after="60" w:line="276" w:lineRule="auto"/>
        <w:jc w:val="center"/>
      </w:pPr>
      <w:r>
        <w:rPr>
          <w:rFonts w:ascii="Segoe UI" w:hAnsi="Segoe UI"/>
          <w:b/>
          <w:color w:val="16325C"/>
          <w:sz w:val="40"/>
          <w:szCs w:val="40"/>
        </w:rPr>
        <w:t xml:space="preserve">Arquitectura de solución — Repuestos &amp; PA</w:t>
      </w:r>
    </w:p>
    <w:p>
      <w:pPr>
        <w:spacing w:before="0" w:after="60" w:line="276" w:lineRule="auto"/>
        <w:jc w:val="center"/>
      </w:pPr>
      <w:r>
        <w:rPr>
          <w:rFonts w:ascii="Segoe UI" w:hAnsi="Segoe UI"/>
          <w:color w:val="0176D3"/>
          <w:sz w:val="24"/>
          <w:szCs w:val="24"/>
        </w:rPr>
        <w:t xml:space="preserve">HU-028 · Construcción y Administración del Precio  |  HU-039 · Solicitud de Creación de Material</w:t>
      </w:r>
    </w:p>
    <w:p>
      <w:pPr>
        <w:pBdr>
          <w:bottom w:val="single" w:sz="8" w:space="8" w:color="0176D3"/>
        </w:pBdr>
        <w:spacing w:before="0" w:after="300" w:line="276" w:lineRule="auto"/>
        <w:jc w:val="center"/>
      </w:pPr>
      <w:r>
        <w:rPr>
          <w:rFonts w:ascii="Segoe UI" w:hAnsi="Segoe UI"/>
          <w:i/>
          <w:color w:val="5C6B7A"/>
          <w:sz w:val="20"/>
          <w:szCs w:val="20"/>
        </w:rPr>
        <w:t xml:space="preserve">Salesforce (Automotive Cloud) ↔ MuleSoft ↔ SAP · Insumo para la sesión de arquitectura · Agosto 2026</w:t>
      </w:r>
    </w:p>
    <w:p>
      <w:pPr>
        <w:spacing w:before="360" w:after="160" w:line="276" w:lineRule="auto"/>
      </w:pPr>
      <w:r>
        <w:rPr>
          <w:rFonts w:ascii="Segoe UI" w:hAnsi="Segoe UI"/>
          <w:b/>
          <w:color w:val="16325C"/>
          <w:sz w:val="28"/>
          <w:szCs w:val="28"/>
        </w:rPr>
        <w:t xml:space="preserve">1. Resumen ejecutivo</w:t>
      </w:r>
    </w:p>
    <w:p>
      <w:pPr>
        <w:spacing w:before="0" w:after="120" w:line="276" w:lineRule="auto"/>
      </w:pPr>
      <w:r>
        <w:rPr>
          <w:rFonts w:ascii="Segoe UI" w:hAnsi="Segoe UI"/>
          <w:sz w:val="21"/>
          <w:szCs w:val="21"/>
        </w:rPr>
        <w:t xml:space="preserve">Ambas historias siguen el patrón consolidado de la industria: </w:t>
      </w:r>
      <w:r>
        <w:rPr>
          <w:rFonts w:ascii="Segoe UI" w:hAnsi="Segoe UI"/>
          <w:b/>
          <w:sz w:val="21"/>
          <w:szCs w:val="21"/>
        </w:rPr>
        <w:t xml:space="preserve">front office en Salesforce, back office en SAP</w:t>
      </w:r>
      <w:r>
        <w:rPr>
          <w:rFonts w:ascii="Segoe UI" w:hAnsi="Segoe UI"/>
          <w:sz w:val="21"/>
          <w:szCs w:val="21"/>
        </w:rPr>
        <w:t xml:space="preserve">, con MuleSoft como capa de integración API-led. Para datos: </w:t>
      </w:r>
      <w:r>
        <w:rPr>
          <w:rFonts w:ascii="Segoe UI" w:hAnsi="Segoe UI"/>
          <w:b/>
          <w:sz w:val="21"/>
          <w:szCs w:val="21"/>
        </w:rPr>
        <w:t xml:space="preserve">replicar lo estable</w:t>
      </w:r>
      <w:r>
        <w:rPr>
          <w:rFonts w:ascii="Segoe UI" w:hAnsi="Segoe UI"/>
          <w:sz w:val="21"/>
          <w:szCs w:val="21"/>
        </w:rPr>
        <w:t xml:space="preserve"> (catálogo de materiales) y </w:t>
      </w:r>
      <w:r>
        <w:rPr>
          <w:rFonts w:ascii="Segoe UI" w:hAnsi="Segoe UI"/>
          <w:b/>
          <w:sz w:val="21"/>
          <w:szCs w:val="21"/>
        </w:rPr>
        <w:t xml:space="preserve">consultar en línea lo volátil</w:t>
      </w:r>
      <w:r>
        <w:rPr>
          <w:rFonts w:ascii="Segoe UI" w:hAnsi="Segoe UI"/>
          <w:sz w:val="21"/>
          <w:szCs w:val="21"/>
        </w:rPr>
        <w:t xml:space="preserve"> (precio, disponibilidad, crédito). Ninguna de las dos soluciones requiere objetos custom, licencias adicionales ni réplicas de datos maestros: SAP permanece como System of Record del precio y del código de material; Salesforce es el punto único de captura, trazabilidad y aprobaciones comerciales. Todo el alcance descrito es diseño de producción para R1; la única pieza diferida es el simulador de precios (sección 2.4), que se dimensiona vía prueba de concepto.</w:t>
      </w:r>
    </w:p>
    <w:p>
      <w:pPr>
        <w:spacing w:before="360" w:after="160" w:line="276" w:lineRule="auto"/>
      </w:pPr>
      <w:r>
        <w:rPr>
          <w:rFonts w:ascii="Segoe UI" w:hAnsi="Segoe UI"/>
          <w:b/>
          <w:color w:val="16325C"/>
          <w:sz w:val="28"/>
          <w:szCs w:val="28"/>
        </w:rPr>
        <w:t xml:space="preserve">2. HU-028 — Determinación del precio en línea</w:t>
      </w:r>
    </w:p>
    <w:p>
      <w:pPr>
        <w:spacing w:before="280" w:after="120" w:line="276" w:lineRule="auto"/>
      </w:pPr>
      <w:r>
        <w:rPr>
          <w:rFonts w:ascii="Segoe UI" w:hAnsi="Segoe UI"/>
          <w:b/>
          <w:color w:val="0176D3"/>
          <w:sz w:val="24"/>
          <w:szCs w:val="24"/>
        </w:rPr>
        <w:t xml:space="preserve">2.1 Patrón</w:t>
      </w:r>
    </w:p>
    <w:p>
      <w:pPr>
        <w:spacing w:before="0" w:after="120" w:line="276" w:lineRule="auto"/>
      </w:pPr>
      <w:r>
        <w:rPr>
          <w:rFonts w:ascii="Segoe UI" w:hAnsi="Segoe UI"/>
          <w:sz w:val="21"/>
          <w:szCs w:val="21"/>
        </w:rPr>
        <w:t xml:space="preserve">El precio de Repuestos &amp; PA </w:t>
      </w:r>
      <w:r>
        <w:rPr>
          <w:rFonts w:ascii="Segoe UI" w:hAnsi="Segoe UI"/>
          <w:b/>
          <w:sz w:val="21"/>
          <w:szCs w:val="21"/>
        </w:rPr>
        <w:t xml:space="preserve">no se replica</w:t>
      </w:r>
      <w:r>
        <w:rPr>
          <w:rFonts w:ascii="Segoe UI" w:hAnsi="Segoe UI"/>
          <w:sz w:val="21"/>
          <w:szCs w:val="21"/>
        </w:rPr>
        <w:t xml:space="preserve">: se resuelve en cada consulta contra SAP mediante un único servicio parametrizado (RFC </w:t>
      </w:r>
      <w:r>
        <w:rPr>
          <w:rFonts w:ascii="Consolas" w:hAnsi="Consolas"/>
          <w:sz w:val="19"/>
          <w:szCs w:val="19"/>
        </w:rPr>
        <w:t xml:space="preserve">Get_Price_ZGQREF</w:t>
      </w:r>
      <w:r>
        <w:rPr>
          <w:rFonts w:ascii="Segoe UI" w:hAnsi="Segoe UI"/>
          <w:sz w:val="21"/>
          <w:szCs w:val="21"/>
        </w:rPr>
        <w:t xml:space="preserve"> expuesto por MuleSoft), con llamada multi-material, y el resultado se persiste únicamente en la línea del documento comercial para congelar el precio cotizado (fecha de precio del documento). Este patrón — catálogo replicado + precio en tiempo real — es la práctica recomendada documentada para integraciones Salesforce–SAP, y MuleSoft publica un acelerador oficial (Quote-to-cash, SAP ECC y S/4HANA) que obtiene el precio neto de las líneas directamente de las pricing conditions de SAP.</w:t>
      </w:r>
    </w:p>
    <w:p>
      <w:pPr>
        <w:spacing w:before="280" w:after="120" w:line="276" w:lineRule="auto"/>
      </w:pPr>
      <w:r>
        <w:rPr>
          <w:rFonts w:ascii="Segoe UI" w:hAnsi="Segoe UI"/>
          <w:b/>
          <w:color w:val="0176D3"/>
          <w:sz w:val="24"/>
          <w:szCs w:val="24"/>
        </w:rPr>
        <w:t xml:space="preserve">2.2 Capas de la solución en Salesforce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r>
        <w:rPr>
          <w:rFonts w:ascii="Segoe UI" w:hAnsi="Segoe UI"/>
          <w:b/>
          <w:sz w:val="21"/>
          <w:szCs w:val="21"/>
        </w:rPr>
        <w:t xml:space="preserve">UI: </w:t>
      </w:r>
      <w:r>
        <w:rPr>
          <w:rFonts w:ascii="Segoe UI" w:hAnsi="Segoe UI"/>
          <w:sz w:val="21"/>
          <w:szCs w:val="21"/>
        </w:rPr>
        <w:t xml:space="preserve">un componente LWC único y reutilizable (RN-19) con tres encajes: embebido en cotización/pedido, pestaña utilitaria de consulta suelta y modo comparación (hasta 20 materiales por llamada).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r>
        <w:rPr>
          <w:rFonts w:ascii="Segoe UI" w:hAnsi="Segoe UI"/>
          <w:b/>
          <w:sz w:val="21"/>
          <w:szCs w:val="21"/>
        </w:rPr>
        <w:t xml:space="preserve">Servicio: </w:t>
      </w:r>
      <w:r>
        <w:rPr>
          <w:rFonts w:ascii="Segoe UI" w:hAnsi="Segoe UI"/>
          <w:sz w:val="21"/>
          <w:szCs w:val="21"/>
        </w:rPr>
        <w:t xml:space="preserve">clase Apex de servicio que invoca a MuleSoft vía Named Credential. Llamada multi-material obligatoria (límite de plataforma: 100 callouts por transacción). Timeout 10 s; los tres estados de excepción (material inexistente / sin lista vigente / falla de integración) se tratan como retorno tipado (RN-21).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r>
        <w:rPr>
          <w:rFonts w:ascii="Segoe UI" w:hAnsi="Segoe UI"/>
          <w:b/>
          <w:sz w:val="21"/>
          <w:szCs w:val="21"/>
        </w:rPr>
        <w:t xml:space="preserve">Persistencia (congelamiento): </w:t>
      </w:r>
      <w:r>
        <w:rPr>
          <w:rFonts w:ascii="Segoe UI" w:hAnsi="Segoe UI"/>
          <w:sz w:val="21"/>
          <w:szCs w:val="21"/>
        </w:rPr>
        <w:t xml:space="preserve">el desglose devuelto se graba en campos de la línea — un campo por condición (ZPRT, ZRTA, ZRCR, KUMU, MWST, J1RI, precio final) + fecha de precio + moneda (RN-05/RN-16).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r>
        <w:rPr>
          <w:rFonts w:ascii="Segoe UI" w:hAnsi="Segoe UI"/>
          <w:b/>
          <w:sz w:val="21"/>
          <w:szCs w:val="21"/>
        </w:rPr>
        <w:t xml:space="preserve">Detalle de plataforma a contemplar: </w:t>
      </w:r>
      <w:r>
        <w:rPr>
          <w:rFonts w:ascii="Segoe UI" w:hAnsi="Segoe UI"/>
          <w:sz w:val="21"/>
          <w:szCs w:val="21"/>
        </w:rPr>
        <w:t xml:space="preserve">Salesforce exige PricebookEntry para crear líneas. Se define un price book técnico único, con entries generadas en la sincronización del catálogo (valor placeholder), y el UnitPrice de la línea se sobrescribe con el retorno de SAP.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r>
        <w:rPr>
          <w:rFonts w:ascii="Segoe UI" w:hAnsi="Segoe UI"/>
          <w:b/>
          <w:sz w:val="21"/>
          <w:szCs w:val="21"/>
        </w:rPr>
        <w:t xml:space="preserve">Configuración: </w:t>
      </w:r>
      <w:r>
        <w:rPr>
          <w:rFonts w:ascii="Segoe UI" w:hAnsi="Segoe UI"/>
          <w:sz w:val="21"/>
          <w:szCs w:val="21"/>
        </w:rPr>
        <w:t xml:space="preserve">regla de vigencia (8/15/30 días) en tabla editable por perfil; org multi-moneda (decisión irreversible, compartida con HU-038); moneda e indicador fiscal editables por permission set, con reconsulta automática de todas las líneas al modificarse (Escenarios 5 y 13).</w:t>
      </w:r>
    </w:p>
    <w:p>
      <w:pPr>
        <w:spacing w:before="280" w:after="120" w:line="276" w:lineRule="auto"/>
      </w:pPr>
      <w:r>
        <w:rPr>
          <w:rFonts w:ascii="Segoe UI" w:hAnsi="Segoe UI"/>
          <w:b/>
          <w:color w:val="0176D3"/>
          <w:sz w:val="24"/>
          <w:szCs w:val="24"/>
        </w:rPr>
        <w:t xml:space="preserve">2.3 Encaje con las demás historias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r>
        <w:rPr>
          <w:rFonts w:ascii="Segoe UI" w:hAnsi="Segoe UI"/>
          <w:b/>
          <w:sz w:val="21"/>
          <w:szCs w:val="21"/>
        </w:rPr>
        <w:t xml:space="preserve">Venta guiada: </w:t>
      </w:r>
      <w:r>
        <w:rPr>
          <w:rFonts w:ascii="Segoe UI" w:hAnsi="Segoe UI"/>
          <w:sz w:val="21"/>
          <w:szCs w:val="21"/>
        </w:rPr>
        <w:t xml:space="preserve">el paso de precio del flujo guiado usa el mismo servicio; el vendedor nunca simula (RN-22).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r>
        <w:rPr>
          <w:rFonts w:ascii="Segoe UI" w:hAnsi="Segoe UI"/>
          <w:b/>
          <w:sz w:val="21"/>
          <w:szCs w:val="21"/>
        </w:rPr>
        <w:t xml:space="preserve">HU-065/066 (descuentos): </w:t>
      </w:r>
      <w:r>
        <w:rPr>
          <w:rFonts w:ascii="Segoe UI" w:hAnsi="Segoe UI"/>
          <w:sz w:val="21"/>
          <w:szCs w:val="21"/>
        </w:rPr>
        <w:t xml:space="preserve">los automáticos (ZRTA/ZRCR) llegan aplicados desde SAP; el manual se calcula sobre ZPRT y sigue su flujo de aprobación.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r>
        <w:rPr>
          <w:rFonts w:ascii="Segoe UI" w:hAnsi="Segoe UI"/>
          <w:b/>
          <w:sz w:val="21"/>
          <w:szCs w:val="21"/>
        </w:rPr>
        <w:t xml:space="preserve">HU-115 (impuestos): </w:t>
      </w:r>
      <w:r>
        <w:rPr>
          <w:rFonts w:ascii="Segoe UI" w:hAnsi="Segoe UI"/>
          <w:sz w:val="21"/>
          <w:szCs w:val="21"/>
        </w:rPr>
        <w:t xml:space="preserve">el indicador viaja como parámetro; MWST/J1RI se calculan en SAP y solo se exhiben.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r>
        <w:rPr>
          <w:rFonts w:ascii="Segoe UI" w:hAnsi="Segoe UI"/>
          <w:b/>
          <w:sz w:val="21"/>
          <w:szCs w:val="21"/>
        </w:rPr>
        <w:t xml:space="preserve">HU-043 (disponibilidad): </w:t>
      </w:r>
      <w:r>
        <w:rPr>
          <w:rFonts w:ascii="Segoe UI" w:hAnsi="Segoe UI"/>
          <w:sz w:val="21"/>
          <w:szCs w:val="21"/>
        </w:rPr>
        <w:t xml:space="preserve">servicio separado, misma filosofía en línea; el componente puede componer ambos retornos.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r>
        <w:rPr>
          <w:rFonts w:ascii="Segoe UI" w:hAnsi="Segoe UI"/>
          <w:b/>
          <w:sz w:val="21"/>
          <w:szCs w:val="21"/>
        </w:rPr>
        <w:t xml:space="preserve">HU-039: </w:t>
      </w:r>
      <w:r>
        <w:rPr>
          <w:rFonts w:ascii="Segoe UI" w:hAnsi="Segoe UI"/>
          <w:sz w:val="21"/>
          <w:szCs w:val="21"/>
        </w:rPr>
        <w:t xml:space="preserve">el estado «material inexistente» dispara la solicitud de creación (sección 3).</w:t>
      </w:r>
    </w:p>
    <w:p>
      <w:pPr>
        <w:spacing w:before="280" w:after="120" w:line="276" w:lineRule="auto"/>
      </w:pPr>
      <w:r>
        <w:rPr>
          <w:rFonts w:ascii="Segoe UI" w:hAnsi="Segoe UI"/>
          <w:b/>
          <w:color w:val="0176D3"/>
          <w:sz w:val="24"/>
          <w:szCs w:val="24"/>
        </w:rPr>
        <w:t xml:space="preserve">2.4 Simulación de precios (RN-10 · GQ-PV-02-060) — pieza diferida</w:t>
      </w:r>
    </w:p>
    <w:p>
      <w:pPr>
        <w:spacing w:before="0" w:after="120" w:line="276" w:lineRule="auto"/>
      </w:pPr>
      <w:r>
        <w:rPr>
          <w:rFonts w:ascii="Segoe UI" w:hAnsi="Segoe UI"/>
          <w:sz w:val="21"/>
          <w:szCs w:val="21"/>
        </w:rPr>
        <w:t xml:space="preserve">Fuera del núcleo del R1. Se resuelve con los motores de la plataforma: </w:t>
      </w:r>
      <w:r>
        <w:rPr>
          <w:rFonts w:ascii="Segoe UI" w:hAnsi="Segoe UI"/>
          <w:b/>
          <w:sz w:val="21"/>
          <w:szCs w:val="21"/>
        </w:rPr>
        <w:t xml:space="preserve">Salesforce Pricing</w:t>
      </w:r>
      <w:r>
        <w:rPr>
          <w:rFonts w:ascii="Segoe UI" w:hAnsi="Segoe UI"/>
          <w:sz w:val="21"/>
          <w:szCs w:val="21"/>
        </w:rPr>
        <w:t xml:space="preserve"> modela la cadena FOB → factor de nacionalización → mark-up como pricing procedure con waterfall y simulación nativa (perfil de analista); </w:t>
      </w:r>
      <w:r>
        <w:rPr>
          <w:rFonts w:ascii="Segoe UI" w:hAnsi="Segoe UI"/>
          <w:b/>
          <w:sz w:val="21"/>
          <w:szCs w:val="21"/>
        </w:rPr>
        <w:t xml:space="preserve">Business Rules Engine</w:t>
      </w:r>
      <w:r>
        <w:rPr>
          <w:rFonts w:ascii="Segoe UI" w:hAnsi="Segoe UI"/>
          <w:sz w:val="21"/>
          <w:szCs w:val="21"/>
        </w:rPr>
        <w:t xml:space="preserve"> (Expression Sets + Decision Matrices) permite escalar a más usuarios. El resultado es una estimación con parámetros replicados de SAP — no el cálculo oficial —, por lo que el dimensionamiento se hace mediante una prueba de concepto acotada (2-3 materiales reales) cuyo criterio de salida es la validación de paridad con Finanzas. La simulación nunca se cruza con el flujo del vendedor: es herramienta paralela de back-office (RN-22).</w:t>
      </w:r>
    </w:p>
    <w:p>
      <w:pPr>
        <w:spacing w:before="360" w:after="160" w:line="276" w:lineRule="auto"/>
      </w:pPr>
      <w:r>
        <w:rPr>
          <w:rFonts w:ascii="Segoe UI" w:hAnsi="Segoe UI"/>
          <w:b/>
          <w:color w:val="16325C"/>
          <w:sz w:val="28"/>
          <w:szCs w:val="28"/>
        </w:rPr>
        <w:t xml:space="preserve">3. HU-039 — Solicitud de creación de material</w:t>
      </w:r>
    </w:p>
    <w:p>
      <w:pPr>
        <w:spacing w:before="280" w:after="120" w:line="276" w:lineRule="auto"/>
      </w:pPr>
      <w:r>
        <w:rPr>
          <w:rFonts w:ascii="Segoe UI" w:hAnsi="Segoe UI"/>
          <w:b/>
          <w:color w:val="0176D3"/>
          <w:sz w:val="24"/>
          <w:szCs w:val="24"/>
        </w:rPr>
        <w:t xml:space="preserve">3.1 Modelo de datos (nativo)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r>
        <w:rPr>
          <w:rFonts w:ascii="Segoe UI" w:hAnsi="Segoe UI"/>
          <w:sz w:val="21"/>
          <w:szCs w:val="21"/>
        </w:rPr>
        <w:t xml:space="preserve">La solicitud es un </w:t>
      </w:r>
      <w:r>
        <w:rPr>
          <w:rFonts w:ascii="Segoe UI" w:hAnsi="Segoe UI"/>
          <w:b/>
          <w:sz w:val="21"/>
          <w:szCs w:val="21"/>
        </w:rPr>
        <w:t xml:space="preserve">Product2 estándar</w:t>
      </w:r>
      <w:r>
        <w:rPr>
          <w:rFonts w:ascii="Segoe UI" w:hAnsi="Segoe UI"/>
          <w:sz w:val="21"/>
          <w:szCs w:val="21"/>
        </w:rPr>
        <w:t xml:space="preserve"> con Record Type «Solicitud de Material» (Repuesto Original / Código Comodín), IsActive = false. El mismo registro se convierte en el material definitivo al retornar SAP el MATNR — sin objetos custom, sin conversión, sin duplicados.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r>
        <w:rPr>
          <w:rFonts w:ascii="Segoe UI" w:hAnsi="Segoe UI"/>
          <w:b/>
          <w:sz w:val="21"/>
          <w:szCs w:val="21"/>
        </w:rPr>
        <w:t xml:space="preserve">Código: </w:t>
      </w:r>
      <w:r>
        <w:rPr>
          <w:rFonts w:ascii="Segoe UI" w:hAnsi="Segoe UI"/>
          <w:sz w:val="21"/>
          <w:szCs w:val="21"/>
        </w:rPr>
        <w:t xml:space="preserve">el código de parte (Original) o código comodín (GQ) se captura en campo propio desde la solicitud y alimenta la validación de duplicados por Flow (código + sociedad + centro). ProductCode queda reservado para el MATNR, que asigna siempre SAP como System of Record.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r>
        <w:rPr>
          <w:rFonts w:ascii="Segoe UI" w:hAnsi="Segoe UI"/>
          <w:b/>
          <w:sz w:val="21"/>
          <w:szCs w:val="21"/>
        </w:rPr>
        <w:t xml:space="preserve">Estados simplificados: </w:t>
      </w:r>
      <w:r>
        <w:rPr>
          <w:rFonts w:ascii="Segoe UI" w:hAnsi="Segoe UI"/>
          <w:sz w:val="21"/>
          <w:szCs w:val="21"/>
        </w:rPr>
        <w:t xml:space="preserve">Pendiente → Material Creado / Rechazado. Se elimina «En revisión» (ningún perfil habilitado podría actualizarlo) y ambos estados finales se actualizan por integración — nadie necesita usuario Salesforce nuevo.</w:t>
      </w:r>
    </w:p>
    <w:p>
      <w:pPr>
        <w:spacing w:before="280" w:after="120" w:line="276" w:lineRule="auto"/>
      </w:pPr>
      <w:r>
        <w:rPr>
          <w:rFonts w:ascii="Segoe UI" w:hAnsi="Segoe UI"/>
          <w:b/>
          <w:color w:val="0176D3"/>
          <w:sz w:val="24"/>
          <w:szCs w:val="24"/>
        </w:rPr>
        <w:t xml:space="preserve">3.2 Flujo en dos tiempos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r>
        <w:rPr>
          <w:rFonts w:ascii="Segoe UI" w:hAnsi="Segoe UI"/>
          <w:b/>
          <w:sz w:val="21"/>
          <w:szCs w:val="21"/>
        </w:rPr>
        <w:t xml:space="preserve">Tiempo 1 (venta): </w:t>
      </w:r>
      <w:r>
        <w:rPr>
          <w:rFonts w:ascii="Segoe UI" w:hAnsi="Segoe UI"/>
          <w:sz w:val="21"/>
          <w:szCs w:val="21"/>
        </w:rPr>
        <w:t xml:space="preserve">verificación síncrona contra Maestro de Materiales y de Fábrica; upsert de catálogo, extensión automática (PA: genera traslado a nivel de pedido) o creación automática vía la función existente </w:t>
      </w:r>
      <w:r>
        <w:rPr>
          <w:rFonts w:ascii="Consolas" w:hAnsi="Consolas"/>
          <w:sz w:val="19"/>
          <w:szCs w:val="19"/>
        </w:rPr>
        <w:t xml:space="preserve">ZHYB_OBM_PRECIO_VTA_NO_MAESTRO</w:t>
      </w:r>
      <w:r>
        <w:rPr>
          <w:rFonts w:ascii="Segoe UI" w:hAnsi="Segoe UI"/>
          <w:sz w:val="21"/>
          <w:szCs w:val="21"/>
        </w:rPr>
        <w:t xml:space="preserve"> (crea el material desde la tabla Z de fabricantes y asigna precio estimado). Si nada resuelve, nace la solicitud prellenada. La venta nunca espera.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r>
        <w:rPr>
          <w:rFonts w:ascii="Segoe UI" w:hAnsi="Segoe UI"/>
          <w:b/>
          <w:sz w:val="21"/>
          <w:szCs w:val="21"/>
        </w:rPr>
        <w:t xml:space="preserve">Tiempo 2 (ida): </w:t>
      </w:r>
      <w:r>
        <w:rPr>
          <w:rFonts w:ascii="Segoe UI" w:hAnsi="Segoe UI"/>
          <w:sz w:val="21"/>
          <w:szCs w:val="21"/>
        </w:rPr>
        <w:t xml:space="preserve">al crearse la solicitud, un Record-Triggered Flow publica un Platform Event que MuleSoft entrega a SAP — sin e-mail. La solicitud aterriza en una worklist del lado SAP (tabla Z + transacción, workflow o SAP MDG si está disponible), donde el analista de Gestión de Inventarios ya opera.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r>
        <w:rPr>
          <w:rFonts w:ascii="Segoe UI" w:hAnsi="Segoe UI"/>
          <w:b/>
          <w:sz w:val="21"/>
          <w:szCs w:val="21"/>
        </w:rPr>
        <w:t xml:space="preserve">Tiempo 2 (vuelta): </w:t>
      </w:r>
      <w:r>
        <w:rPr>
          <w:rFonts w:ascii="Segoe UI" w:hAnsi="Segoe UI"/>
          <w:sz w:val="21"/>
          <w:szCs w:val="21"/>
        </w:rPr>
        <w:t xml:space="preserve">el callback SAP→MuleSoft→Salesforce se extiende con el tipo de evento: «creado» (MATNR + datos maestros → activa el registro) o «rechazado» (+ motivo → cierra la solicitud). Upsert idempotente por External ID. Notificación al asesor vía Follow.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r>
        <w:rPr>
          <w:rFonts w:ascii="Segoe UI" w:hAnsi="Segoe UI"/>
          <w:b/>
          <w:sz w:val="21"/>
          <w:szCs w:val="21"/>
        </w:rPr>
        <w:t xml:space="preserve">PA: </w:t>
      </w:r>
      <w:r>
        <w:rPr>
          <w:rFonts w:ascii="Segoe UI" w:hAnsi="Segoe UI"/>
          <w:sz w:val="21"/>
          <w:szCs w:val="21"/>
        </w:rPr>
        <w:t xml:space="preserve">sin cambios — circuito de aprobación completo en Salesforce (Catman → Director → VP, todos con usuario) antes de la carga en SAP; mismo callback de retorno.</w:t>
      </w:r>
    </w:p>
    <w:p>
      <w:pPr>
        <w:spacing w:before="60" w:after="160" w:line="276" w:lineRule="auto"/>
      </w:pPr>
      <w:r>
        <w:rPr>
          <w:rFonts w:ascii="Segoe UI" w:hAnsi="Segoe UI"/>
          <w:sz w:val="21"/>
          <w:szCs w:val="21"/>
        </w:rPr>
        <w:t xml:space="preserve">El patrón replica el modelo del propio SAP Master Data Governance (change request → staging → steward → activación → distribución), y el sentido Salesforce→SAP está soportado por template oficial de MuleSoft (creación de material vía IDoc MATMAS).</w:t>
      </w:r>
    </w:p>
    <w:p>
      <w:pPr>
        <w:spacing w:before="280" w:after="120" w:line="276" w:lineRule="auto"/>
      </w:pPr>
      <w:r>
        <w:rPr>
          <w:rFonts w:ascii="Segoe UI" w:hAnsi="Segoe UI"/>
          <w:b/>
          <w:color w:val="0176D3"/>
          <w:sz w:val="24"/>
          <w:szCs w:val="24"/>
        </w:rPr>
        <w:t xml:space="preserve">3.3 Diagrama del flujo</w:t>
      </w:r>
    </w:p>
    <w:p>
      <w:pPr>
        <w:jc w:val="center"/>
        <w:spacing w:after="160"/>
      </w:pPr>
      <w:r>
        <w:drawing>
          <wp:inline distT="0" distB="0" distL="0" distR="0">
            <wp:extent cx="6921500" cy="10820400"/>
            <wp:docPr id="1" name="Flujo HU-0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jo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108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60" w:after="160" w:line="276" w:lineRule="auto"/>
      </w:pPr>
      <w:r>
        <w:rPr>
          <w:rFonts w:ascii="Segoe UI" w:hAnsi="Segoe UI"/>
          <w:b/>
          <w:color w:val="16325C"/>
          <w:sz w:val="28"/>
          <w:szCs w:val="28"/>
        </w:rPr>
        <w:t xml:space="preserve">4. Preguntas abiertas para la sesión de arquitectura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1.  </w:t>
      </w:r>
      <w:r>
        <w:rPr>
          <w:rFonts w:ascii="Segoe UI" w:hAnsi="Segoe UI"/>
          <w:b/>
          <w:sz w:val="21"/>
          <w:szCs w:val="21"/>
        </w:rPr>
        <w:t xml:space="preserve">Función Z: </w:t>
      </w:r>
      <w:r>
        <w:rPr>
          <w:rFonts w:ascii="Segoe UI" w:hAnsi="Segoe UI"/>
          <w:sz w:val="21"/>
          <w:szCs w:val="21"/>
        </w:rPr>
        <w:t xml:space="preserve">¿</w:t>
      </w:r>
      <w:r>
        <w:rPr>
          <w:rFonts w:ascii="Consolas" w:hAnsi="Consolas"/>
          <w:sz w:val="19"/>
          <w:szCs w:val="19"/>
        </w:rPr>
        <w:t xml:space="preserve">ZHYB_OBM_PRECIO_VTA_NO_MAESTRO</w:t>
      </w:r>
      <w:r>
        <w:rPr>
          <w:rFonts w:ascii="Segoe UI" w:hAnsi="Segoe UI"/>
          <w:sz w:val="21"/>
          <w:szCs w:val="21"/>
        </w:rPr>
        <w:t xml:space="preserve"> es RFC-habilitada (invocable vía MuleSoft)? ¿Cuál es su firma (entradas/salidas) y crea por sociedad/centro?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2.  </w:t>
      </w:r>
      <w:r>
        <w:rPr>
          <w:rFonts w:ascii="Segoe UI" w:hAnsi="Segoe UI"/>
          <w:b/>
          <w:sz w:val="21"/>
          <w:szCs w:val="21"/>
        </w:rPr>
        <w:t xml:space="preserve">Aterrizaje de la solicitud en SAP: </w:t>
      </w:r>
      <w:r>
        <w:rPr>
          <w:rFonts w:ascii="Segoe UI" w:hAnsi="Segoe UI"/>
          <w:sz w:val="21"/>
          <w:szCs w:val="21"/>
        </w:rPr>
        <w:t xml:space="preserve">¿tabla Z + transacción, workflow, o SAP MDG (si Grupo Q lo tiene licenciado)? Es el único desarrollo SAP nuevo junto con la extensión del callback.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3.  </w:t>
      </w:r>
      <w:r>
        <w:rPr>
          <w:rFonts w:ascii="Segoe UI" w:hAnsi="Segoe UI"/>
          <w:b/>
          <w:sz w:val="21"/>
          <w:szCs w:val="21"/>
        </w:rPr>
        <w:t xml:space="preserve">MATNR: </w:t>
      </w:r>
      <w:r>
        <w:rPr>
          <w:rFonts w:ascii="Segoe UI" w:hAnsi="Segoe UI"/>
          <w:sz w:val="21"/>
          <w:szCs w:val="21"/>
        </w:rPr>
        <w:t xml:space="preserve">¿numeración externa (= código de parte) o interna? Define la clave de correlación y la sincronización del catálogo.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4.  </w:t>
      </w:r>
      <w:r>
        <w:rPr>
          <w:rFonts w:ascii="Segoe UI" w:hAnsi="Segoe UI"/>
          <w:b/>
          <w:sz w:val="21"/>
          <w:szCs w:val="21"/>
        </w:rPr>
        <w:t xml:space="preserve">Código Comodín: </w:t>
      </w:r>
      <w:r>
        <w:rPr>
          <w:rFonts w:ascii="Segoe UI" w:hAnsi="Segoe UI"/>
          <w:sz w:val="21"/>
          <w:szCs w:val="21"/>
        </w:rPr>
        <w:t xml:space="preserve">¿quién lo acuña y con qué convención de formato? (validación de formato en el Flow de solicitud).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5.  </w:t>
      </w:r>
      <w:r>
        <w:rPr>
          <w:rFonts w:ascii="Segoe UI" w:hAnsi="Segoe UI"/>
          <w:b/>
          <w:sz w:val="21"/>
          <w:szCs w:val="21"/>
        </w:rPr>
        <w:t xml:space="preserve">RFC de precios: </w:t>
      </w:r>
      <w:r>
        <w:rPr>
          <w:rFonts w:ascii="Segoe UI" w:hAnsi="Segoe UI"/>
          <w:sz w:val="21"/>
          <w:szCs w:val="21"/>
        </w:rPr>
        <w:t xml:space="preserve">confirmar con Jorge Almendarez que </w:t>
      </w:r>
      <w:r>
        <w:rPr>
          <w:rFonts w:ascii="Consolas" w:hAnsi="Consolas"/>
          <w:sz w:val="19"/>
          <w:szCs w:val="19"/>
        </w:rPr>
        <w:t xml:space="preserve">Get_Price_ZGQREF</w:t>
      </w:r>
      <w:r>
        <w:rPr>
          <w:rFonts w:ascii="Segoe UI" w:hAnsi="Segoe UI"/>
          <w:sz w:val="21"/>
          <w:szCs w:val="21"/>
        </w:rPr>
        <w:t xml:space="preserve"> resuelve precio dinámico de Repuestos y listas de PA en la misma llamada, y el significado de «precio neto» vs «precio final» en la salida.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6.  </w:t>
      </w:r>
      <w:r>
        <w:rPr>
          <w:rFonts w:ascii="Segoe UI" w:hAnsi="Segoe UI"/>
          <w:b/>
          <w:sz w:val="21"/>
          <w:szCs w:val="21"/>
        </w:rPr>
        <w:t xml:space="preserve">Resiliencia: </w:t>
      </w:r>
      <w:r>
        <w:rPr>
          <w:rFonts w:ascii="Segoe UI" w:hAnsi="Segoe UI"/>
          <w:sz w:val="21"/>
          <w:szCs w:val="21"/>
        </w:rPr>
        <w:t xml:space="preserve">frecuencia/backoff de reintentos y mecanismo + SLA de escalamiento (ida y vuelta) — se definen en el diseño técnico de la HU-119.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7.  </w:t>
      </w:r>
      <w:r>
        <w:rPr>
          <w:rFonts w:ascii="Segoe UI" w:hAnsi="Segoe UI"/>
          <w:b/>
          <w:sz w:val="21"/>
          <w:szCs w:val="21"/>
        </w:rPr>
        <w:t xml:space="preserve">Rendimiento HU-028: </w:t>
      </w:r>
      <w:r>
        <w:rPr>
          <w:rFonts w:ascii="Segoe UI" w:hAnsi="Segoe UI"/>
          <w:sz w:val="21"/>
          <w:szCs w:val="21"/>
        </w:rPr>
        <w:t xml:space="preserve">validar los 3 s de respuesta con llamada de 20 materiales; estrategia de reconsulta al cambiar moneda en documentos grandes (una llamada multi-material).</w:t>
      </w:r>
    </w:p>
    <w:p>
      <w:pPr>
        <w:spacing w:before="360" w:after="160" w:line="276" w:lineRule="auto"/>
      </w:pPr>
      <w:r>
        <w:rPr>
          <w:rFonts w:ascii="Segoe UI" w:hAnsi="Segoe UI"/>
          <w:b/>
          <w:color w:val="16325C"/>
          <w:sz w:val="28"/>
          <w:szCs w:val="28"/>
        </w:rPr>
        <w:t xml:space="preserve">5. Referencias</w:t>
      </w:r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hyperlink r:id="rIdL1">
        <w:r>
          <w:rPr>
            <w:rFonts w:ascii="Segoe UI" w:hAnsi="Segoe UI"/>
            <w:color w:val="0563C1"/>
            <w:u w:val="single"/>
            <w:sz w:val="21"/>
            <w:szCs w:val="21"/>
          </w:rPr>
          <w:t xml:space="preserve">MuleSoft Accelerator for SAP — Use case Quote-to-cash (precio desde pricing conditions, ECC y S/4HANA)</w:t>
        </w:r>
      </w:hyperlink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hyperlink r:id="rIdL2">
        <w:r>
          <w:rPr>
            <w:rFonts w:ascii="Segoe UI" w:hAnsi="Segoe UI"/>
            <w:color w:val="0563C1"/>
            <w:u w:val="single"/>
            <w:sz w:val="21"/>
            <w:szCs w:val="21"/>
          </w:rPr>
          <w:t xml:space="preserve">Accelerator SAP S/4HANA Pricing System API (MuleSoft Exchange)</w:t>
        </w:r>
      </w:hyperlink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hyperlink r:id="rIdL3">
        <w:r>
          <w:rPr>
            <w:rFonts w:ascii="Segoe UI" w:hAnsi="Segoe UI"/>
            <w:color w:val="0563C1"/>
            <w:u w:val="single"/>
            <w:sz w:val="21"/>
            <w:szCs w:val="21"/>
          </w:rPr>
          <w:t xml:space="preserve">Salesforce B2B Commerce — Pricing Service Extension (motor de precios externo como patrón de plataforma)</w:t>
        </w:r>
      </w:hyperlink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hyperlink r:id="rIdL4">
        <w:r>
          <w:rPr>
            <w:rFonts w:ascii="Segoe UI" w:hAnsi="Segoe UI"/>
            <w:color w:val="0563C1"/>
            <w:u w:val="single"/>
            <w:sz w:val="21"/>
            <w:szCs w:val="21"/>
          </w:rPr>
          <w:t xml:space="preserve">Salesforce Architects — Event-Driven Architecture (decision guide)</w:t>
        </w:r>
      </w:hyperlink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hyperlink r:id="rIdL5">
        <w:r>
          <w:rPr>
            <w:rFonts w:ascii="Segoe UI" w:hAnsi="Segoe UI"/>
            <w:color w:val="0563C1"/>
            <w:u w:val="single"/>
            <w:sz w:val="21"/>
            <w:szCs w:val="21"/>
          </w:rPr>
          <w:t xml:space="preserve">SAP Master Data Governance for Material (MDG-M) — SAP Help</w:t>
        </w:r>
      </w:hyperlink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hyperlink r:id="rIdL6">
        <w:r>
          <w:rPr>
            <w:rFonts w:ascii="Segoe UI" w:hAnsi="Segoe UI"/>
            <w:color w:val="0563C1"/>
            <w:u w:val="single"/>
            <w:sz w:val="21"/>
            <w:szCs w:val="21"/>
          </w:rPr>
          <w:t xml:space="preserve">MuleSoft — Salesforce and SAP Product Bidirectional Sync (creación de material vía IDoc MATMAS)</w:t>
        </w:r>
      </w:hyperlink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hyperlink r:id="rIdL7">
        <w:r>
          <w:rPr>
            <w:rFonts w:ascii="Segoe UI" w:hAnsi="Segoe UI"/>
            <w:color w:val="0563C1"/>
            <w:u w:val="single"/>
            <w:sz w:val="21"/>
            <w:szCs w:val="21"/>
          </w:rPr>
          <w:t xml:space="preserve">Salesforce Pricing / Revenue Cloud — Pricing Procedures con waterfall y simulación (Trailhead)</w:t>
        </w:r>
      </w:hyperlink>
    </w:p>
    <w:p>
      <w:pPr>
        <w:spacing w:before="0" w:after="80" w:line="276" w:lineRule="auto"/>
        <w:ind w:left="360" w:hanging="360"/>
      </w:pPr>
      <w:r>
        <w:rPr>
          <w:rFonts w:ascii="Segoe UI" w:hAnsi="Segoe UI"/>
          <w:b/>
          <w:color w:val="0176D3"/>
          <w:sz w:val="21"/>
          <w:szCs w:val="21"/>
        </w:rPr>
        <w:t xml:space="preserve">•  </w:t>
      </w:r>
      <w:hyperlink r:id="rIdL8">
        <w:r>
          <w:rPr>
            <w:rFonts w:ascii="Segoe UI" w:hAnsi="Segoe UI"/>
            <w:color w:val="0563C1"/>
            <w:u w:val="single"/>
            <w:sz w:val="21"/>
            <w:szCs w:val="21"/>
          </w:rPr>
          <w:t xml:space="preserve">Salesforce Ben — Best Practices for Integrating Salesforce with SAP (patrón híbrido replicación + tiempo real)</w:t>
        </w:r>
      </w:hyperlink>
    </w:p>
    <w:sectPr>
      <w:pgSz w:w="12240" w:h="15840"/>
      <w:pgMar w:top="1080" w:right="1180" w:bottom="1080" w:left="11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64abb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D826318"/>
    <w:multiLevelType w:val="hybridMultilevel"/>
    <w:tmpl w:val="BBDED04A"/>
    <w:lvl w:ilvl="0" w:tplc="1DC67BAA">
      <w:start w:val="1"/>
      <w:numFmt w:val="bullet"/>
      <w:lvlText w:val="●"/>
      <w:lvlJc w:val="left"/>
      <w:pPr>
        <w:ind w:left="720" w:hanging="360"/>
      </w:pPr>
    </w:lvl>
    <w:lvl w:ilvl="1" w:tplc="A68CC0A2">
      <w:start w:val="1"/>
      <w:numFmt w:val="bullet"/>
      <w:lvlText w:val="○"/>
      <w:lvlJc w:val="left"/>
      <w:pPr>
        <w:ind w:left="1440" w:hanging="360"/>
      </w:pPr>
    </w:lvl>
    <w:lvl w:ilvl="2" w:tplc="B2201F98">
      <w:start w:val="1"/>
      <w:numFmt w:val="bullet"/>
      <w:lvlText w:val="■"/>
      <w:lvlJc w:val="left"/>
      <w:pPr>
        <w:ind w:left="2160" w:hanging="360"/>
      </w:pPr>
    </w:lvl>
    <w:lvl w:ilvl="3" w:tplc="5F48B768">
      <w:start w:val="1"/>
      <w:numFmt w:val="bullet"/>
      <w:lvlText w:val="●"/>
      <w:lvlJc w:val="left"/>
      <w:pPr>
        <w:ind w:left="2880" w:hanging="360"/>
      </w:pPr>
    </w:lvl>
    <w:lvl w:ilvl="4" w:tplc="8F66A8D6">
      <w:start w:val="1"/>
      <w:numFmt w:val="bullet"/>
      <w:lvlText w:val="○"/>
      <w:lvlJc w:val="left"/>
      <w:pPr>
        <w:ind w:left="3600" w:hanging="360"/>
      </w:pPr>
    </w:lvl>
    <w:lvl w:ilvl="5" w:tplc="A1DE467E">
      <w:start w:val="1"/>
      <w:numFmt w:val="bullet"/>
      <w:lvlText w:val="■"/>
      <w:lvlJc w:val="left"/>
      <w:pPr>
        <w:ind w:left="4320" w:hanging="360"/>
      </w:pPr>
    </w:lvl>
    <w:lvl w:ilvl="6" w:tplc="BEC4FD34">
      <w:start w:val="1"/>
      <w:numFmt w:val="bullet"/>
      <w:lvlText w:val="●"/>
      <w:lvlJc w:val="left"/>
      <w:pPr>
        <w:ind w:left="5040" w:hanging="360"/>
      </w:pPr>
    </w:lvl>
    <w:lvl w:ilvl="7" w:tplc="63CA9322">
      <w:start w:val="1"/>
      <w:numFmt w:val="bullet"/>
      <w:lvlText w:val="●"/>
      <w:lvlJc w:val="left"/>
      <w:pPr>
        <w:ind w:left="5760" w:hanging="360"/>
      </w:pPr>
    </w:lvl>
    <w:lvl w:ilvl="8" w:tplc="1458FA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910772"/>
    <w:multiLevelType w:val="hybridMultilevel"/>
    <w:tmpl w:val="FFFFFFFF"/>
    <w:lvl w:ilvl="0" w:tplc="CFE65564">
      <w:start w:val="1"/>
      <w:numFmt w:val="decimal"/>
      <w:lvlText w:val="●"/>
      <w:lvlJc w:val="left"/>
      <w:pPr>
        <w:ind w:left="720" w:hanging="360"/>
      </w:pPr>
    </w:lvl>
    <w:lvl w:ilvl="1" w:tplc="70000944">
      <w:start w:val="1"/>
      <w:numFmt w:val="lowerLetter"/>
      <w:lvlText w:val="%2."/>
      <w:lvlJc w:val="left"/>
      <w:pPr>
        <w:ind w:left="1440" w:hanging="360"/>
      </w:pPr>
    </w:lvl>
    <w:lvl w:ilvl="2" w:tplc="EF2C3244">
      <w:start w:val="1"/>
      <w:numFmt w:val="lowerRoman"/>
      <w:lvlText w:val="%3."/>
      <w:lvlJc w:val="right"/>
      <w:pPr>
        <w:ind w:left="2160" w:hanging="180"/>
      </w:pPr>
    </w:lvl>
    <w:lvl w:ilvl="3" w:tplc="A13E6312">
      <w:start w:val="1"/>
      <w:numFmt w:val="decimal"/>
      <w:lvlText w:val="%4."/>
      <w:lvlJc w:val="left"/>
      <w:pPr>
        <w:ind w:left="2880" w:hanging="360"/>
      </w:pPr>
    </w:lvl>
    <w:lvl w:ilvl="4" w:tplc="0CA46CBE">
      <w:start w:val="1"/>
      <w:numFmt w:val="lowerLetter"/>
      <w:lvlText w:val="%5."/>
      <w:lvlJc w:val="left"/>
      <w:pPr>
        <w:ind w:left="3600" w:hanging="360"/>
      </w:pPr>
    </w:lvl>
    <w:lvl w:ilvl="5" w:tplc="270EB2AA">
      <w:start w:val="1"/>
      <w:numFmt w:val="lowerRoman"/>
      <w:lvlText w:val="%6."/>
      <w:lvlJc w:val="right"/>
      <w:pPr>
        <w:ind w:left="4320" w:hanging="180"/>
      </w:pPr>
    </w:lvl>
    <w:lvl w:ilvl="6" w:tplc="CB900C96">
      <w:start w:val="1"/>
      <w:numFmt w:val="decimal"/>
      <w:lvlText w:val="%7."/>
      <w:lvlJc w:val="left"/>
      <w:pPr>
        <w:ind w:left="5040" w:hanging="360"/>
      </w:pPr>
    </w:lvl>
    <w:lvl w:ilvl="7" w:tplc="34F63A16">
      <w:start w:val="1"/>
      <w:numFmt w:val="lowerLetter"/>
      <w:lvlText w:val="%8."/>
      <w:lvlJc w:val="left"/>
      <w:pPr>
        <w:ind w:left="5760" w:hanging="360"/>
      </w:pPr>
    </w:lvl>
    <w:lvl w:ilvl="8" w:tplc="C5AE3ED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67A27"/>
    <w:multiLevelType w:val="hybridMultilevel"/>
    <w:tmpl w:val="8FC28F92"/>
    <w:lvl w:ilvl="0" w:tplc="4810E1B6">
      <w:start w:val="7"/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1C5AAC0"/>
    <w:multiLevelType w:val="hybridMultilevel"/>
    <w:tmpl w:val="FFFFFFFF"/>
    <w:lvl w:ilvl="0" w:tplc="F9667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F4F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E84B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14C4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5672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BC4D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801F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6A10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486F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0E20FC2"/>
    <w:multiLevelType w:val="multilevel"/>
    <w:tmpl w:val="90EE9B32"/>
    <w:lvl w:ilvl="0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D671C9E"/>
    <w:multiLevelType w:val="hybridMultilevel"/>
    <w:tmpl w:val="03808594"/>
    <w:lvl w:ilvl="0" w:tplc="4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1" w16cid:durableId="1631016563">
    <w:abstractNumId w:val="1"/>
  </w:num>
  <w:num w:numId="2" w16cid:durableId="1990161805">
    <w:abstractNumId w:val="5"/>
  </w:num>
  <w:num w:numId="3" w16cid:durableId="1995378108">
    <w:abstractNumId w:val="3"/>
  </w:num>
  <w:num w:numId="4" w16cid:durableId="231083931">
    <w:abstractNumId w:val="4"/>
  </w:num>
  <w:num w:numId="5" w16cid:durableId="311636647">
    <w:abstractNumId w:val="0"/>
    <w:lvlOverride w:ilvl="0">
      <w:startOverride w:val="1"/>
    </w:lvlOverride>
  </w:num>
  <w:num w:numId="6" w16cid:durableId="891236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E58"/>
    <w:rsid w:val="0002163A"/>
    <w:rsid w:val="00040157"/>
    <w:rsid w:val="00044DDB"/>
    <w:rsid w:val="00052718"/>
    <w:rsid w:val="0008686C"/>
    <w:rsid w:val="000877EF"/>
    <w:rsid w:val="00091256"/>
    <w:rsid w:val="000A2F9E"/>
    <w:rsid w:val="000A70B9"/>
    <w:rsid w:val="000A7B30"/>
    <w:rsid w:val="000B746E"/>
    <w:rsid w:val="000D2F0B"/>
    <w:rsid w:val="000F0665"/>
    <w:rsid w:val="00103409"/>
    <w:rsid w:val="0011211F"/>
    <w:rsid w:val="00161749"/>
    <w:rsid w:val="00166F7F"/>
    <w:rsid w:val="00182562"/>
    <w:rsid w:val="001957D1"/>
    <w:rsid w:val="001B0144"/>
    <w:rsid w:val="001E0F2E"/>
    <w:rsid w:val="001F7068"/>
    <w:rsid w:val="002353AC"/>
    <w:rsid w:val="00245807"/>
    <w:rsid w:val="00247060"/>
    <w:rsid w:val="00264182"/>
    <w:rsid w:val="00264A9B"/>
    <w:rsid w:val="00277EF6"/>
    <w:rsid w:val="00281F6B"/>
    <w:rsid w:val="00283EA8"/>
    <w:rsid w:val="00284AAD"/>
    <w:rsid w:val="00291C37"/>
    <w:rsid w:val="002A1F29"/>
    <w:rsid w:val="002A4855"/>
    <w:rsid w:val="002C24F5"/>
    <w:rsid w:val="002D673D"/>
    <w:rsid w:val="00307137"/>
    <w:rsid w:val="00334625"/>
    <w:rsid w:val="0034236D"/>
    <w:rsid w:val="003566DB"/>
    <w:rsid w:val="0037409A"/>
    <w:rsid w:val="00380661"/>
    <w:rsid w:val="003D67A2"/>
    <w:rsid w:val="003E3021"/>
    <w:rsid w:val="003F00F5"/>
    <w:rsid w:val="003F5FB2"/>
    <w:rsid w:val="004004C7"/>
    <w:rsid w:val="00413214"/>
    <w:rsid w:val="004134EE"/>
    <w:rsid w:val="00421397"/>
    <w:rsid w:val="004349A4"/>
    <w:rsid w:val="00435BFE"/>
    <w:rsid w:val="00450463"/>
    <w:rsid w:val="00456C5B"/>
    <w:rsid w:val="00482DD1"/>
    <w:rsid w:val="00484151"/>
    <w:rsid w:val="004B44ED"/>
    <w:rsid w:val="004B6159"/>
    <w:rsid w:val="004D50B3"/>
    <w:rsid w:val="00514EFD"/>
    <w:rsid w:val="0053715C"/>
    <w:rsid w:val="00537FBC"/>
    <w:rsid w:val="00563953"/>
    <w:rsid w:val="00564A9C"/>
    <w:rsid w:val="00572C9B"/>
    <w:rsid w:val="00573EF0"/>
    <w:rsid w:val="005B559C"/>
    <w:rsid w:val="005C75D6"/>
    <w:rsid w:val="005E4AD4"/>
    <w:rsid w:val="00607FC1"/>
    <w:rsid w:val="00620975"/>
    <w:rsid w:val="00630A5C"/>
    <w:rsid w:val="00636CDD"/>
    <w:rsid w:val="00640715"/>
    <w:rsid w:val="0066206E"/>
    <w:rsid w:val="0066485C"/>
    <w:rsid w:val="00664B3C"/>
    <w:rsid w:val="00672331"/>
    <w:rsid w:val="006B02C6"/>
    <w:rsid w:val="006B3E78"/>
    <w:rsid w:val="006B4ACF"/>
    <w:rsid w:val="006F5CC9"/>
    <w:rsid w:val="00700254"/>
    <w:rsid w:val="00737420"/>
    <w:rsid w:val="00743B50"/>
    <w:rsid w:val="007913EE"/>
    <w:rsid w:val="007A3236"/>
    <w:rsid w:val="007A6DC1"/>
    <w:rsid w:val="007A7F8D"/>
    <w:rsid w:val="007B19FB"/>
    <w:rsid w:val="007B2999"/>
    <w:rsid w:val="007C18E1"/>
    <w:rsid w:val="007D003E"/>
    <w:rsid w:val="00801513"/>
    <w:rsid w:val="00811AA7"/>
    <w:rsid w:val="00813377"/>
    <w:rsid w:val="0085121E"/>
    <w:rsid w:val="008953F9"/>
    <w:rsid w:val="00896E58"/>
    <w:rsid w:val="008B5722"/>
    <w:rsid w:val="008F503D"/>
    <w:rsid w:val="00930B4E"/>
    <w:rsid w:val="00944045"/>
    <w:rsid w:val="00970FF0"/>
    <w:rsid w:val="009843A9"/>
    <w:rsid w:val="009A05D6"/>
    <w:rsid w:val="009A4084"/>
    <w:rsid w:val="009B7C46"/>
    <w:rsid w:val="009D43E0"/>
    <w:rsid w:val="009E74D2"/>
    <w:rsid w:val="009E7E8A"/>
    <w:rsid w:val="00A11A6D"/>
    <w:rsid w:val="00A23C93"/>
    <w:rsid w:val="00A85C22"/>
    <w:rsid w:val="00A90158"/>
    <w:rsid w:val="00AB36C4"/>
    <w:rsid w:val="00AD4C78"/>
    <w:rsid w:val="00ADA9AB"/>
    <w:rsid w:val="00AF1DCD"/>
    <w:rsid w:val="00B236BC"/>
    <w:rsid w:val="00B23EB1"/>
    <w:rsid w:val="00B30E75"/>
    <w:rsid w:val="00B34E55"/>
    <w:rsid w:val="00BA650F"/>
    <w:rsid w:val="00BE2D0E"/>
    <w:rsid w:val="00C17D30"/>
    <w:rsid w:val="00C23AB1"/>
    <w:rsid w:val="00C5737C"/>
    <w:rsid w:val="00C869BE"/>
    <w:rsid w:val="00CA0CD5"/>
    <w:rsid w:val="00CC46CC"/>
    <w:rsid w:val="00CC5E05"/>
    <w:rsid w:val="00CD0FA4"/>
    <w:rsid w:val="00CE2C8E"/>
    <w:rsid w:val="00D04F61"/>
    <w:rsid w:val="00D17514"/>
    <w:rsid w:val="00D2525B"/>
    <w:rsid w:val="00D45BDE"/>
    <w:rsid w:val="00D52C1F"/>
    <w:rsid w:val="00D55A33"/>
    <w:rsid w:val="00D661F0"/>
    <w:rsid w:val="00D77BFD"/>
    <w:rsid w:val="00D958C5"/>
    <w:rsid w:val="00DA6C6F"/>
    <w:rsid w:val="00DC7AA8"/>
    <w:rsid w:val="00DE7C51"/>
    <w:rsid w:val="00DF400E"/>
    <w:rsid w:val="00E00E8A"/>
    <w:rsid w:val="00E033A5"/>
    <w:rsid w:val="00E05B7E"/>
    <w:rsid w:val="00E12DEF"/>
    <w:rsid w:val="00E32EE1"/>
    <w:rsid w:val="00E4196C"/>
    <w:rsid w:val="00E44A2F"/>
    <w:rsid w:val="00E535EA"/>
    <w:rsid w:val="00E617DD"/>
    <w:rsid w:val="00E74842"/>
    <w:rsid w:val="00E92C6B"/>
    <w:rsid w:val="00EA2B47"/>
    <w:rsid w:val="00EB1DA0"/>
    <w:rsid w:val="00EB4325"/>
    <w:rsid w:val="00EE6492"/>
    <w:rsid w:val="00F07373"/>
    <w:rsid w:val="00F138B1"/>
    <w:rsid w:val="00F727BB"/>
    <w:rsid w:val="00FD430C"/>
    <w:rsid w:val="00FE6E78"/>
    <w:rsid w:val="011505A2"/>
    <w:rsid w:val="0252B032"/>
    <w:rsid w:val="02E8428A"/>
    <w:rsid w:val="03C55406"/>
    <w:rsid w:val="04B18360"/>
    <w:rsid w:val="04CFB980"/>
    <w:rsid w:val="06BB0C1C"/>
    <w:rsid w:val="083B1478"/>
    <w:rsid w:val="08A4E75F"/>
    <w:rsid w:val="097E6CE4"/>
    <w:rsid w:val="0A7CC135"/>
    <w:rsid w:val="0BBD2E91"/>
    <w:rsid w:val="0DB23297"/>
    <w:rsid w:val="0ED8BFC6"/>
    <w:rsid w:val="0FF25BFD"/>
    <w:rsid w:val="1017EDF3"/>
    <w:rsid w:val="106271CD"/>
    <w:rsid w:val="106F3639"/>
    <w:rsid w:val="117FC7EF"/>
    <w:rsid w:val="141ED611"/>
    <w:rsid w:val="14DD0B3D"/>
    <w:rsid w:val="1529D9A7"/>
    <w:rsid w:val="16474534"/>
    <w:rsid w:val="17528FB3"/>
    <w:rsid w:val="1856658D"/>
    <w:rsid w:val="195A4D18"/>
    <w:rsid w:val="19861481"/>
    <w:rsid w:val="1B4C38A5"/>
    <w:rsid w:val="1D1F3F53"/>
    <w:rsid w:val="1FF08A2E"/>
    <w:rsid w:val="1FF73CDC"/>
    <w:rsid w:val="20106D32"/>
    <w:rsid w:val="20C03C4A"/>
    <w:rsid w:val="237F6725"/>
    <w:rsid w:val="24F8F72F"/>
    <w:rsid w:val="27AEDD82"/>
    <w:rsid w:val="28A5DE29"/>
    <w:rsid w:val="28A93E1A"/>
    <w:rsid w:val="29B98C3D"/>
    <w:rsid w:val="29FD207B"/>
    <w:rsid w:val="2C19B0B2"/>
    <w:rsid w:val="2E36F63A"/>
    <w:rsid w:val="2EA5FBF7"/>
    <w:rsid w:val="2FD7B51B"/>
    <w:rsid w:val="30179C73"/>
    <w:rsid w:val="30BDBD08"/>
    <w:rsid w:val="31267F37"/>
    <w:rsid w:val="323E8F4D"/>
    <w:rsid w:val="32A0A688"/>
    <w:rsid w:val="338C1B63"/>
    <w:rsid w:val="339FEA7E"/>
    <w:rsid w:val="33ADB880"/>
    <w:rsid w:val="345A9BD3"/>
    <w:rsid w:val="34AA7F7A"/>
    <w:rsid w:val="36EB11FA"/>
    <w:rsid w:val="37A878E0"/>
    <w:rsid w:val="380DB50A"/>
    <w:rsid w:val="3863C751"/>
    <w:rsid w:val="3A2A9513"/>
    <w:rsid w:val="3A818409"/>
    <w:rsid w:val="3C322146"/>
    <w:rsid w:val="3E8E9ED4"/>
    <w:rsid w:val="419B657C"/>
    <w:rsid w:val="41CF4F0F"/>
    <w:rsid w:val="4327C967"/>
    <w:rsid w:val="4451B804"/>
    <w:rsid w:val="45E552CF"/>
    <w:rsid w:val="486BB4B8"/>
    <w:rsid w:val="49548B79"/>
    <w:rsid w:val="4963AD48"/>
    <w:rsid w:val="49A2E8CB"/>
    <w:rsid w:val="49A9005C"/>
    <w:rsid w:val="4A0A1444"/>
    <w:rsid w:val="4A956E84"/>
    <w:rsid w:val="4B249C7C"/>
    <w:rsid w:val="4DF88A5D"/>
    <w:rsid w:val="4E0ECDAB"/>
    <w:rsid w:val="4EE94A95"/>
    <w:rsid w:val="4F906E5A"/>
    <w:rsid w:val="50358E95"/>
    <w:rsid w:val="50AE5BD7"/>
    <w:rsid w:val="50C65F32"/>
    <w:rsid w:val="51643597"/>
    <w:rsid w:val="5345D416"/>
    <w:rsid w:val="5350A0B0"/>
    <w:rsid w:val="53868313"/>
    <w:rsid w:val="53C76E02"/>
    <w:rsid w:val="53F613BF"/>
    <w:rsid w:val="550681C6"/>
    <w:rsid w:val="55C6B8E9"/>
    <w:rsid w:val="58FE133F"/>
    <w:rsid w:val="595B26AF"/>
    <w:rsid w:val="59F0DB18"/>
    <w:rsid w:val="5DF79DD4"/>
    <w:rsid w:val="5FBCEB08"/>
    <w:rsid w:val="5FBD448C"/>
    <w:rsid w:val="60137269"/>
    <w:rsid w:val="614A506C"/>
    <w:rsid w:val="62DE2A56"/>
    <w:rsid w:val="639626EC"/>
    <w:rsid w:val="63CD610D"/>
    <w:rsid w:val="643739DB"/>
    <w:rsid w:val="649FECE8"/>
    <w:rsid w:val="651531E1"/>
    <w:rsid w:val="65C1D29D"/>
    <w:rsid w:val="65E92668"/>
    <w:rsid w:val="66228ACF"/>
    <w:rsid w:val="6644F213"/>
    <w:rsid w:val="68086C65"/>
    <w:rsid w:val="6820EF65"/>
    <w:rsid w:val="6B15018F"/>
    <w:rsid w:val="6B414632"/>
    <w:rsid w:val="6D71D97D"/>
    <w:rsid w:val="6DEEADB5"/>
    <w:rsid w:val="6F9C645D"/>
    <w:rsid w:val="6FEFE73C"/>
    <w:rsid w:val="71288025"/>
    <w:rsid w:val="715A7BF5"/>
    <w:rsid w:val="7178836C"/>
    <w:rsid w:val="730A75BD"/>
    <w:rsid w:val="730AFCCB"/>
    <w:rsid w:val="742ADCF4"/>
    <w:rsid w:val="74B0DBF0"/>
    <w:rsid w:val="7542BD77"/>
    <w:rsid w:val="76F2BE8C"/>
    <w:rsid w:val="776B1756"/>
    <w:rsid w:val="789B5647"/>
    <w:rsid w:val="78AA2383"/>
    <w:rsid w:val="7A44FDD0"/>
    <w:rsid w:val="7AAAE270"/>
    <w:rsid w:val="7AFFA707"/>
    <w:rsid w:val="7DC9B518"/>
    <w:rsid w:val="7E0C434C"/>
    <w:rsid w:val="7EFB9EE1"/>
    <w:rsid w:val="7F2865F5"/>
    <w:rsid w:val="7F76D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9BB762"/>
  <w15:docId w15:val="{358F5E79-0B01-4809-AEB0-DA3DA7F0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4"/>
        <w:szCs w:val="24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E7E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7E8A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E7E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7E8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E7E8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4" Type="http://schemas.openxmlformats.org/officeDocument/2006/relationships/numbering" Target="numbering.xml"/><Relationship Id="rId100" Type="http://schemas.openxmlformats.org/officeDocument/2006/relationships/image" Target="media/image9.png"/><Relationship Id="rIdL1" Type="http://schemas.openxmlformats.org/officeDocument/2006/relationships/hyperlink" Target="https://anypoint.mulesoft.com/exchange/org.mule.examples/mulesoft-accelerator-for-sap/minor/1.4/pages/Use%20case%203%20-%20Quote-to-cash/" TargetMode="External"/><Relationship Id="rIdL2" Type="http://schemas.openxmlformats.org/officeDocument/2006/relationships/hyperlink" Target="https://anypoint.mulesoft.com/exchange/org.mule.examples/accelerator-saphana-pricing-sys-api/" TargetMode="External"/><Relationship Id="rIdL3" Type="http://schemas.openxmlformats.org/officeDocument/2006/relationships/hyperlink" Target="https://developer.salesforce.com/docs/commerce/salesforce-commerce/guide/available-extensions.html" TargetMode="External"/><Relationship Id="rIdL4" Type="http://schemas.openxmlformats.org/officeDocument/2006/relationships/hyperlink" Target="https://architect.salesforce.com/docs/architect/decision-guides/guide/event-driven.html" TargetMode="External"/><Relationship Id="rIdL5" Type="http://schemas.openxmlformats.org/officeDocument/2006/relationships/hyperlink" Target="https://help.sap.com/docs/SAP_MASTER_DATA_GOVERNANCE/e605401fa254458cbe47498c514d42ce/c9c166fecde94d968db4faa1c9eab709.html" TargetMode="External"/><Relationship Id="rIdL6" Type="http://schemas.openxmlformats.org/officeDocument/2006/relationships/hyperlink" Target="https://anypoint.mulesoft.com/exchange/org.mule.templates/template-sfdc2sap-product-bidirectional-sync/" TargetMode="External"/><Relationship Id="rIdL7" Type="http://schemas.openxmlformats.org/officeDocument/2006/relationships/hyperlink" Target="https://trailhead.salesforce.com/content/learn/modules/price-management-with-revenue-cloud/create-a-pricing-procedure-with-the-list-price-element" TargetMode="External"/><Relationship Id="rIdL8" Type="http://schemas.openxmlformats.org/officeDocument/2006/relationships/hyperlink" Target="https://www.salesforceben.com/best-practices-for-integrating-salesforce-with-sap/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8C50088F88624A80EED7E6E5DB36EA" ma:contentTypeVersion="10" ma:contentTypeDescription="Create a new document." ma:contentTypeScope="" ma:versionID="495ae81dcf3e4281c8267d1137f23dad">
  <xsd:schema xmlns:xsd="http://www.w3.org/2001/XMLSchema" xmlns:xs="http://www.w3.org/2001/XMLSchema" xmlns:p="http://schemas.microsoft.com/office/2006/metadata/properties" xmlns:ns2="58612051-6a2c-4237-afed-563c9076a482" targetNamespace="http://schemas.microsoft.com/office/2006/metadata/properties" ma:root="true" ma:fieldsID="020da2161cc3097824a9fb9f9b8ae534" ns2:_="">
    <xsd:import namespace="58612051-6a2c-4237-afed-563c9076a4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612051-6a2c-4237-afed-563c9076a4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BEA823-B30C-467C-9A33-9E521CF80D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4C03BCB-3C7D-4DB6-BDE0-50301EDF3C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612051-6a2c-4237-afed-563c9076a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50A180-1014-4753-BF9B-5FDBEABF0E1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Melisa Vallejo</lastModifiedBy>
  <revision>30</revision>
  <dcterms:created xsi:type="dcterms:W3CDTF">2026-07-22T20:01:00.0000000Z</dcterms:created>
  <dcterms:modified xsi:type="dcterms:W3CDTF">2026-08-05T18:36:00.9013684Z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0x0101006B8C50088F88624A80EED7E6E5DB36EA</vt:lpwstr>
  </property>
  <property fmtid="{D5CDD505-2E9C-101B-9397-08002B2CF9AE}" pid="3" name="MSIP_Label_558ba708-a790-4000-a9d9-ab3612d85bee_Enabled">
    <vt:lpwstr>true</vt:lpwstr>
  </property>
  <property fmtid="{D5CDD505-2E9C-101B-9397-08002B2CF9AE}" pid="4" name="MSIP_Label_558ba708-a790-4000-a9d9-ab3612d85bee_SetDate">
    <vt:lpwstr>2026-07-22T20:01:44Z</vt:lpwstr>
  </property>
  <property fmtid="{D5CDD505-2E9C-101B-9397-08002B2CF9AE}" pid="5" name="MSIP_Label_558ba708-a790-4000-a9d9-ab3612d85bee_Method">
    <vt:lpwstr>Standard</vt:lpwstr>
  </property>
  <property fmtid="{D5CDD505-2E9C-101B-9397-08002B2CF9AE}" pid="6" name="MSIP_Label_558ba708-a790-4000-a9d9-ab3612d85bee_Name">
    <vt:lpwstr>558ba708-a790-4000-a9d9-ab3612d85bee</vt:lpwstr>
  </property>
  <property fmtid="{D5CDD505-2E9C-101B-9397-08002B2CF9AE}" pid="7" name="MSIP_Label_558ba708-a790-4000-a9d9-ab3612d85bee_SiteId">
    <vt:lpwstr>c1e1ed72-f1a4-4049-9e46-4c91471e0e87</vt:lpwstr>
  </property>
  <property fmtid="{D5CDD505-2E9C-101B-9397-08002B2CF9AE}" pid="8" name="MSIP_Label_558ba708-a790-4000-a9d9-ab3612d85bee_ActionId">
    <vt:lpwstr>50287b9e-2b5c-4cf8-adc7-f84bce9da21b</vt:lpwstr>
  </property>
  <property fmtid="{D5CDD505-2E9C-101B-9397-08002B2CF9AE}" pid="9" name="MSIP_Label_558ba708-a790-4000-a9d9-ab3612d85bee_ContentBits">
    <vt:lpwstr>0</vt:lpwstr>
  </property>
  <property fmtid="{D5CDD505-2E9C-101B-9397-08002B2CF9AE}" pid="10" name="MSIP_Label_558ba708-a790-4000-a9d9-ab3612d85bee_Tag">
    <vt:lpwstr>10, 3, 0, 2</vt:lpwstr>
  </property>
</Properties>
</file>