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595959"/>
          <w:sz w:val="22"/>
          <w:szCs w:val="22"/>
        </w:rPr>
        <w:t xml:space="preserve">TENDER EVALUATION REPORT</w:t>
      </w:r>
    </w:p>
    <w:p>
      <w:pPr>
        <w:spacing w:after="60"/>
      </w:pPr>
      <w:r>
        <w:rPr>
          <w:rFonts w:ascii="Calibri" w:cs="Calibri" w:eastAsia="Calibri" w:hAnsi="Calibri"/>
          <w:b/>
          <w:bCs/>
          <w:color w:val="1F3864"/>
          <w:sz w:val="40"/>
          <w:szCs w:val="40"/>
        </w:rPr>
        <w:t xml:space="preserve">Addressable Fire Detection and Alarm System</w:t>
      </w:r>
    </w:p>
    <w:p>
      <w:pPr>
        <w:spacing w:after="240"/>
      </w:pPr>
      <w:r>
        <w:rPr>
          <w:rFonts w:ascii="Calibri" w:cs="Calibri" w:eastAsia="Calibri" w:hAnsi="Calibri"/>
          <w:color w:val="595959"/>
          <w:sz w:val="24"/>
          <w:szCs w:val="24"/>
        </w:rPr>
        <w:t xml:space="preserve">Repair, Replacement, Upgrade, Testing and Recommissioning</w:t>
      </w:r>
    </w:p>
    <w:p>
      <w:pPr>
        <w:pBdr>
          <w:bottom w:val="single" w:color="1F3864" w:sz="6"/>
        </w:pBdr>
        <w:spacing w:after="160" w:before="60"/>
      </w:pPr>
    </w:p>
    <w:p>
      <w:pPr>
        <w:spacing w:after="240" w:line="276"/>
      </w:pPr>
      <w:r>
        <w:rPr>
          <w:rFonts w:ascii="Calibri" w:cs="Calibri" w:eastAsia="Calibri" w:hAnsi="Calibri"/>
          <w:i/>
          <w:iCs/>
          <w:color w:val="595959"/>
          <w:sz w:val="20"/>
          <w:szCs w:val="20"/>
        </w:rPr>
        <w:t xml:space="preserve">Commercial and technical review of five tender submissions received against the Client's Request for Proposal, together with independent verification of market pricing, equipment specification and the condition of the existing installation.</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6820"/>
      </w:tblGrid>
      <w:tr>
        <w:trPr>
          <w:tblHeader/>
        </w:trPr>
        <w:tc>
          <w:tcPr>
            <w:tcW w:type="dxa" w:w="22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Field</w:t>
            </w:r>
          </w:p>
        </w:tc>
        <w:tc>
          <w:tcPr>
            <w:tcW w:type="dxa" w:w="682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Detail</w:t>
            </w:r>
          </w:p>
        </w:tc>
      </w:tr>
      <w:tr>
        <w:trPr>
          <w:tblHeader w:val="false"/>
        </w:trPr>
        <w:tc>
          <w:tcPr>
            <w:tcW w:type="dxa" w:w="2200"/>
            <w:tcMar>
              <w:top w:type="dxa" w:w="60"/>
              <w:left w:type="dxa" w:w="100"/>
              <w:bottom w:type="dxa" w:w="60"/>
              <w:right w:type="dxa" w:w="100"/>
            </w:tcMar>
          </w:tcPr>
          <w:p>
            <w:pPr>
              <w:spacing w:after="0" w:line="240"/>
            </w:pPr>
            <w:r>
              <w:rPr>
                <w:rFonts w:ascii="Calibri" w:cs="Calibri" w:eastAsia="Calibri" w:hAnsi="Calibri"/>
                <w:b/>
                <w:bCs/>
                <w:color w:val="000000"/>
                <w:sz w:val="18"/>
                <w:szCs w:val="18"/>
              </w:rPr>
              <w:t xml:space="preserve">Subject</w:t>
            </w:r>
          </w:p>
        </w:tc>
        <w:tc>
          <w:tcPr>
            <w:tcW w:type="dxa" w:w="682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Addressable fire detection and alarm system serving a multi-tenant retail mall</w:t>
            </w:r>
          </w:p>
        </w:tc>
      </w:tr>
      <w:tr>
        <w:trPr>
          <w:tblHeader w:val="false"/>
        </w:trPr>
        <w:tc>
          <w:tcPr>
            <w:tcW w:type="dxa" w:w="2200"/>
            <w:shd w:fill="F2F5FA" w:color="auto" w:val="clear"/>
            <w:tcMar>
              <w:top w:type="dxa" w:w="60"/>
              <w:left w:type="dxa" w:w="100"/>
              <w:bottom w:type="dxa" w:w="60"/>
              <w:right w:type="dxa" w:w="100"/>
            </w:tcMar>
          </w:tcPr>
          <w:p>
            <w:pPr>
              <w:spacing w:after="0" w:line="240"/>
            </w:pPr>
            <w:r>
              <w:rPr>
                <w:rFonts w:ascii="Calibri" w:cs="Calibri" w:eastAsia="Calibri" w:hAnsi="Calibri"/>
                <w:b/>
                <w:bCs/>
                <w:color w:val="000000"/>
                <w:sz w:val="18"/>
                <w:szCs w:val="18"/>
              </w:rPr>
              <w:t xml:space="preserve">Existing system</w:t>
            </w:r>
          </w:p>
        </w:tc>
        <w:tc>
          <w:tcPr>
            <w:tcW w:type="dxa" w:w="682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Honeywell GENT Vigilon family, addressable</w:t>
            </w:r>
          </w:p>
        </w:tc>
      </w:tr>
      <w:tr>
        <w:trPr>
          <w:tblHeader w:val="false"/>
        </w:trPr>
        <w:tc>
          <w:tcPr>
            <w:tcW w:type="dxa" w:w="2200"/>
            <w:tcMar>
              <w:top w:type="dxa" w:w="60"/>
              <w:left w:type="dxa" w:w="100"/>
              <w:bottom w:type="dxa" w:w="60"/>
              <w:right w:type="dxa" w:w="100"/>
            </w:tcMar>
          </w:tcPr>
          <w:p>
            <w:pPr>
              <w:spacing w:after="0" w:line="240"/>
            </w:pPr>
            <w:r>
              <w:rPr>
                <w:rFonts w:ascii="Calibri" w:cs="Calibri" w:eastAsia="Calibri" w:hAnsi="Calibri"/>
                <w:b/>
                <w:bCs/>
                <w:color w:val="000000"/>
                <w:sz w:val="18"/>
                <w:szCs w:val="18"/>
              </w:rPr>
              <w:t xml:space="preserve">Scope tendered</w:t>
            </w:r>
          </w:p>
        </w:tc>
        <w:tc>
          <w:tcPr>
            <w:tcW w:type="dxa" w:w="682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13-line bill of quantities; approx. 540 field devices; 2 control panels</w:t>
            </w:r>
          </w:p>
        </w:tc>
      </w:tr>
      <w:tr>
        <w:trPr>
          <w:tblHeader w:val="false"/>
        </w:trPr>
        <w:tc>
          <w:tcPr>
            <w:tcW w:type="dxa" w:w="2200"/>
            <w:shd w:fill="F2F5FA" w:color="auto" w:val="clear"/>
            <w:tcMar>
              <w:top w:type="dxa" w:w="60"/>
              <w:left w:type="dxa" w:w="100"/>
              <w:bottom w:type="dxa" w:w="60"/>
              <w:right w:type="dxa" w:w="100"/>
            </w:tcMar>
          </w:tcPr>
          <w:p>
            <w:pPr>
              <w:spacing w:after="0" w:line="240"/>
            </w:pPr>
            <w:r>
              <w:rPr>
                <w:rFonts w:ascii="Calibri" w:cs="Calibri" w:eastAsia="Calibri" w:hAnsi="Calibri"/>
                <w:b/>
                <w:bCs/>
                <w:color w:val="000000"/>
                <w:sz w:val="18"/>
                <w:szCs w:val="18"/>
              </w:rPr>
              <w:t xml:space="preserve">Submissions received</w:t>
            </w:r>
          </w:p>
        </w:tc>
        <w:tc>
          <w:tcPr>
            <w:tcW w:type="dxa" w:w="682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5</w:t>
            </w:r>
          </w:p>
        </w:tc>
      </w:tr>
      <w:tr>
        <w:trPr>
          <w:tblHeader w:val="false"/>
        </w:trPr>
        <w:tc>
          <w:tcPr>
            <w:tcW w:type="dxa" w:w="2200"/>
            <w:tcMar>
              <w:top w:type="dxa" w:w="60"/>
              <w:left w:type="dxa" w:w="100"/>
              <w:bottom w:type="dxa" w:w="60"/>
              <w:right w:type="dxa" w:w="100"/>
            </w:tcMar>
          </w:tcPr>
          <w:p>
            <w:pPr>
              <w:spacing w:after="0" w:line="240"/>
            </w:pPr>
            <w:r>
              <w:rPr>
                <w:rFonts w:ascii="Calibri" w:cs="Calibri" w:eastAsia="Calibri" w:hAnsi="Calibri"/>
                <w:b/>
                <w:bCs/>
                <w:color w:val="000000"/>
                <w:sz w:val="18"/>
                <w:szCs w:val="18"/>
              </w:rPr>
              <w:t xml:space="preserve">Bid range (as quoted)</w:t>
            </w:r>
          </w:p>
        </w:tc>
        <w:tc>
          <w:tcPr>
            <w:tcW w:type="dxa" w:w="682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NGN 36,729,991 to NGN 93,336,875 including VAT</w:t>
            </w:r>
          </w:p>
        </w:tc>
      </w:tr>
      <w:tr>
        <w:trPr>
          <w:tblHeader w:val="false"/>
        </w:trPr>
        <w:tc>
          <w:tcPr>
            <w:tcW w:type="dxa" w:w="2200"/>
            <w:shd w:fill="F2F5FA" w:color="auto" w:val="clear"/>
            <w:tcMar>
              <w:top w:type="dxa" w:w="60"/>
              <w:left w:type="dxa" w:w="100"/>
              <w:bottom w:type="dxa" w:w="60"/>
              <w:right w:type="dxa" w:w="100"/>
            </w:tcMar>
          </w:tcPr>
          <w:p>
            <w:pPr>
              <w:spacing w:after="0" w:line="240"/>
            </w:pPr>
            <w:r>
              <w:rPr>
                <w:rFonts w:ascii="Calibri" w:cs="Calibri" w:eastAsia="Calibri" w:hAnsi="Calibri"/>
                <w:b/>
                <w:bCs/>
                <w:color w:val="000000"/>
                <w:sz w:val="18"/>
                <w:szCs w:val="18"/>
              </w:rPr>
              <w:t xml:space="preserve">Currency</w:t>
            </w:r>
          </w:p>
        </w:tc>
        <w:tc>
          <w:tcPr>
            <w:tcW w:type="dxa" w:w="682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Nigerian Naira (NGN). FX reference GBP 1 = NGN 1,837.89</w:t>
            </w:r>
          </w:p>
        </w:tc>
      </w:tr>
      <w:tr>
        <w:trPr>
          <w:tblHeader w:val="false"/>
        </w:trPr>
        <w:tc>
          <w:tcPr>
            <w:tcW w:type="dxa" w:w="2200"/>
            <w:tcMar>
              <w:top w:type="dxa" w:w="60"/>
              <w:left w:type="dxa" w:w="100"/>
              <w:bottom w:type="dxa" w:w="60"/>
              <w:right w:type="dxa" w:w="100"/>
            </w:tcMar>
          </w:tcPr>
          <w:p>
            <w:pPr>
              <w:spacing w:after="0" w:line="240"/>
            </w:pPr>
            <w:r>
              <w:rPr>
                <w:rFonts w:ascii="Calibri" w:cs="Calibri" w:eastAsia="Calibri" w:hAnsi="Calibri"/>
                <w:b/>
                <w:bCs/>
                <w:color w:val="000000"/>
                <w:sz w:val="18"/>
                <w:szCs w:val="18"/>
              </w:rPr>
              <w:t xml:space="preserve">Status</w:t>
            </w:r>
          </w:p>
        </w:tc>
        <w:tc>
          <w:tcPr>
            <w:tcW w:type="dxa" w:w="682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For Client decision — not a technical or safety certification</w:t>
            </w:r>
          </w:p>
        </w:tc>
      </w:tr>
    </w:tbl>
    <w:p>
      <w:r>
        <w:br w:type="page"/>
      </w:r>
    </w:p>
    <w:p>
      <w:pPr>
        <w:pStyle w:val="Heading1"/>
        <w:spacing w:after="160" w:before="360"/>
      </w:pPr>
      <w:r>
        <w:rPr>
          <w:rFonts w:ascii="Calibri" w:cs="Calibri" w:eastAsia="Calibri" w:hAnsi="Calibri"/>
          <w:b/>
          <w:bCs/>
          <w:color w:val="1F3864"/>
          <w:sz w:val="28"/>
          <w:szCs w:val="28"/>
        </w:rPr>
        <w:t xml:space="preserve">Executive summary</w:t>
      </w:r>
    </w:p>
    <w:p>
      <w:pPr>
        <w:spacing w:after="120" w:line="276"/>
      </w:pPr>
      <w:r>
        <w:rPr>
          <w:rFonts w:ascii="Calibri" w:cs="Calibri" w:eastAsia="Calibri" w:hAnsi="Calibri"/>
          <w:sz w:val="20"/>
          <w:szCs w:val="20"/>
        </w:rPr>
        <w:t xml:space="preserve">Five submissions were received against the Client's bill of quantities. On price alone they range from NGN 36.7m to NGN 93.3m — a spread of more than two and a half times for what is nominally the same scope of work. That spread is not explained by commercial competitiveness. It is explained by the bidders having priced materially different things.</w:t>
      </w:r>
    </w:p>
    <w:p>
      <w:pPr>
        <w:spacing w:after="120" w:line="276"/>
      </w:pPr>
      <w:r>
        <w:rPr>
          <w:rFonts w:ascii="Calibri" w:cs="Calibri" w:eastAsia="Calibri" w:hAnsi="Calibri"/>
          <w:b/>
          <w:bCs/>
          <w:sz w:val="20"/>
          <w:szCs w:val="20"/>
        </w:rPr>
        <w:t xml:space="preserve">Three findings should be resolved before any award is made.</w:t>
      </w:r>
    </w:p>
    <w:p>
      <w:pPr>
        <w:spacing w:after="120" w:line="276"/>
      </w:pPr>
      <w:r>
        <w:rPr>
          <w:rFonts w:ascii="Calibri" w:cs="Calibri" w:eastAsia="Calibri" w:hAnsi="Calibri"/>
          <w:b/>
          <w:bCs/>
          <w:sz w:val="20"/>
          <w:szCs w:val="20"/>
        </w:rPr>
        <w:t xml:space="preserve">First — no submission can presently be compared with another on equipment. </w:t>
      </w:r>
      <w:r>
        <w:rPr>
          <w:rFonts w:ascii="Calibri" w:cs="Calibri" w:eastAsia="Calibri" w:hAnsi="Calibri"/>
          <w:sz w:val="20"/>
          <w:szCs w:val="20"/>
        </w:rPr>
        <w:t xml:space="preserve">Six of the eleven equipment lines describe a category of device rather than a part number, and the bidders have responded in kind. Three of the four compliant submissions quote an identical unit rate for the smoke detector and the heat detector, although the specification describes the latter as carrying an integrated visual alarm device and it must therefore cost more. The most probable explanation is that a single generic detector has been priced across both lines. Until every bidder states an exact part number, the equipment columns are not a like-for-like comparison.</w:t>
      </w:r>
    </w:p>
    <w:p>
      <w:pPr>
        <w:spacing w:after="120" w:line="276"/>
      </w:pPr>
      <w:r>
        <w:rPr>
          <w:rFonts w:ascii="Calibri" w:cs="Calibri" w:eastAsia="Calibri" w:hAnsi="Calibri"/>
          <w:b/>
          <w:bCs/>
          <w:sz w:val="20"/>
          <w:szCs w:val="20"/>
        </w:rPr>
        <w:t xml:space="preserve">Second — the preliminaries and builders' work allowances are not credible as priced. </w:t>
      </w:r>
      <w:r>
        <w:rPr>
          <w:rFonts w:ascii="Calibri" w:cs="Calibri" w:eastAsia="Calibri" w:hAnsi="Calibri"/>
          <w:sz w:val="20"/>
          <w:szCs w:val="20"/>
        </w:rPr>
        <w:t xml:space="preserve">Expressed as a rate, the containment allowance ranges from NGN 167 to NGN 1,717 per metre of cable route and the builders' work allowance from NGN 926 to NGN 9,815 per device — a tenfold spread at both ends. The lowest figures are the greater risk: an allowance that has not been scoped does not stay cheap, it returns as a variation once the contractor is on site and competitive tension has gone.</w:t>
      </w:r>
    </w:p>
    <w:p>
      <w:pPr>
        <w:spacing w:after="120" w:line="276"/>
      </w:pPr>
      <w:r>
        <w:rPr>
          <w:rFonts w:ascii="Calibri" w:cs="Calibri" w:eastAsia="Calibri" w:hAnsi="Calibri"/>
          <w:b/>
          <w:bCs/>
          <w:sz w:val="20"/>
          <w:szCs w:val="20"/>
        </w:rPr>
        <w:t xml:space="preserve">Third — no bidder has evidenced manufacturer certification. </w:t>
      </w:r>
      <w:r>
        <w:rPr>
          <w:rFonts w:ascii="Calibri" w:cs="Calibri" w:eastAsia="Calibri" w:hAnsi="Calibri"/>
          <w:sz w:val="20"/>
          <w:szCs w:val="20"/>
        </w:rPr>
        <w:t xml:space="preserve">The equipment family in question restricts its commissioning software to engineers certified by the manufacturer. Without such an engineer the panel cannot be lawfully programmed, tested or certificated. No submission addresses this, and it is a more material discriminator than price.</w:t>
      </w:r>
    </w:p>
    <w:p>
      <w:pPr>
        <w:spacing w:after="160" w:line="276"/>
      </w:pPr>
      <w:r>
        <w:rPr>
          <w:rFonts w:ascii="Calibri" w:cs="Calibri" w:eastAsia="Calibri" w:hAnsi="Calibri"/>
          <w:sz w:val="20"/>
          <w:szCs w:val="20"/>
        </w:rPr>
        <w:t xml:space="preserve">On a like-for-like basis, after correcting an arithmetic error in one bid and imputing scope another failed to price, the four compliant submissions rank as follows.</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560"/>
        <w:gridCol w:w="1720"/>
        <w:gridCol w:w="1720"/>
        <w:gridCol w:w="1560"/>
        <w:gridCol w:w="1460"/>
      </w:tblGrid>
      <w:tr>
        <w:trPr>
          <w:tblHeader/>
        </w:trPr>
        <w:tc>
          <w:tcPr>
            <w:tcW w:type="dxa" w:w="25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Bidder</w:t>
            </w:r>
          </w:p>
        </w:tc>
        <w:tc>
          <w:tcPr>
            <w:tcW w:type="dxa" w:w="172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As quoted</w:t>
            </w:r>
          </w:p>
        </w:tc>
        <w:tc>
          <w:tcPr>
            <w:tcW w:type="dxa" w:w="172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Adjusted</w:t>
            </w:r>
          </w:p>
        </w:tc>
        <w:tc>
          <w:tcPr>
            <w:tcW w:type="dxa" w:w="15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Rank</w:t>
            </w:r>
          </w:p>
        </w:tc>
        <w:tc>
          <w:tcPr>
            <w:tcW w:type="dxa" w:w="14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Premium</w:t>
            </w:r>
          </w:p>
        </w:tc>
      </w:tr>
      <w:tr>
        <w:trPr>
          <w:tblHeader w:val="false"/>
        </w:trPr>
        <w:tc>
          <w:tcPr>
            <w:tcW w:type="dxa" w:w="256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JML / Fadayomi</w:t>
            </w:r>
          </w:p>
        </w:tc>
        <w:tc>
          <w:tcPr>
            <w:tcW w:type="dxa" w:w="172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73,153,750</w:t>
            </w:r>
          </w:p>
        </w:tc>
        <w:tc>
          <w:tcPr>
            <w:tcW w:type="dxa" w:w="172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76,862,500</w:t>
            </w:r>
          </w:p>
        </w:tc>
        <w:tc>
          <w:tcPr>
            <w:tcW w:type="dxa" w:w="156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1</w:t>
            </w:r>
          </w:p>
        </w:tc>
        <w:tc>
          <w:tcPr>
            <w:tcW w:type="dxa" w:w="14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w:t>
            </w:r>
          </w:p>
        </w:tc>
      </w:tr>
      <w:tr>
        <w:trPr>
          <w:tblHeader w:val="false"/>
        </w:trPr>
        <w:tc>
          <w:tcPr>
            <w:tcW w:type="dxa" w:w="256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Potreal (PISL)</w:t>
            </w:r>
          </w:p>
        </w:tc>
        <w:tc>
          <w:tcPr>
            <w:tcW w:type="dxa" w:w="172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79,001,750</w:t>
            </w:r>
          </w:p>
        </w:tc>
        <w:tc>
          <w:tcPr>
            <w:tcW w:type="dxa" w:w="172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79,001,750</w:t>
            </w:r>
          </w:p>
        </w:tc>
        <w:tc>
          <w:tcPr>
            <w:tcW w:type="dxa" w:w="156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2</w:t>
            </w:r>
          </w:p>
        </w:tc>
        <w:tc>
          <w:tcPr>
            <w:tcW w:type="dxa" w:w="14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+2.8%</w:t>
            </w:r>
          </w:p>
        </w:tc>
      </w:tr>
      <w:tr>
        <w:trPr>
          <w:tblHeader w:val="false"/>
        </w:trPr>
        <w:tc>
          <w:tcPr>
            <w:tcW w:type="dxa" w:w="256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Emo-Technical</w:t>
            </w:r>
          </w:p>
        </w:tc>
        <w:tc>
          <w:tcPr>
            <w:tcW w:type="dxa" w:w="172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84,066,613</w:t>
            </w:r>
          </w:p>
        </w:tc>
        <w:tc>
          <w:tcPr>
            <w:tcW w:type="dxa" w:w="172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84,066,613</w:t>
            </w:r>
          </w:p>
        </w:tc>
        <w:tc>
          <w:tcPr>
            <w:tcW w:type="dxa" w:w="156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3</w:t>
            </w:r>
          </w:p>
        </w:tc>
        <w:tc>
          <w:tcPr>
            <w:tcW w:type="dxa" w:w="14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+9.4%</w:t>
            </w:r>
          </w:p>
        </w:tc>
      </w:tr>
      <w:tr>
        <w:trPr>
          <w:tblHeader w:val="false"/>
        </w:trPr>
        <w:tc>
          <w:tcPr>
            <w:tcW w:type="dxa" w:w="256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TotaGO</w:t>
            </w:r>
          </w:p>
        </w:tc>
        <w:tc>
          <w:tcPr>
            <w:tcW w:type="dxa" w:w="172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93,336,875</w:t>
            </w:r>
          </w:p>
        </w:tc>
        <w:tc>
          <w:tcPr>
            <w:tcW w:type="dxa" w:w="172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93,014,375</w:t>
            </w:r>
          </w:p>
        </w:tc>
        <w:tc>
          <w:tcPr>
            <w:tcW w:type="dxa" w:w="156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4</w:t>
            </w:r>
          </w:p>
        </w:tc>
        <w:tc>
          <w:tcPr>
            <w:tcW w:type="dxa" w:w="14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+21.0%</w:t>
            </w:r>
          </w:p>
        </w:tc>
      </w:tr>
      <w:tr>
        <w:trPr>
          <w:tblHeader w:val="false"/>
        </w:trPr>
        <w:tc>
          <w:tcPr>
            <w:tcW w:type="dxa" w:w="2560"/>
            <w:shd w:fill="FFF2CC"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Roundbox (non-compliant)</w:t>
            </w:r>
          </w:p>
        </w:tc>
        <w:tc>
          <w:tcPr>
            <w:tcW w:type="dxa" w:w="1720"/>
            <w:shd w:fill="FFF2CC"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36,729,991</w:t>
            </w:r>
          </w:p>
        </w:tc>
        <w:tc>
          <w:tcPr>
            <w:tcW w:type="dxa" w:w="1720"/>
            <w:shd w:fill="FFF2CC"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37,701,038</w:t>
            </w:r>
          </w:p>
        </w:tc>
        <w:tc>
          <w:tcPr>
            <w:tcW w:type="dxa" w:w="1560"/>
            <w:shd w:fill="FFF2CC"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n/a</w:t>
            </w:r>
          </w:p>
        </w:tc>
        <w:tc>
          <w:tcPr>
            <w:tcW w:type="dxa" w:w="1460"/>
            <w:shd w:fill="FFF2CC"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not comparable</w:t>
            </w:r>
          </w:p>
        </w:tc>
      </w:tr>
    </w:tbl>
    <w:p>
      <w:pPr>
        <w:spacing w:after="120" w:line="276"/>
      </w:pPr>
      <w:r>
        <w:rPr>
          <w:rFonts w:ascii="Calibri" w:cs="Calibri" w:eastAsia="Calibri" w:hAnsi="Calibri"/>
          <w:i/>
          <w:iCs/>
          <w:color w:val="595959"/>
          <w:sz w:val="18"/>
          <w:szCs w:val="18"/>
        </w:rPr>
        <w:t xml:space="preserve">Roundbox is excluded from the ranking. Its submission substitutes a different manufacturer's equipment throughout, which the Client's own specification prohibits on compatibility grounds. Its price is therefore not a discount on the tendered work but a quotation for a different project.</w:t>
      </w:r>
    </w:p>
    <w:p>
      <w:pPr>
        <w:spacing w:after="120" w:line="276"/>
      </w:pPr>
      <w:r>
        <w:rPr>
          <w:rFonts w:ascii="Calibri" w:cs="Calibri" w:eastAsia="Calibri" w:hAnsi="Calibri"/>
          <w:b/>
          <w:bCs/>
          <w:sz w:val="20"/>
          <w:szCs w:val="20"/>
        </w:rPr>
        <w:t xml:space="preserve">The recommendation of this review is that the tender is not yet in a state to be awarded. The specification should be corrected, the existing panel assessed, and revised prices sought on a common basis. The cost of doing so is a short delay. The cost of not doing so is a contract in which neither party knows what is being bought.</w:t>
      </w:r>
    </w:p>
    <w:p>
      <w:r>
        <w:br w:type="page"/>
      </w:r>
    </w:p>
    <w:p>
      <w:pPr>
        <w:pStyle w:val="Heading1"/>
        <w:spacing w:after="160" w:before="360"/>
      </w:pPr>
      <w:r>
        <w:rPr>
          <w:rFonts w:ascii="Calibri" w:cs="Calibri" w:eastAsia="Calibri" w:hAnsi="Calibri"/>
          <w:b/>
          <w:bCs/>
          <w:color w:val="1F3864"/>
          <w:sz w:val="28"/>
          <w:szCs w:val="28"/>
        </w:rPr>
        <w:t xml:space="preserve">1. Basis and scope of this review</w:t>
      </w:r>
    </w:p>
    <w:p>
      <w:pPr>
        <w:pStyle w:val="Heading2"/>
        <w:spacing w:after="120" w:before="260"/>
      </w:pPr>
      <w:r>
        <w:rPr>
          <w:rFonts w:ascii="Calibri" w:cs="Calibri" w:eastAsia="Calibri" w:hAnsi="Calibri"/>
          <w:b/>
          <w:bCs/>
          <w:color w:val="1F3864"/>
          <w:sz w:val="23"/>
          <w:szCs w:val="23"/>
        </w:rPr>
        <w:t xml:space="preserve">1.1 Stated basis of evaluation</w:t>
      </w:r>
    </w:p>
    <w:p>
      <w:pPr>
        <w:spacing w:after="120" w:line="276"/>
      </w:pPr>
      <w:r>
        <w:rPr>
          <w:rFonts w:ascii="Calibri" w:cs="Calibri" w:eastAsia="Calibri" w:hAnsi="Calibri"/>
          <w:b/>
          <w:bCs/>
          <w:sz w:val="20"/>
          <w:szCs w:val="20"/>
        </w:rPr>
        <w:t xml:space="preserve">For the purpose of this evaluation it has been assumed that the existing main control panel is no longer serviceable and therefore requires complete replacement. The requirement in the Request for Proposal for a new addressable main control panel has accordingly been accepted as valid, and has formed the basis of this assessment.</w:t>
      </w:r>
    </w:p>
    <w:p>
      <w:pPr>
        <w:spacing w:after="120" w:line="276"/>
      </w:pPr>
      <w:r>
        <w:rPr>
          <w:rFonts w:ascii="Calibri" w:cs="Calibri" w:eastAsia="Calibri" w:hAnsi="Calibri"/>
          <w:b/>
          <w:bCs/>
          <w:i/>
          <w:iCs/>
          <w:sz w:val="18"/>
          <w:szCs w:val="18"/>
        </w:rPr>
        <w:t xml:space="preserve">This is a stated assumption, not a finding of this review. </w:t>
      </w:r>
      <w:r>
        <w:rPr>
          <w:rFonts w:ascii="Calibri" w:cs="Calibri" w:eastAsia="Calibri" w:hAnsi="Calibri"/>
          <w:i/>
          <w:iCs/>
          <w:sz w:val="18"/>
          <w:szCs w:val="18"/>
        </w:rPr>
        <w:t xml:space="preserve">No functional testing of the existing panel was carried out, and none of the photographic evidence examined establishes that the panel has failed. The assumption is recorded here so that it is visible to any subsequent reader, and so that the conclusions which depend on it can be revisited if the premise changes. Section 6 sets out what the physical evidence does and does not show.</w:t>
      </w:r>
    </w:p>
    <w:p>
      <w:pPr>
        <w:spacing w:after="120" w:line="276"/>
      </w:pPr>
      <w:r>
        <w:rPr>
          <w:rFonts w:ascii="Calibri" w:cs="Calibri" w:eastAsia="Calibri" w:hAnsi="Calibri"/>
          <w:sz w:val="20"/>
          <w:szCs w:val="20"/>
        </w:rPr>
        <w:t xml:space="preserve">Accepting this basis does not carry with it the related lines. The requirement for an expansion panel, for the number and type of loop cards, and for the quantity of network cards are separate questions determined by loop loading and system architecture rather than by the condition of the main panel. Those remain open and are addressed in sections 5 and 9.</w:t>
      </w:r>
    </w:p>
    <w:p>
      <w:pPr>
        <w:pStyle w:val="Heading2"/>
        <w:spacing w:after="120" w:before="260"/>
      </w:pPr>
      <w:r>
        <w:rPr>
          <w:rFonts w:ascii="Calibri" w:cs="Calibri" w:eastAsia="Calibri" w:hAnsi="Calibri"/>
          <w:b/>
          <w:bCs/>
          <w:color w:val="1F3864"/>
          <w:sz w:val="23"/>
          <w:szCs w:val="23"/>
        </w:rPr>
        <w:t xml:space="preserve">1.2 Work performed</w:t>
      </w:r>
    </w:p>
    <w:p>
      <w:pPr>
        <w:spacing w:after="120" w:line="276"/>
      </w:pPr>
      <w:r>
        <w:rPr>
          <w:rFonts w:ascii="Calibri" w:cs="Calibri" w:eastAsia="Calibri" w:hAnsi="Calibri"/>
          <w:sz w:val="20"/>
          <w:szCs w:val="20"/>
        </w:rPr>
        <w:t xml:space="preserve">This review examined the Client's Request for Proposal and the five submissions received against it. It compares price, scope coverage and commercial compliance, and cross-checks equipment pricing against independently obtained market data.</w:t>
      </w:r>
    </w:p>
    <w:p>
      <w:pPr>
        <w:spacing w:after="120" w:line="276"/>
      </w:pPr>
      <w:r>
        <w:rPr>
          <w:rFonts w:ascii="Calibri" w:cs="Calibri" w:eastAsia="Calibri" w:hAnsi="Calibri"/>
          <w:sz w:val="20"/>
          <w:szCs w:val="20"/>
        </w:rPr>
        <w:t xml:space="preserve">The following were carried out:</w:t>
      </w:r>
    </w:p>
    <w:p>
      <w:pPr>
        <w:pStyle w:val="ListParagraph"/>
        <w:numPr>
          <w:ilvl w:val="0"/>
          <w:numId w:val="2"/>
        </w:numPr>
        <w:spacing w:after="80" w:line="276"/>
      </w:pPr>
      <w:r>
        <w:rPr>
          <w:rFonts w:ascii="Calibri" w:cs="Calibri" w:eastAsia="Calibri" w:hAnsi="Calibri"/>
          <w:sz w:val="20"/>
          <w:szCs w:val="20"/>
        </w:rPr>
        <w:t xml:space="preserve">Every line of every submission was transcribed and mapped onto the Client's 13-line bill of quantities. The resulting tabulation reconciles exactly to the subtotal printed on each bidder's own document.</w:t>
      </w:r>
    </w:p>
    <w:p>
      <w:pPr>
        <w:pStyle w:val="ListParagraph"/>
        <w:numPr>
          <w:ilvl w:val="0"/>
          <w:numId w:val="2"/>
        </w:numPr>
        <w:spacing w:after="80" w:line="276"/>
      </w:pPr>
      <w:r>
        <w:rPr>
          <w:rFonts w:ascii="Calibri" w:cs="Calibri" w:eastAsia="Calibri" w:hAnsi="Calibri"/>
          <w:sz w:val="20"/>
          <w:szCs w:val="20"/>
        </w:rPr>
        <w:t xml:space="preserve">Arithmetic on the face of each submission was verified.</w:t>
      </w:r>
    </w:p>
    <w:p>
      <w:pPr>
        <w:pStyle w:val="ListParagraph"/>
        <w:numPr>
          <w:ilvl w:val="0"/>
          <w:numId w:val="2"/>
        </w:numPr>
        <w:spacing w:after="80" w:line="276"/>
      </w:pPr>
      <w:r>
        <w:rPr>
          <w:rFonts w:ascii="Calibri" w:cs="Calibri" w:eastAsia="Calibri" w:hAnsi="Calibri"/>
          <w:sz w:val="20"/>
          <w:szCs w:val="20"/>
        </w:rPr>
        <w:t xml:space="preserve">Equipment part numbers were checked against the manufacturer's current catalogue and published declarations of performance.</w:t>
      </w:r>
    </w:p>
    <w:p>
      <w:pPr>
        <w:pStyle w:val="ListParagraph"/>
        <w:numPr>
          <w:ilvl w:val="0"/>
          <w:numId w:val="2"/>
        </w:numPr>
        <w:spacing w:after="80" w:line="276"/>
      </w:pPr>
      <w:r>
        <w:rPr>
          <w:rFonts w:ascii="Calibri" w:cs="Calibri" w:eastAsia="Calibri" w:hAnsi="Calibri"/>
          <w:sz w:val="20"/>
          <w:szCs w:val="20"/>
        </w:rPr>
        <w:t xml:space="preserve">Market prices were obtained for six of the eleven equipment lines from Nigerian trade listings, and for all eleven from United Kingdom distributors as a reference ceiling.</w:t>
      </w:r>
    </w:p>
    <w:p>
      <w:pPr>
        <w:pStyle w:val="ListParagraph"/>
        <w:numPr>
          <w:ilvl w:val="0"/>
          <w:numId w:val="2"/>
        </w:numPr>
        <w:spacing w:after="80" w:line="276"/>
      </w:pPr>
      <w:r>
        <w:rPr>
          <w:rFonts w:ascii="Calibri" w:cs="Calibri" w:eastAsia="Calibri" w:hAnsi="Calibri"/>
          <w:sz w:val="20"/>
          <w:szCs w:val="20"/>
        </w:rPr>
        <w:t xml:space="preserve">The installed control panel was identified from photographs supplied by the Client.</w:t>
      </w:r>
    </w:p>
    <w:p>
      <w:pPr>
        <w:spacing w:after="80" w:line="276"/>
      </w:pPr>
      <w:r>
        <w:rPr>
          <w:rFonts w:ascii="Calibri" w:cs="Calibri" w:eastAsia="Calibri" w:hAnsi="Calibri"/>
          <w:sz w:val="20"/>
          <w:szCs w:val="20"/>
        </w:rPr>
        <w:t xml:space="preserve">The following were not carried out, and are outside the scope of this report:</w:t>
      </w:r>
    </w:p>
    <w:p>
      <w:pPr>
        <w:pStyle w:val="ListParagraph"/>
        <w:numPr>
          <w:ilvl w:val="0"/>
          <w:numId w:val="2"/>
        </w:numPr>
        <w:spacing w:after="80" w:line="276"/>
      </w:pPr>
      <w:r>
        <w:rPr>
          <w:rFonts w:ascii="Calibri" w:cs="Calibri" w:eastAsia="Calibri" w:hAnsi="Calibri"/>
          <w:sz w:val="20"/>
          <w:szCs w:val="20"/>
        </w:rPr>
        <w:t xml:space="preserve">Any site survey, device count verification, or inspection of the existing installation beyond the panel photographs.</w:t>
      </w:r>
    </w:p>
    <w:p>
      <w:pPr>
        <w:pStyle w:val="ListParagraph"/>
        <w:numPr>
          <w:ilvl w:val="0"/>
          <w:numId w:val="2"/>
        </w:numPr>
        <w:spacing w:after="80" w:line="276"/>
      </w:pPr>
      <w:r>
        <w:rPr>
          <w:rFonts w:ascii="Calibri" w:cs="Calibri" w:eastAsia="Calibri" w:hAnsi="Calibri"/>
          <w:sz w:val="20"/>
          <w:szCs w:val="20"/>
        </w:rPr>
        <w:t xml:space="preserve">Any assessment of bidder competence, references, financial standing or past performance.</w:t>
      </w:r>
    </w:p>
    <w:p>
      <w:pPr>
        <w:pStyle w:val="ListParagraph"/>
        <w:numPr>
          <w:ilvl w:val="0"/>
          <w:numId w:val="2"/>
        </w:numPr>
        <w:spacing w:after="80" w:line="276"/>
      </w:pPr>
      <w:r>
        <w:rPr>
          <w:rFonts w:ascii="Calibri" w:cs="Calibri" w:eastAsia="Calibri" w:hAnsi="Calibri"/>
          <w:sz w:val="20"/>
          <w:szCs w:val="20"/>
        </w:rPr>
        <w:t xml:space="preserve">Any fire engineering review, cause-and-effect design, or certification of the proposed system against applicable standards.</w:t>
      </w:r>
    </w:p>
    <w:p>
      <w:pPr>
        <w:pStyle w:val="Heading1"/>
        <w:spacing w:after="160" w:before="360"/>
      </w:pPr>
      <w:r>
        <w:rPr>
          <w:rFonts w:ascii="Calibri" w:cs="Calibri" w:eastAsia="Calibri" w:hAnsi="Calibri"/>
          <w:b/>
          <w:bCs/>
          <w:color w:val="1F3864"/>
          <w:sz w:val="28"/>
          <w:szCs w:val="28"/>
        </w:rPr>
        <w:t xml:space="preserve">2. The tender pack</w:t>
      </w:r>
    </w:p>
    <w:p>
      <w:pPr>
        <w:spacing w:after="120" w:line="276"/>
      </w:pPr>
      <w:r>
        <w:rPr>
          <w:rFonts w:ascii="Calibri" w:cs="Calibri" w:eastAsia="Calibri" w:hAnsi="Calibri"/>
          <w:sz w:val="20"/>
          <w:szCs w:val="20"/>
        </w:rPr>
        <w:t xml:space="preserve">Seven documents were reviewed: the Client-issued Request for Proposal, five vendor submissions, and one bidder's corporate profile.</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1180"/>
        <w:gridCol w:w="3200"/>
        <w:gridCol w:w="2000"/>
        <w:gridCol w:w="2640"/>
      </w:tblGrid>
      <w:tr>
        <w:trPr>
          <w:tblHeader/>
        </w:trPr>
        <w:tc>
          <w:tcPr>
            <w:tcW w:type="dxa" w:w="118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Ref</w:t>
            </w:r>
          </w:p>
        </w:tc>
        <w:tc>
          <w:tcPr>
            <w:tcW w:type="dxa" w:w="32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Submission</w:t>
            </w:r>
          </w:p>
        </w:tc>
        <w:tc>
          <w:tcPr>
            <w:tcW w:type="dxa" w:w="20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Date</w:t>
            </w:r>
          </w:p>
        </w:tc>
        <w:tc>
          <w:tcPr>
            <w:tcW w:type="dxa" w:w="264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Equipment offered</w:t>
            </w:r>
          </w:p>
        </w:tc>
      </w:tr>
      <w:tr>
        <w:trPr>
          <w:tblHeader w:val="false"/>
        </w:trPr>
        <w:tc>
          <w:tcPr>
            <w:tcW w:type="dxa" w:w="118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A</w:t>
            </w:r>
          </w:p>
        </w:tc>
        <w:tc>
          <w:tcPr>
            <w:tcW w:type="dxa" w:w="32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TotaGO Technologies</w:t>
            </w:r>
          </w:p>
        </w:tc>
        <w:tc>
          <w:tcPr>
            <w:tcW w:type="dxa" w:w="200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20 Mar 2026</w:t>
            </w:r>
          </w:p>
        </w:tc>
        <w:tc>
          <w:tcPr>
            <w:tcW w:type="dxa" w:w="264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GENT</w:t>
            </w:r>
          </w:p>
        </w:tc>
      </w:tr>
      <w:tr>
        <w:trPr>
          <w:tblHeader w:val="false"/>
        </w:trPr>
        <w:tc>
          <w:tcPr>
            <w:tcW w:type="dxa" w:w="118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B</w:t>
            </w:r>
          </w:p>
        </w:tc>
        <w:tc>
          <w:tcPr>
            <w:tcW w:type="dxa" w:w="32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Emo-Technical Services Ltd</w:t>
            </w:r>
          </w:p>
        </w:tc>
        <w:tc>
          <w:tcPr>
            <w:tcW w:type="dxa" w:w="200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17 Jul 2026</w:t>
            </w:r>
          </w:p>
        </w:tc>
        <w:tc>
          <w:tcPr>
            <w:tcW w:type="dxa" w:w="264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GENT</w:t>
            </w:r>
          </w:p>
        </w:tc>
      </w:tr>
      <w:tr>
        <w:trPr>
          <w:tblHeader w:val="false"/>
        </w:trPr>
        <w:tc>
          <w:tcPr>
            <w:tcW w:type="dxa" w:w="118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C</w:t>
            </w:r>
          </w:p>
        </w:tc>
        <w:tc>
          <w:tcPr>
            <w:tcW w:type="dxa" w:w="32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Potreal Insight Solutions Ltd</w:t>
            </w:r>
          </w:p>
        </w:tc>
        <w:tc>
          <w:tcPr>
            <w:tcW w:type="dxa" w:w="200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22 Jun 2026</w:t>
            </w:r>
          </w:p>
        </w:tc>
        <w:tc>
          <w:tcPr>
            <w:tcW w:type="dxa" w:w="264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GENT</w:t>
            </w:r>
          </w:p>
        </w:tc>
      </w:tr>
      <w:tr>
        <w:trPr>
          <w:tblHeader w:val="false"/>
        </w:trPr>
        <w:tc>
          <w:tcPr>
            <w:tcW w:type="dxa" w:w="118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D</w:t>
            </w:r>
          </w:p>
        </w:tc>
        <w:tc>
          <w:tcPr>
            <w:tcW w:type="dxa" w:w="32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JML / Fadayomi</w:t>
            </w:r>
          </w:p>
        </w:tc>
        <w:tc>
          <w:tcPr>
            <w:tcW w:type="dxa" w:w="200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23 Jun 2026</w:t>
            </w:r>
          </w:p>
        </w:tc>
        <w:tc>
          <w:tcPr>
            <w:tcW w:type="dxa" w:w="264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GENT</w:t>
            </w:r>
          </w:p>
        </w:tc>
      </w:tr>
      <w:tr>
        <w:trPr>
          <w:tblHeader w:val="false"/>
        </w:trPr>
        <w:tc>
          <w:tcPr>
            <w:tcW w:type="dxa" w:w="118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E</w:t>
            </w:r>
          </w:p>
        </w:tc>
        <w:tc>
          <w:tcPr>
            <w:tcW w:type="dxa" w:w="32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Roundbox Solutions Services</w:t>
            </w:r>
          </w:p>
        </w:tc>
        <w:tc>
          <w:tcPr>
            <w:tcW w:type="dxa" w:w="200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31 Jul 2026</w:t>
            </w:r>
          </w:p>
        </w:tc>
        <w:tc>
          <w:tcPr>
            <w:tcW w:type="dxa" w:w="264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TANDA (substituted)</w:t>
            </w:r>
          </w:p>
        </w:tc>
      </w:tr>
    </w:tbl>
    <w:p>
      <w:pPr>
        <w:spacing w:after="60" w:line="276"/>
      </w:pPr>
      <w:r>
        <w:rPr>
          <w:rFonts w:ascii="Calibri" w:cs="Calibri" w:eastAsia="Calibri" w:hAnsi="Calibri"/>
          <w:b/>
          <w:bCs/>
          <w:sz w:val="20"/>
          <w:szCs w:val="20"/>
        </w:rPr>
        <w:t xml:space="preserve">Observation. </w:t>
      </w:r>
      <w:r>
        <w:rPr>
          <w:rFonts w:ascii="Calibri" w:cs="Calibri" w:eastAsia="Calibri" w:hAnsi="Calibri"/>
          <w:sz w:val="20"/>
          <w:szCs w:val="20"/>
        </w:rPr>
        <w:t xml:space="preserve">The tender pack as supplied includes the corporate profile of one of the five bidders. The Client may wish to establish who compiled the pack, and whether the set of submissions reviewed here is complete and unaltered.</w:t>
      </w:r>
    </w:p>
    <w:p>
      <w:pPr>
        <w:pStyle w:val="Heading1"/>
        <w:spacing w:after="160" w:before="360"/>
      </w:pPr>
      <w:r>
        <w:rPr>
          <w:rFonts w:ascii="Calibri" w:cs="Calibri" w:eastAsia="Calibri" w:hAnsi="Calibri"/>
          <w:b/>
          <w:bCs/>
          <w:color w:val="1F3864"/>
          <w:sz w:val="28"/>
          <w:szCs w:val="28"/>
        </w:rPr>
        <w:t xml:space="preserve">3. Commercial comparison</w:t>
      </w:r>
    </w:p>
    <w:p>
      <w:pPr>
        <w:pStyle w:val="Heading2"/>
        <w:spacing w:after="120" w:before="260"/>
      </w:pPr>
      <w:r>
        <w:rPr>
          <w:rFonts w:ascii="Calibri" w:cs="Calibri" w:eastAsia="Calibri" w:hAnsi="Calibri"/>
          <w:b/>
          <w:bCs/>
          <w:color w:val="1F3864"/>
          <w:sz w:val="23"/>
          <w:szCs w:val="23"/>
        </w:rPr>
        <w:t xml:space="preserve">3.1 As quoted</w:t>
      </w:r>
    </w:p>
    <w:p>
      <w:pPr>
        <w:spacing w:after="120" w:line="276"/>
      </w:pPr>
      <w:r>
        <w:rPr>
          <w:rFonts w:ascii="Calibri" w:cs="Calibri" w:eastAsia="Calibri" w:hAnsi="Calibri"/>
          <w:sz w:val="20"/>
          <w:szCs w:val="20"/>
        </w:rPr>
        <w:t xml:space="preserve">All five submissions compute VAT at 7.5%, and each printed total reproduces exactly on that basis.</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800"/>
        <w:gridCol w:w="1560"/>
        <w:gridCol w:w="1800"/>
        <w:gridCol w:w="1460"/>
      </w:tblGrid>
      <w:tr>
        <w:trPr>
          <w:tblHeader/>
        </w:trPr>
        <w:tc>
          <w:tcPr>
            <w:tcW w:type="dxa" w:w="24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Bidder</w:t>
            </w:r>
          </w:p>
        </w:tc>
        <w:tc>
          <w:tcPr>
            <w:tcW w:type="dxa" w:w="18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Subtotal</w:t>
            </w:r>
          </w:p>
        </w:tc>
        <w:tc>
          <w:tcPr>
            <w:tcW w:type="dxa" w:w="15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VAT</w:t>
            </w:r>
          </w:p>
        </w:tc>
        <w:tc>
          <w:tcPr>
            <w:tcW w:type="dxa" w:w="18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Total</w:t>
            </w:r>
          </w:p>
        </w:tc>
        <w:tc>
          <w:tcPr>
            <w:tcW w:type="dxa" w:w="14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Validity</w:t>
            </w:r>
          </w:p>
        </w:tc>
      </w:tr>
      <w:tr>
        <w:trPr>
          <w:tblHeader w:val="false"/>
        </w:trPr>
        <w:tc>
          <w:tcPr>
            <w:tcW w:type="dxa" w:w="24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TotaGO</w:t>
            </w:r>
          </w:p>
        </w:tc>
        <w:tc>
          <w:tcPr>
            <w:tcW w:type="dxa" w:w="18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86,825,000</w:t>
            </w:r>
          </w:p>
        </w:tc>
        <w:tc>
          <w:tcPr>
            <w:tcW w:type="dxa" w:w="15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6,511,875</w:t>
            </w:r>
          </w:p>
        </w:tc>
        <w:tc>
          <w:tcPr>
            <w:tcW w:type="dxa" w:w="18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93,336,875</w:t>
            </w:r>
          </w:p>
        </w:tc>
        <w:tc>
          <w:tcPr>
            <w:tcW w:type="dxa" w:w="146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Expired</w:t>
            </w:r>
          </w:p>
        </w:tc>
      </w:tr>
      <w:tr>
        <w:trPr>
          <w:tblHeader w:val="false"/>
        </w:trPr>
        <w:tc>
          <w:tcPr>
            <w:tcW w:type="dxa" w:w="24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Emo-Technical</w:t>
            </w:r>
          </w:p>
        </w:tc>
        <w:tc>
          <w:tcPr>
            <w:tcW w:type="dxa" w:w="18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78,201,500</w:t>
            </w:r>
          </w:p>
        </w:tc>
        <w:tc>
          <w:tcPr>
            <w:tcW w:type="dxa" w:w="15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5,865,113</w:t>
            </w:r>
          </w:p>
        </w:tc>
        <w:tc>
          <w:tcPr>
            <w:tcW w:type="dxa" w:w="18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84,066,613</w:t>
            </w:r>
          </w:p>
        </w:tc>
        <w:tc>
          <w:tcPr>
            <w:tcW w:type="dxa" w:w="146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Valid</w:t>
            </w:r>
          </w:p>
        </w:tc>
      </w:tr>
      <w:tr>
        <w:trPr>
          <w:tblHeader w:val="false"/>
        </w:trPr>
        <w:tc>
          <w:tcPr>
            <w:tcW w:type="dxa" w:w="24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Potreal (PISL)</w:t>
            </w:r>
          </w:p>
        </w:tc>
        <w:tc>
          <w:tcPr>
            <w:tcW w:type="dxa" w:w="18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73,490,000</w:t>
            </w:r>
          </w:p>
        </w:tc>
        <w:tc>
          <w:tcPr>
            <w:tcW w:type="dxa" w:w="15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5,511,750</w:t>
            </w:r>
          </w:p>
        </w:tc>
        <w:tc>
          <w:tcPr>
            <w:tcW w:type="dxa" w:w="18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79,001,750</w:t>
            </w:r>
          </w:p>
        </w:tc>
        <w:tc>
          <w:tcPr>
            <w:tcW w:type="dxa" w:w="146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Expired</w:t>
            </w:r>
          </w:p>
        </w:tc>
      </w:tr>
      <w:tr>
        <w:trPr>
          <w:tblHeader w:val="false"/>
        </w:trPr>
        <w:tc>
          <w:tcPr>
            <w:tcW w:type="dxa" w:w="24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JML / Fadayomi</w:t>
            </w:r>
          </w:p>
        </w:tc>
        <w:tc>
          <w:tcPr>
            <w:tcW w:type="dxa" w:w="18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68,050,000</w:t>
            </w:r>
          </w:p>
        </w:tc>
        <w:tc>
          <w:tcPr>
            <w:tcW w:type="dxa" w:w="15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5,103,750</w:t>
            </w:r>
          </w:p>
        </w:tc>
        <w:tc>
          <w:tcPr>
            <w:tcW w:type="dxa" w:w="18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73,153,750</w:t>
            </w:r>
          </w:p>
        </w:tc>
        <w:tc>
          <w:tcPr>
            <w:tcW w:type="dxa" w:w="146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Expired</w:t>
            </w:r>
          </w:p>
        </w:tc>
      </w:tr>
      <w:tr>
        <w:trPr>
          <w:tblHeader w:val="false"/>
        </w:trPr>
        <w:tc>
          <w:tcPr>
            <w:tcW w:type="dxa" w:w="24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Roundbox</w:t>
            </w:r>
          </w:p>
        </w:tc>
        <w:tc>
          <w:tcPr>
            <w:tcW w:type="dxa" w:w="18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34,167,433</w:t>
            </w:r>
          </w:p>
        </w:tc>
        <w:tc>
          <w:tcPr>
            <w:tcW w:type="dxa" w:w="15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2,562,558</w:t>
            </w:r>
          </w:p>
        </w:tc>
        <w:tc>
          <w:tcPr>
            <w:tcW w:type="dxa" w:w="18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36,729,991</w:t>
            </w:r>
          </w:p>
        </w:tc>
        <w:tc>
          <w:tcPr>
            <w:tcW w:type="dxa" w:w="146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Valid</w:t>
            </w:r>
          </w:p>
        </w:tc>
      </w:tr>
    </w:tbl>
    <w:p>
      <w:pPr>
        <w:spacing w:after="120" w:line="276"/>
      </w:pPr>
      <w:r>
        <w:rPr>
          <w:rFonts w:ascii="Calibri" w:cs="Calibri" w:eastAsia="Calibri" w:hAnsi="Calibri"/>
          <w:i/>
          <w:iCs/>
          <w:color w:val="595959"/>
          <w:sz w:val="18"/>
          <w:szCs w:val="18"/>
        </w:rPr>
        <w:t xml:space="preserve">Three of the five submissions had lapsed at the date of this review and would require written reconfirmation before any award. One bid stated a validity of seven days from a date in March 2026.</w:t>
      </w:r>
    </w:p>
    <w:p>
      <w:pPr>
        <w:pStyle w:val="Heading2"/>
        <w:spacing w:after="120" w:before="260"/>
      </w:pPr>
      <w:r>
        <w:rPr>
          <w:rFonts w:ascii="Calibri" w:cs="Calibri" w:eastAsia="Calibri" w:hAnsi="Calibri"/>
          <w:b/>
          <w:bCs/>
          <w:color w:val="1F3864"/>
          <w:sz w:val="23"/>
          <w:szCs w:val="23"/>
        </w:rPr>
        <w:t xml:space="preserve">3.2 Normalisation to a like-for-like basis</w:t>
      </w:r>
    </w:p>
    <w:p>
      <w:pPr>
        <w:spacing w:after="120" w:line="276"/>
      </w:pPr>
      <w:r>
        <w:rPr>
          <w:rFonts w:ascii="Calibri" w:cs="Calibri" w:eastAsia="Calibri" w:hAnsi="Calibri"/>
          <w:sz w:val="20"/>
          <w:szCs w:val="20"/>
        </w:rPr>
        <w:t xml:space="preserve">Two adjustments were applied. Both are itemised so that either can be reversed by the Client.</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1180"/>
        <w:gridCol w:w="4200"/>
        <w:gridCol w:w="1900"/>
        <w:gridCol w:w="1740"/>
      </w:tblGrid>
      <w:tr>
        <w:trPr>
          <w:tblHeader/>
        </w:trPr>
        <w:tc>
          <w:tcPr>
            <w:tcW w:type="dxa" w:w="118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Ref</w:t>
            </w:r>
          </w:p>
        </w:tc>
        <w:tc>
          <w:tcPr>
            <w:tcW w:type="dxa" w:w="42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Adjustment</w:t>
            </w:r>
          </w:p>
        </w:tc>
        <w:tc>
          <w:tcPr>
            <w:tcW w:type="dxa" w:w="19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Bidder</w:t>
            </w:r>
          </w:p>
        </w:tc>
        <w:tc>
          <w:tcPr>
            <w:tcW w:type="dxa" w:w="174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Amount</w:t>
            </w:r>
          </w:p>
        </w:tc>
      </w:tr>
      <w:tr>
        <w:trPr>
          <w:tblHeader w:val="false"/>
        </w:trPr>
        <w:tc>
          <w:tcPr>
            <w:tcW w:type="dxa" w:w="118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i</w:t>
            </w:r>
          </w:p>
        </w:tc>
        <w:tc>
          <w:tcPr>
            <w:tcW w:type="dxa" w:w="42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Arithmetic correction: four loop cards priced at a stated unit rate do not multiply to the line total shown, and the printed subtotal balances only with the erroneous figure</w:t>
            </w:r>
          </w:p>
        </w:tc>
        <w:tc>
          <w:tcPr>
            <w:tcW w:type="dxa" w:w="19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TotaGO</w:t>
            </w:r>
          </w:p>
        </w:tc>
        <w:tc>
          <w:tcPr>
            <w:tcW w:type="dxa" w:w="174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(300,000)</w:t>
            </w:r>
          </w:p>
        </w:tc>
      </w:tr>
      <w:tr>
        <w:trPr>
          <w:tblHeader w:val="false"/>
        </w:trPr>
        <w:tc>
          <w:tcPr>
            <w:tcW w:type="dxa" w:w="118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ii</w:t>
            </w:r>
          </w:p>
        </w:tc>
        <w:tc>
          <w:tcPr>
            <w:tcW w:type="dxa" w:w="42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Imputed: expansion panel required by the specification but not priced, valued at the median of the three bids that did price it</w:t>
            </w:r>
          </w:p>
        </w:tc>
        <w:tc>
          <w:tcPr>
            <w:tcW w:type="dxa" w:w="19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JML / Fadayomi</w:t>
            </w:r>
          </w:p>
        </w:tc>
        <w:tc>
          <w:tcPr>
            <w:tcW w:type="dxa" w:w="174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3,450,000</w:t>
            </w:r>
          </w:p>
        </w:tc>
      </w:tr>
      <w:tr>
        <w:trPr>
          <w:tblHeader w:val="false"/>
        </w:trPr>
        <w:tc>
          <w:tcPr>
            <w:tcW w:type="dxa" w:w="118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iii</w:t>
            </w:r>
          </w:p>
        </w:tc>
        <w:tc>
          <w:tcPr>
            <w:tcW w:type="dxa" w:w="42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Imputed: three additional loop cards to meet the specified quantity, at the bidder's own rate</w:t>
            </w:r>
          </w:p>
        </w:tc>
        <w:tc>
          <w:tcPr>
            <w:tcW w:type="dxa" w:w="19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Roundbox</w:t>
            </w:r>
          </w:p>
        </w:tc>
        <w:tc>
          <w:tcPr>
            <w:tcW w:type="dxa" w:w="174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903,300</w:t>
            </w:r>
          </w:p>
        </w:tc>
      </w:tr>
    </w:tbl>
    <w:p>
      <w:pPr>
        <w:spacing w:after="120" w:line="276"/>
      </w:pPr>
      <w:r>
        <w:rPr>
          <w:rFonts w:ascii="Calibri" w:cs="Calibri" w:eastAsia="Calibri" w:hAnsi="Calibri"/>
          <w:i/>
          <w:iCs/>
          <w:color w:val="595959"/>
          <w:sz w:val="18"/>
          <w:szCs w:val="18"/>
        </w:rPr>
        <w:t xml:space="preserve">No adjustment was made for scope a bidder added beyond the specification. Such items remain within the as-quoted subtotal, shown separately, because whether that scope is wanted is a decision for the Client rather than an assumption for the reviewer.</w:t>
      </w:r>
    </w:p>
    <w:p>
      <w:pPr>
        <w:pStyle w:val="Heading2"/>
        <w:spacing w:after="120" w:before="260"/>
      </w:pPr>
      <w:r>
        <w:rPr>
          <w:rFonts w:ascii="Calibri" w:cs="Calibri" w:eastAsia="Calibri" w:hAnsi="Calibri"/>
          <w:b/>
          <w:bCs/>
          <w:color w:val="1F3864"/>
          <w:sz w:val="23"/>
          <w:szCs w:val="23"/>
        </w:rPr>
        <w:t xml:space="preserve">3.3 Preliminaries, overhead and profit</w:t>
      </w:r>
    </w:p>
    <w:p>
      <w:pPr>
        <w:spacing w:after="120" w:line="276"/>
      </w:pPr>
      <w:r>
        <w:rPr>
          <w:rFonts w:ascii="Calibri" w:cs="Calibri" w:eastAsia="Calibri" w:hAnsi="Calibri"/>
          <w:sz w:val="20"/>
          <w:szCs w:val="20"/>
        </w:rPr>
        <w:t xml:space="preserve">Item 13 of the bill of quantities covers design review, programming, testing, commissioning, as-built documentation, training, labour and handover. Expressed as a percentage of items 1 to 12, the submissions differ by a factor of six.</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900"/>
        <w:gridCol w:w="1760"/>
        <w:gridCol w:w="1400"/>
        <w:gridCol w:w="1560"/>
      </w:tblGrid>
      <w:tr>
        <w:trPr>
          <w:tblHeader/>
        </w:trPr>
        <w:tc>
          <w:tcPr>
            <w:tcW w:type="dxa" w:w="24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Bidder</w:t>
            </w:r>
          </w:p>
        </w:tc>
        <w:tc>
          <w:tcPr>
            <w:tcW w:type="dxa" w:w="19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Items 1–12</w:t>
            </w:r>
          </w:p>
        </w:tc>
        <w:tc>
          <w:tcPr>
            <w:tcW w:type="dxa" w:w="17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Item 13</w:t>
            </w:r>
          </w:p>
        </w:tc>
        <w:tc>
          <w:tcPr>
            <w:tcW w:type="dxa" w:w="14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 of 1–12</w:t>
            </w:r>
          </w:p>
        </w:tc>
        <w:tc>
          <w:tcPr>
            <w:tcW w:type="dxa" w:w="15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Per device</w:t>
            </w:r>
          </w:p>
        </w:tc>
      </w:tr>
      <w:tr>
        <w:trPr>
          <w:tblHeader w:val="false"/>
        </w:trPr>
        <w:tc>
          <w:tcPr>
            <w:tcW w:type="dxa" w:w="24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Roundbox</w:t>
            </w:r>
          </w:p>
        </w:tc>
        <w:tc>
          <w:tcPr>
            <w:tcW w:type="dxa" w:w="19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25,464,873</w:t>
            </w:r>
          </w:p>
        </w:tc>
        <w:tc>
          <w:tcPr>
            <w:tcW w:type="dxa" w:w="17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8,577,100</w:t>
            </w:r>
          </w:p>
        </w:tc>
        <w:tc>
          <w:tcPr>
            <w:tcW w:type="dxa" w:w="14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33.68%</w:t>
            </w:r>
          </w:p>
        </w:tc>
        <w:tc>
          <w:tcPr>
            <w:tcW w:type="dxa" w:w="15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15,884</w:t>
            </w:r>
          </w:p>
        </w:tc>
      </w:tr>
      <w:tr>
        <w:trPr>
          <w:tblHeader w:val="false"/>
        </w:trPr>
        <w:tc>
          <w:tcPr>
            <w:tcW w:type="dxa" w:w="24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TotaGO</w:t>
            </w:r>
          </w:p>
        </w:tc>
        <w:tc>
          <w:tcPr>
            <w:tcW w:type="dxa" w:w="19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71,825,000</w:t>
            </w:r>
          </w:p>
        </w:tc>
        <w:tc>
          <w:tcPr>
            <w:tcW w:type="dxa" w:w="17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15,000,000</w:t>
            </w:r>
          </w:p>
        </w:tc>
        <w:tc>
          <w:tcPr>
            <w:tcW w:type="dxa" w:w="14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20.88%</w:t>
            </w:r>
          </w:p>
        </w:tc>
        <w:tc>
          <w:tcPr>
            <w:tcW w:type="dxa" w:w="15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27,778</w:t>
            </w:r>
          </w:p>
        </w:tc>
      </w:tr>
      <w:tr>
        <w:trPr>
          <w:tblHeader w:val="false"/>
        </w:trPr>
        <w:tc>
          <w:tcPr>
            <w:tcW w:type="dxa" w:w="24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Potreal (PISL)</w:t>
            </w:r>
          </w:p>
        </w:tc>
        <w:tc>
          <w:tcPr>
            <w:tcW w:type="dxa" w:w="19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60,990,000</w:t>
            </w:r>
          </w:p>
        </w:tc>
        <w:tc>
          <w:tcPr>
            <w:tcW w:type="dxa" w:w="17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12,500,000</w:t>
            </w:r>
          </w:p>
        </w:tc>
        <w:tc>
          <w:tcPr>
            <w:tcW w:type="dxa" w:w="14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20.50%</w:t>
            </w:r>
          </w:p>
        </w:tc>
        <w:tc>
          <w:tcPr>
            <w:tcW w:type="dxa" w:w="15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23,148</w:t>
            </w:r>
          </w:p>
        </w:tc>
      </w:tr>
      <w:tr>
        <w:trPr>
          <w:tblHeader w:val="false"/>
        </w:trPr>
        <w:tc>
          <w:tcPr>
            <w:tcW w:type="dxa" w:w="24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JML / Fadayomi</w:t>
            </w:r>
          </w:p>
        </w:tc>
        <w:tc>
          <w:tcPr>
            <w:tcW w:type="dxa" w:w="19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61,050,000</w:t>
            </w:r>
          </w:p>
        </w:tc>
        <w:tc>
          <w:tcPr>
            <w:tcW w:type="dxa" w:w="17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7,000,000</w:t>
            </w:r>
          </w:p>
        </w:tc>
        <w:tc>
          <w:tcPr>
            <w:tcW w:type="dxa" w:w="14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11.47%</w:t>
            </w:r>
          </w:p>
        </w:tc>
        <w:tc>
          <w:tcPr>
            <w:tcW w:type="dxa" w:w="15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12,963</w:t>
            </w:r>
          </w:p>
        </w:tc>
      </w:tr>
      <w:tr>
        <w:trPr>
          <w:tblHeader w:val="false"/>
        </w:trPr>
        <w:tc>
          <w:tcPr>
            <w:tcW w:type="dxa" w:w="24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Emo-Technical</w:t>
            </w:r>
          </w:p>
        </w:tc>
        <w:tc>
          <w:tcPr>
            <w:tcW w:type="dxa" w:w="19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74,001,500</w:t>
            </w:r>
          </w:p>
        </w:tc>
        <w:tc>
          <w:tcPr>
            <w:tcW w:type="dxa" w:w="17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4,200,000</w:t>
            </w:r>
          </w:p>
        </w:tc>
        <w:tc>
          <w:tcPr>
            <w:tcW w:type="dxa" w:w="14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5.68%</w:t>
            </w:r>
          </w:p>
        </w:tc>
        <w:tc>
          <w:tcPr>
            <w:tcW w:type="dxa" w:w="15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7,778</w:t>
            </w:r>
          </w:p>
        </w:tc>
      </w:tr>
    </w:tbl>
    <w:p>
      <w:pPr>
        <w:spacing w:after="160" w:line="276"/>
      </w:pPr>
      <w:r>
        <w:rPr>
          <w:rFonts w:ascii="Calibri" w:cs="Calibri" w:eastAsia="Calibri" w:hAnsi="Calibri"/>
          <w:sz w:val="20"/>
          <w:szCs w:val="20"/>
        </w:rPr>
        <w:t xml:space="preserve">That table is misleading on its own, and should not be used in isolation. Items 8 and 12 — containment, and civil and builders' work — are also labour-and-margin lots, and one bidder has loaded them heavily. Counting all three together reverses much of the ranking.</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00"/>
        <w:gridCol w:w="1500"/>
        <w:gridCol w:w="1620"/>
        <w:gridCol w:w="2000"/>
      </w:tblGrid>
      <w:tr>
        <w:trPr>
          <w:tblHeader/>
        </w:trPr>
        <w:tc>
          <w:tcPr>
            <w:tcW w:type="dxa" w:w="24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Bidder</w:t>
            </w:r>
          </w:p>
        </w:tc>
        <w:tc>
          <w:tcPr>
            <w:tcW w:type="dxa" w:w="15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Item 8</w:t>
            </w:r>
          </w:p>
        </w:tc>
        <w:tc>
          <w:tcPr>
            <w:tcW w:type="dxa" w:w="15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Item 12</w:t>
            </w:r>
          </w:p>
        </w:tc>
        <w:tc>
          <w:tcPr>
            <w:tcW w:type="dxa" w:w="162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Item 13</w:t>
            </w:r>
          </w:p>
        </w:tc>
        <w:tc>
          <w:tcPr>
            <w:tcW w:type="dxa" w:w="20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Total soft cost, % of equipment</w:t>
            </w:r>
          </w:p>
        </w:tc>
      </w:tr>
      <w:tr>
        <w:trPr>
          <w:tblHeader w:val="false"/>
        </w:trPr>
        <w:tc>
          <w:tcPr>
            <w:tcW w:type="dxa" w:w="24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Roundbox</w:t>
            </w:r>
          </w:p>
        </w:tc>
        <w:tc>
          <w:tcPr>
            <w:tcW w:type="dxa" w:w="15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1,000,000</w:t>
            </w:r>
          </w:p>
        </w:tc>
        <w:tc>
          <w:tcPr>
            <w:tcW w:type="dxa" w:w="15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1,000,000</w:t>
            </w:r>
          </w:p>
        </w:tc>
        <w:tc>
          <w:tcPr>
            <w:tcW w:type="dxa" w:w="162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8,577,100</w:t>
            </w:r>
          </w:p>
        </w:tc>
        <w:tc>
          <w:tcPr>
            <w:tcW w:type="dxa" w:w="20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45.08%</w:t>
            </w:r>
          </w:p>
        </w:tc>
      </w:tr>
      <w:tr>
        <w:trPr>
          <w:tblHeader w:val="false"/>
        </w:trPr>
        <w:tc>
          <w:tcPr>
            <w:tcW w:type="dxa" w:w="24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Potreal (PISL)</w:t>
            </w:r>
          </w:p>
        </w:tc>
        <w:tc>
          <w:tcPr>
            <w:tcW w:type="dxa" w:w="15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600,000</w:t>
            </w:r>
          </w:p>
        </w:tc>
        <w:tc>
          <w:tcPr>
            <w:tcW w:type="dxa" w:w="15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4,000,000</w:t>
            </w:r>
          </w:p>
        </w:tc>
        <w:tc>
          <w:tcPr>
            <w:tcW w:type="dxa" w:w="162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12,500,000</w:t>
            </w:r>
          </w:p>
        </w:tc>
        <w:tc>
          <w:tcPr>
            <w:tcW w:type="dxa" w:w="20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30.32%</w:t>
            </w:r>
          </w:p>
        </w:tc>
      </w:tr>
      <w:tr>
        <w:trPr>
          <w:tblHeader w:val="false"/>
        </w:trPr>
        <w:tc>
          <w:tcPr>
            <w:tcW w:type="dxa" w:w="24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TotaGO</w:t>
            </w:r>
          </w:p>
        </w:tc>
        <w:tc>
          <w:tcPr>
            <w:tcW w:type="dxa" w:w="15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1,000,000</w:t>
            </w:r>
          </w:p>
        </w:tc>
        <w:tc>
          <w:tcPr>
            <w:tcW w:type="dxa" w:w="15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3,500,000</w:t>
            </w:r>
          </w:p>
        </w:tc>
        <w:tc>
          <w:tcPr>
            <w:tcW w:type="dxa" w:w="162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15,000,000</w:t>
            </w:r>
          </w:p>
        </w:tc>
        <w:tc>
          <w:tcPr>
            <w:tcW w:type="dxa" w:w="20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28.96%</w:t>
            </w:r>
          </w:p>
        </w:tc>
      </w:tr>
      <w:tr>
        <w:trPr>
          <w:tblHeader w:val="false"/>
        </w:trPr>
        <w:tc>
          <w:tcPr>
            <w:tcW w:type="dxa" w:w="24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Emo-Technical</w:t>
            </w:r>
          </w:p>
        </w:tc>
        <w:tc>
          <w:tcPr>
            <w:tcW w:type="dxa" w:w="15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5,150,000</w:t>
            </w:r>
          </w:p>
        </w:tc>
        <w:tc>
          <w:tcPr>
            <w:tcW w:type="dxa" w:w="15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5,300,000</w:t>
            </w:r>
          </w:p>
        </w:tc>
        <w:tc>
          <w:tcPr>
            <w:tcW w:type="dxa" w:w="162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4,200,000</w:t>
            </w:r>
          </w:p>
        </w:tc>
        <w:tc>
          <w:tcPr>
            <w:tcW w:type="dxa" w:w="200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23.05%</w:t>
            </w:r>
          </w:p>
        </w:tc>
      </w:tr>
      <w:tr>
        <w:trPr>
          <w:tblHeader w:val="false"/>
        </w:trPr>
        <w:tc>
          <w:tcPr>
            <w:tcW w:type="dxa" w:w="24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JML / Fadayomi</w:t>
            </w:r>
          </w:p>
        </w:tc>
        <w:tc>
          <w:tcPr>
            <w:tcW w:type="dxa" w:w="15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500,000</w:t>
            </w:r>
          </w:p>
        </w:tc>
        <w:tc>
          <w:tcPr>
            <w:tcW w:type="dxa" w:w="15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500,000</w:t>
            </w:r>
          </w:p>
        </w:tc>
        <w:tc>
          <w:tcPr>
            <w:tcW w:type="dxa" w:w="162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7,000,000</w:t>
            </w:r>
          </w:p>
        </w:tc>
        <w:tc>
          <w:tcPr>
            <w:tcW w:type="dxa" w:w="200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13.32%</w:t>
            </w:r>
          </w:p>
        </w:tc>
      </w:tr>
    </w:tbl>
    <w:p>
      <w:pPr>
        <w:spacing w:after="120" w:line="276"/>
      </w:pPr>
      <w:r>
        <w:rPr>
          <w:rFonts w:ascii="Calibri" w:cs="Calibri" w:eastAsia="Calibri" w:hAnsi="Calibri"/>
          <w:sz w:val="20"/>
          <w:szCs w:val="20"/>
        </w:rPr>
        <w:t xml:space="preserve">The bidder showing the lowest item 13 has in fact placed NGN 10.45m into items 8 and 12, against NGN 4.6m and NGN 1.0m for two of its competitors. Its true loading is 23%, not 5.7%. The cost has been reclassified, not saved.</w:t>
      </w:r>
    </w:p>
    <w:p>
      <w:pPr>
        <w:spacing w:after="120" w:line="276"/>
      </w:pPr>
      <w:r>
        <w:rPr>
          <w:rFonts w:ascii="Calibri" w:cs="Calibri" w:eastAsia="Calibri" w:hAnsi="Calibri"/>
          <w:b/>
          <w:bCs/>
          <w:sz w:val="20"/>
          <w:szCs w:val="20"/>
        </w:rPr>
        <w:t xml:space="preserve">The material observation is this. </w:t>
      </w:r>
      <w:r>
        <w:rPr>
          <w:rFonts w:ascii="Calibri" w:cs="Calibri" w:eastAsia="Calibri" w:hAnsi="Calibri"/>
          <w:sz w:val="20"/>
          <w:szCs w:val="20"/>
        </w:rPr>
        <w:t xml:space="preserve">The physical work is identical across all five submissions: install approximately 540 devices, pull some three kilometres of cable, fit two panels, programme, test every device, document, and train. What each bidder considers that work to be worth ranges from NGN 4.2m to NGN 15.0m. A 3.6-fold spread on identical labour is a more revealing question to put to bidders than any equipment price, and the lowest figure — under NGN 7,800 per device for installation, testing, commissioning, documentation and training — should be tested before it is accepted.</w:t>
      </w:r>
    </w:p>
    <w:p>
      <w:r>
        <w:br w:type="page"/>
      </w:r>
    </w:p>
    <w:p>
      <w:pPr>
        <w:pStyle w:val="Heading1"/>
        <w:spacing w:after="160" w:before="360"/>
      </w:pPr>
      <w:r>
        <w:rPr>
          <w:rFonts w:ascii="Calibri" w:cs="Calibri" w:eastAsia="Calibri" w:hAnsi="Calibri"/>
          <w:b/>
          <w:bCs/>
          <w:color w:val="1F3864"/>
          <w:sz w:val="28"/>
          <w:szCs w:val="28"/>
        </w:rPr>
        <w:t xml:space="preserve">4. Independent price verification</w:t>
      </w:r>
    </w:p>
    <w:p>
      <w:pPr>
        <w:spacing w:after="120" w:line="276"/>
      </w:pPr>
      <w:r>
        <w:rPr>
          <w:rFonts w:ascii="Calibri" w:cs="Calibri" w:eastAsia="Calibri" w:hAnsi="Calibri"/>
          <w:sz w:val="20"/>
          <w:szCs w:val="20"/>
        </w:rPr>
        <w:t xml:space="preserve">Market prices were obtained for six of the eleven equipment lines from Nigerian trade listings. These are asking prices from trade sellers rather than formal quotations, and should be treated as indicative.</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840"/>
        <w:gridCol w:w="2660"/>
        <w:gridCol w:w="2060"/>
        <w:gridCol w:w="1720"/>
        <w:gridCol w:w="1740"/>
      </w:tblGrid>
      <w:tr>
        <w:trPr>
          <w:tblHeader/>
        </w:trPr>
        <w:tc>
          <w:tcPr>
            <w:tcW w:type="dxa" w:w="84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Item</w:t>
            </w:r>
          </w:p>
        </w:tc>
        <w:tc>
          <w:tcPr>
            <w:tcW w:type="dxa" w:w="26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Equipment</w:t>
            </w:r>
          </w:p>
        </w:tc>
        <w:tc>
          <w:tcPr>
            <w:tcW w:type="dxa" w:w="20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Verified market</w:t>
            </w:r>
          </w:p>
        </w:tc>
        <w:tc>
          <w:tcPr>
            <w:tcW w:type="dxa" w:w="172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Bid range</w:t>
            </w:r>
          </w:p>
        </w:tc>
        <w:tc>
          <w:tcPr>
            <w:tcW w:type="dxa" w:w="174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Observation</w:t>
            </w:r>
          </w:p>
        </w:tc>
      </w:tr>
      <w:tr>
        <w:trPr>
          <w:tblHeader w:val="false"/>
        </w:trPr>
        <w:tc>
          <w:tcPr>
            <w:tcW w:type="dxa" w:w="84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1</w:t>
            </w:r>
          </w:p>
        </w:tc>
        <w:tc>
          <w:tcPr>
            <w:tcW w:type="dxa" w:w="266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Main control panel</w:t>
            </w:r>
          </w:p>
        </w:tc>
        <w:tc>
          <w:tcPr>
            <w:tcW w:type="dxa" w:w="20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4,500,000 – 4,910,000</w:t>
            </w:r>
          </w:p>
        </w:tc>
        <w:tc>
          <w:tcPr>
            <w:tcW w:type="dxa" w:w="172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3,200,000 – 7,000,000</w:t>
            </w:r>
          </w:p>
        </w:tc>
        <w:tc>
          <w:tcPr>
            <w:tcW w:type="dxa" w:w="174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One bid 43–56% above market</w:t>
            </w:r>
          </w:p>
        </w:tc>
      </w:tr>
      <w:tr>
        <w:trPr>
          <w:tblHeader w:val="false"/>
        </w:trPr>
        <w:tc>
          <w:tcPr>
            <w:tcW w:type="dxa" w:w="84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3</w:t>
            </w:r>
          </w:p>
        </w:tc>
        <w:tc>
          <w:tcPr>
            <w:tcW w:type="dxa" w:w="266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Heat detector</w:t>
            </w:r>
          </w:p>
        </w:tc>
        <w:tc>
          <w:tcPr>
            <w:tcW w:type="dxa" w:w="20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51,000</w:t>
            </w:r>
          </w:p>
        </w:tc>
        <w:tc>
          <w:tcPr>
            <w:tcW w:type="dxa" w:w="172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57,000 – 75,000</w:t>
            </w:r>
          </w:p>
        </w:tc>
        <w:tc>
          <w:tcPr>
            <w:tcW w:type="dxa" w:w="174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Broadly at market</w:t>
            </w:r>
          </w:p>
        </w:tc>
      </w:tr>
      <w:tr>
        <w:trPr>
          <w:tblHeader w:val="false"/>
        </w:trPr>
        <w:tc>
          <w:tcPr>
            <w:tcW w:type="dxa" w:w="84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4</w:t>
            </w:r>
          </w:p>
        </w:tc>
        <w:tc>
          <w:tcPr>
            <w:tcW w:type="dxa" w:w="266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Manual call point</w:t>
            </w:r>
          </w:p>
        </w:tc>
        <w:tc>
          <w:tcPr>
            <w:tcW w:type="dxa" w:w="20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80,000 – 99,000</w:t>
            </w:r>
          </w:p>
        </w:tc>
        <w:tc>
          <w:tcPr>
            <w:tcW w:type="dxa" w:w="172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95,000 – 130,900</w:t>
            </w:r>
          </w:p>
        </w:tc>
        <w:tc>
          <w:tcPr>
            <w:tcW w:type="dxa" w:w="174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One bid 45% above market</w:t>
            </w:r>
          </w:p>
        </w:tc>
      </w:tr>
      <w:tr>
        <w:trPr>
          <w:tblHeader w:val="false"/>
        </w:trPr>
        <w:tc>
          <w:tcPr>
            <w:tcW w:type="dxa" w:w="84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6</w:t>
            </w:r>
          </w:p>
        </w:tc>
        <w:tc>
          <w:tcPr>
            <w:tcW w:type="dxa" w:w="266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Interface module</w:t>
            </w:r>
          </w:p>
        </w:tc>
        <w:tc>
          <w:tcPr>
            <w:tcW w:type="dxa" w:w="20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110,000 – 355,000</w:t>
            </w:r>
          </w:p>
        </w:tc>
        <w:tc>
          <w:tcPr>
            <w:tcW w:type="dxa" w:w="172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134,500 – 400,000</w:t>
            </w:r>
          </w:p>
        </w:tc>
        <w:tc>
          <w:tcPr>
            <w:tcW w:type="dxa" w:w="174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Bids appear to be different products</w:t>
            </w:r>
          </w:p>
        </w:tc>
      </w:tr>
      <w:tr>
        <w:trPr>
          <w:tblHeader w:val="false"/>
        </w:trPr>
        <w:tc>
          <w:tcPr>
            <w:tcW w:type="dxa" w:w="84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9</w:t>
            </w:r>
          </w:p>
        </w:tc>
        <w:tc>
          <w:tcPr>
            <w:tcW w:type="dxa" w:w="266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Loop card</w:t>
            </w:r>
          </w:p>
        </w:tc>
        <w:tc>
          <w:tcPr>
            <w:tcW w:type="dxa" w:w="206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425,000</w:t>
            </w:r>
          </w:p>
        </w:tc>
        <w:tc>
          <w:tcPr>
            <w:tcW w:type="dxa" w:w="1720"/>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300,000 – 450,000</w:t>
            </w:r>
          </w:p>
        </w:tc>
        <w:tc>
          <w:tcPr>
            <w:tcW w:type="dxa" w:w="174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Bids broadly at market</w:t>
            </w:r>
          </w:p>
        </w:tc>
      </w:tr>
      <w:tr>
        <w:trPr>
          <w:tblHeader w:val="false"/>
        </w:trPr>
        <w:tc>
          <w:tcPr>
            <w:tcW w:type="dxa" w:w="84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11</w:t>
            </w:r>
          </w:p>
        </w:tc>
        <w:tc>
          <w:tcPr>
            <w:tcW w:type="dxa" w:w="266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Network card</w:t>
            </w:r>
          </w:p>
        </w:tc>
        <w:tc>
          <w:tcPr>
            <w:tcW w:type="dxa" w:w="206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408,000</w:t>
            </w:r>
          </w:p>
        </w:tc>
        <w:tc>
          <w:tcPr>
            <w:tcW w:type="dxa" w:w="1720"/>
            <w:shd w:fill="F2F5FA" w:color="auto" w:val="clear"/>
            <w:tcMar>
              <w:top w:type="dxa" w:w="60"/>
              <w:left w:type="dxa" w:w="100"/>
              <w:bottom w:type="dxa" w:w="60"/>
              <w:right w:type="dxa" w:w="100"/>
            </w:tcMar>
          </w:tcPr>
          <w:p>
            <w:pPr>
              <w:spacing w:after="0" w:line="240"/>
              <w:jc w:val="right"/>
            </w:pPr>
            <w:r>
              <w:rPr>
                <w:rFonts w:ascii="Calibri" w:cs="Calibri" w:eastAsia="Calibri" w:hAnsi="Calibri"/>
                <w:color w:val="000000"/>
                <w:sz w:val="18"/>
                <w:szCs w:val="18"/>
              </w:rPr>
              <w:t xml:space="preserve">110,000 – 1,000,000</w:t>
            </w:r>
          </w:p>
        </w:tc>
        <w:tc>
          <w:tcPr>
            <w:tcW w:type="dxa" w:w="174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Range spans 9-fold</w:t>
            </w:r>
          </w:p>
        </w:tc>
      </w:tr>
    </w:tbl>
    <w:p>
      <w:pPr>
        <w:spacing w:after="120" w:line="276"/>
      </w:pPr>
      <w:r>
        <w:rPr>
          <w:rFonts w:ascii="Calibri" w:cs="Calibri" w:eastAsia="Calibri" w:hAnsi="Calibri"/>
          <w:b/>
          <w:bCs/>
          <w:i/>
          <w:iCs/>
          <w:sz w:val="18"/>
          <w:szCs w:val="18"/>
        </w:rPr>
        <w:t xml:space="preserve">A correction arising from this exercise. </w:t>
      </w:r>
      <w:r>
        <w:rPr>
          <w:rFonts w:ascii="Calibri" w:cs="Calibri" w:eastAsia="Calibri" w:hAnsi="Calibri"/>
          <w:i/>
          <w:iCs/>
          <w:sz w:val="18"/>
          <w:szCs w:val="18"/>
        </w:rPr>
        <w:t xml:space="preserve">An earlier stage of this review used United Kingdom distributor prices converted at the prevailing exchange rate as a proxy for Nigerian cost. Verified local data shows that method overstates commodity devices substantially — by roughly 50% on call points and by a factor of 2.3 on loop cards — while approximating correctly on control panels. Conclusions drawn from the proxy alone have been revised accordingly, and only verified local prices are relied upon above.</w:t>
      </w:r>
    </w:p>
    <w:p>
      <w:pPr>
        <w:pStyle w:val="Heading1"/>
        <w:spacing w:after="160" w:before="360"/>
      </w:pPr>
      <w:r>
        <w:rPr>
          <w:rFonts w:ascii="Calibri" w:cs="Calibri" w:eastAsia="Calibri" w:hAnsi="Calibri"/>
          <w:b/>
          <w:bCs/>
          <w:color w:val="1F3864"/>
          <w:sz w:val="28"/>
          <w:szCs w:val="28"/>
        </w:rPr>
        <w:t xml:space="preserve">5. Specification defects</w:t>
      </w:r>
    </w:p>
    <w:p>
      <w:pPr>
        <w:spacing w:after="120" w:line="276"/>
      </w:pPr>
      <w:r>
        <w:rPr>
          <w:rFonts w:ascii="Calibri" w:cs="Calibri" w:eastAsia="Calibri" w:hAnsi="Calibri"/>
          <w:sz w:val="20"/>
          <w:szCs w:val="20"/>
        </w:rPr>
        <w:t xml:space="preserve">Six of the eleven equipment lines are insufficiently specified to allow bids to be compared, or specify a part that is inconsistent with the requirement. Each is capable of straightforward correction.</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840"/>
        <w:gridCol w:w="3300"/>
        <w:gridCol w:w="4880"/>
      </w:tblGrid>
      <w:tr>
        <w:trPr>
          <w:tblHeader/>
        </w:trPr>
        <w:tc>
          <w:tcPr>
            <w:tcW w:type="dxa" w:w="84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Item</w:t>
            </w:r>
          </w:p>
        </w:tc>
        <w:tc>
          <w:tcPr>
            <w:tcW w:type="dxa" w:w="33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Defect</w:t>
            </w:r>
          </w:p>
        </w:tc>
        <w:tc>
          <w:tcPr>
            <w:tcW w:type="dxa" w:w="488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Consequence and recommended correction</w:t>
            </w:r>
          </w:p>
        </w:tc>
      </w:tr>
      <w:tr>
        <w:trPr>
          <w:tblHeader w:val="false"/>
        </w:trPr>
        <w:tc>
          <w:tcPr>
            <w:tcW w:type="dxa" w:w="84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2</w:t>
            </w:r>
          </w:p>
        </w:tc>
        <w:tc>
          <w:tcPr>
            <w:tcW w:type="dxa" w:w="33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Specifies a detector family, not a part number. Three products in that family are materially different in price and performance.</w:t>
            </w:r>
          </w:p>
        </w:tc>
        <w:tc>
          <w:tcPr>
            <w:tcW w:type="dxa" w:w="488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385 units at stake. Only one bidder stated which product it offered. Multi-sensor variants resist false alarms far better in food, cooking and back-of-house areas; a single optical type throughout is unlikely to be the right design.</w:t>
            </w:r>
          </w:p>
        </w:tc>
      </w:tr>
      <w:tr>
        <w:trPr>
          <w:tblHeader w:val="false"/>
        </w:trPr>
        <w:tc>
          <w:tcPr>
            <w:tcW w:type="dxa" w:w="84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3</w:t>
            </w:r>
          </w:p>
        </w:tc>
        <w:tc>
          <w:tcPr>
            <w:tcW w:type="dxa" w:w="33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Describes a detector with an integrated visual alarm device.</w:t>
            </w:r>
          </w:p>
        </w:tc>
        <w:tc>
          <w:tcPr>
            <w:tcW w:type="dxa" w:w="488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Every bid prices this line below its own sounder line, indicating that plain detectors have been priced rather than the variant described. 60 units at stake.</w:t>
            </w:r>
          </w:p>
        </w:tc>
      </w:tr>
      <w:tr>
        <w:trPr>
          <w:tblHeader w:val="false"/>
        </w:trPr>
        <w:tc>
          <w:tcPr>
            <w:tcW w:type="dxa" w:w="84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4</w:t>
            </w:r>
          </w:p>
        </w:tc>
        <w:tc>
          <w:tcPr>
            <w:tcW w:type="dxa" w:w="33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Specifies a glass-element call point. The local market stocks resettable-element variants.</w:t>
            </w:r>
          </w:p>
        </w:tc>
        <w:tc>
          <w:tcPr>
            <w:tcW w:type="dxa" w:w="488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A glass element is consumed at every activation and every annual test. The resettable variant is cheaper to own and is what is actually available. Recommend re-specifying deliberately rather than discovering a substitution at handover.</w:t>
            </w:r>
          </w:p>
        </w:tc>
      </w:tr>
      <w:tr>
        <w:trPr>
          <w:tblHeader w:val="false"/>
        </w:trPr>
        <w:tc>
          <w:tcPr>
            <w:tcW w:type="dxa" w:w="84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6</w:t>
            </w:r>
          </w:p>
        </w:tc>
        <w:tc>
          <w:tcPr>
            <w:tcW w:type="dxa" w:w="33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Specifies a channel count but not whether the modules are inputs, outputs or combined.</w:t>
            </w:r>
          </w:p>
        </w:tc>
        <w:tc>
          <w:tcPr>
            <w:tcW w:type="dxa" w:w="488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Inputs monitor; outputs drive plant. They are not interchangeable. Bids span three-fold on this line, consistent with different products being priced. Approximately NGN 5.3m turns on the ambiguity. Require an input/output schedule.</w:t>
            </w:r>
          </w:p>
        </w:tc>
      </w:tr>
      <w:tr>
        <w:trPr>
          <w:tblHeader w:val="false"/>
        </w:trPr>
        <w:tc>
          <w:tcPr>
            <w:tcW w:type="dxa" w:w="840"/>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9</w:t>
            </w:r>
          </w:p>
        </w:tc>
        <w:tc>
          <w:tcPr>
            <w:tcW w:type="dxa" w:w="330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Specifies four identical loop cards.</w:t>
            </w:r>
          </w:p>
        </w:tc>
        <w:tc>
          <w:tcPr>
            <w:tcW w:type="dxa" w:w="4880"/>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Three are required for the main panel and one for the expansion panel, and these are different part numbers. Four identical cards would leave one that does not fit.</w:t>
            </w:r>
          </w:p>
        </w:tc>
      </w:tr>
      <w:tr>
        <w:trPr>
          <w:tblHeader w:val="false"/>
        </w:trPr>
        <w:tc>
          <w:tcPr>
            <w:tcW w:type="dxa" w:w="840"/>
            <w:shd w:fill="F2F5FA" w:color="auto" w:val="clear"/>
            <w:tcMar>
              <w:top w:type="dxa" w:w="60"/>
              <w:left w:type="dxa" w:w="100"/>
              <w:bottom w:type="dxa" w:w="60"/>
              <w:right w:type="dxa" w:w="100"/>
            </w:tcMar>
          </w:tcPr>
          <w:p>
            <w:pPr>
              <w:spacing w:after="0" w:line="240"/>
              <w:jc w:val="center"/>
            </w:pPr>
            <w:r>
              <w:rPr>
                <w:rFonts w:ascii="Calibri" w:cs="Calibri" w:eastAsia="Calibri" w:hAnsi="Calibri"/>
                <w:color w:val="000000"/>
                <w:sz w:val="18"/>
                <w:szCs w:val="18"/>
              </w:rPr>
              <w:t xml:space="preserve">11</w:t>
            </w:r>
          </w:p>
        </w:tc>
        <w:tc>
          <w:tcPr>
            <w:tcW w:type="dxa" w:w="330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Specifies one network card.</w:t>
            </w:r>
          </w:p>
        </w:tc>
        <w:tc>
          <w:tcPr>
            <w:tcW w:type="dxa" w:w="4880"/>
            <w:shd w:fill="F2F5FA" w:color="auto" w:val="clear"/>
            <w:tcMar>
              <w:top w:type="dxa" w:w="60"/>
              <w:left w:type="dxa" w:w="100"/>
              <w:bottom w:type="dxa" w:w="60"/>
              <w:right w:type="dxa" w:w="100"/>
            </w:tcMar>
          </w:tcPr>
          <w:p>
            <w:pPr>
              <w:spacing w:after="0" w:line="240"/>
            </w:pPr>
            <w:r>
              <w:rPr>
                <w:rFonts w:ascii="Calibri" w:cs="Calibri" w:eastAsia="Calibri" w:hAnsi="Calibri"/>
                <w:color w:val="000000"/>
                <w:sz w:val="18"/>
                <w:szCs w:val="18"/>
              </w:rPr>
              <w:t xml:space="preserve">Networking requires a card in every panel. Two panels are specified, so two cards are required. Without correction the panels cannot be networked, and this is discovered at commissioning.</w:t>
            </w:r>
          </w:p>
        </w:tc>
      </w:tr>
    </w:tbl>
    <w:p>
      <w:pPr>
        <w:pStyle w:val="Heading1"/>
        <w:spacing w:after="160" w:before="360"/>
      </w:pPr>
      <w:r>
        <w:rPr>
          <w:rFonts w:ascii="Calibri" w:cs="Calibri" w:eastAsia="Calibri" w:hAnsi="Calibri"/>
          <w:b/>
          <w:bCs/>
          <w:color w:val="1F3864"/>
          <w:sz w:val="28"/>
          <w:szCs w:val="28"/>
        </w:rPr>
        <w:t xml:space="preserve">6. The existing control panel</w:t>
      </w:r>
    </w:p>
    <w:p>
      <w:pPr>
        <w:spacing w:after="120" w:line="276"/>
      </w:pPr>
      <w:r>
        <w:rPr>
          <w:rFonts w:ascii="Calibri" w:cs="Calibri" w:eastAsia="Calibri" w:hAnsi="Calibri"/>
          <w:sz w:val="20"/>
          <w:szCs w:val="20"/>
        </w:rPr>
        <w:t xml:space="preserve">Photographs of the installed panel were examined. The following is established from the images with reasonable confidence:</w:t>
      </w:r>
    </w:p>
    <w:p>
      <w:pPr>
        <w:pStyle w:val="ListParagraph"/>
        <w:numPr>
          <w:ilvl w:val="0"/>
          <w:numId w:val="2"/>
        </w:numPr>
        <w:spacing w:after="80" w:line="276"/>
      </w:pPr>
      <w:r>
        <w:rPr>
          <w:rFonts w:ascii="Calibri" w:cs="Calibri" w:eastAsia="Calibri" w:hAnsi="Calibri"/>
          <w:sz w:val="20"/>
          <w:szCs w:val="20"/>
        </w:rPr>
        <w:t xml:space="preserve">The panel is a Honeywell GENT unit, identified by the manufacturer's marking on the enclosure.</w:t>
      </w:r>
    </w:p>
    <w:p>
      <w:pPr>
        <w:pStyle w:val="ListParagraph"/>
        <w:numPr>
          <w:ilvl w:val="0"/>
          <w:numId w:val="2"/>
        </w:numPr>
        <w:spacing w:after="80" w:line="276"/>
      </w:pPr>
      <w:r>
        <w:rPr>
          <w:rFonts w:ascii="Calibri" w:cs="Calibri" w:eastAsia="Calibri" w:hAnsi="Calibri"/>
          <w:sz w:val="20"/>
          <w:szCs w:val="20"/>
        </w:rPr>
        <w:t xml:space="preserve">It belongs to the Vigilon family, identified by the 32 zone indicators, the full alphanumeric keypad and the 8-line display.</w:t>
      </w:r>
    </w:p>
    <w:p>
      <w:pPr>
        <w:pStyle w:val="ListParagraph"/>
        <w:numPr>
          <w:ilvl w:val="0"/>
          <w:numId w:val="2"/>
        </w:numPr>
        <w:spacing w:after="80" w:line="276"/>
      </w:pPr>
      <w:r>
        <w:rPr>
          <w:rFonts w:ascii="Calibri" w:cs="Calibri" w:eastAsia="Calibri" w:hAnsi="Calibri"/>
          <w:sz w:val="20"/>
          <w:szCs w:val="20"/>
        </w:rPr>
        <w:t xml:space="preserve">An internal label reads "MADE IN UK" with a date code consistent with manufacture in 2020.</w:t>
      </w:r>
    </w:p>
    <w:p>
      <w:pPr>
        <w:pStyle w:val="ListParagraph"/>
        <w:numPr>
          <w:ilvl w:val="0"/>
          <w:numId w:val="2"/>
        </w:numPr>
        <w:spacing w:after="80" w:line="276"/>
      </w:pPr>
      <w:r>
        <w:rPr>
          <w:rFonts w:ascii="Calibri" w:cs="Calibri" w:eastAsia="Calibri" w:hAnsi="Calibri"/>
          <w:sz w:val="20"/>
          <w:szCs w:val="20"/>
        </w:rPr>
        <w:t xml:space="preserve">It is not from the manufacturer's discontinued device generation, support for which ended in 2019.</w:t>
      </w:r>
    </w:p>
    <w:p>
      <w:pPr>
        <w:spacing w:after="120" w:line="276"/>
      </w:pPr>
      <w:r>
        <w:rPr>
          <w:rFonts w:ascii="Calibri" w:cs="Calibri" w:eastAsia="Calibri" w:hAnsi="Calibri"/>
          <w:i/>
          <w:iCs/>
          <w:sz w:val="18"/>
          <w:szCs w:val="18"/>
        </w:rPr>
        <w:t xml:space="preserve">This evidence is not offered to challenge the replacement decision, </w:t>
      </w:r>
      <w:r>
        <w:rPr>
          <w:rFonts w:ascii="Calibri" w:cs="Calibri" w:eastAsia="Calibri" w:hAnsi="Calibri"/>
          <w:i/>
          <w:iCs/>
          <w:sz w:val="18"/>
          <w:szCs w:val="18"/>
        </w:rPr>
        <w:t xml:space="preserve">which has been accepted as the basis of this evaluation under section 1.1. It is recorded because it bears on three practical matters.</w:t>
      </w:r>
    </w:p>
    <w:p>
      <w:pPr>
        <w:spacing w:after="120" w:line="276"/>
      </w:pPr>
      <w:r>
        <w:rPr>
          <w:rFonts w:ascii="Calibri" w:cs="Calibri" w:eastAsia="Calibri" w:hAnsi="Calibri"/>
          <w:sz w:val="20"/>
          <w:szCs w:val="20"/>
        </w:rPr>
        <w:t xml:space="preserve">It confirms the platform. The existing installation is of the current, supported product family and not the manufacturer's discontinued generation. The part numbers specified in the bill of quantities are therefore the correct ones, the replacement panel will integrate with the existing field wiring, and spares remain available. Had the panel proved to be a legacy variant, several lines of the specification — including the network card, which differs in price by a factor of five between variants — would have required revision.</w:t>
      </w:r>
    </w:p>
    <w:p>
      <w:pPr>
        <w:spacing w:after="120" w:line="276"/>
      </w:pPr>
      <w:r>
        <w:rPr>
          <w:rFonts w:ascii="Calibri" w:cs="Calibri" w:eastAsia="Calibri" w:hAnsi="Calibri"/>
          <w:sz w:val="20"/>
          <w:szCs w:val="20"/>
        </w:rPr>
        <w:t xml:space="preserve">It affects the specification of the remaining lines. A panel of this generation is supplied with one loop card already fitted. The bill of quantities should therefore be read as requiring three additional cards for the main panel rather than four identical units, with any further card belonging to the expansion panel if that is retained.</w:t>
      </w:r>
    </w:p>
    <w:p>
      <w:pPr>
        <w:spacing w:after="120" w:line="276"/>
      </w:pPr>
      <w:r>
        <w:rPr>
          <w:rFonts w:ascii="Calibri" w:cs="Calibri" w:eastAsia="Calibri" w:hAnsi="Calibri"/>
          <w:b/>
          <w:bCs/>
          <w:sz w:val="20"/>
          <w:szCs w:val="20"/>
        </w:rPr>
        <w:t xml:space="preserve">It creates a residual asset. </w:t>
      </w:r>
      <w:r>
        <w:rPr>
          <w:rFonts w:ascii="Calibri" w:cs="Calibri" w:eastAsia="Calibri" w:hAnsi="Calibri"/>
          <w:sz w:val="20"/>
          <w:szCs w:val="20"/>
        </w:rPr>
        <w:t xml:space="preserve">If the panel is removed and proves to be functional, it should not simply be discarded. A control panel of this family and vintage has value either as a retained spare — held against failure of the new equipment, which shortens any future outage considerably — or as a credit against the contract sum. The Client should require the contractor to return the removed panel rather than treating it as scrap, and should record its condition on removal.</w:t>
      </w:r>
    </w:p>
    <w:p>
      <w:pPr>
        <w:spacing w:after="120" w:line="276"/>
      </w:pPr>
      <w:r>
        <w:rPr>
          <w:rFonts w:ascii="Calibri" w:cs="Calibri" w:eastAsia="Calibri" w:hAnsi="Calibri"/>
          <w:sz w:val="20"/>
          <w:szCs w:val="20"/>
        </w:rPr>
        <w:t xml:space="preserve">Two matters could not be resolved from the photographs and remain open. The exact model is not confirmed, as the original and current generations of this panel family share the same fascia. The display also appeared blank in both images, which may be a photographic artefact or may indicate a fault. The model label inside the enclosure and a photograph of the display in its normal operating state would settle both, and would also substantiate the replacement decision on the record.</w:t>
      </w:r>
    </w:p>
    <w:p>
      <w:r>
        <w:br w:type="page"/>
      </w:r>
    </w:p>
    <w:p>
      <w:pPr>
        <w:pStyle w:val="Heading1"/>
        <w:spacing w:after="160" w:before="360"/>
      </w:pPr>
      <w:r>
        <w:rPr>
          <w:rFonts w:ascii="Calibri" w:cs="Calibri" w:eastAsia="Calibri" w:hAnsi="Calibri"/>
          <w:b/>
          <w:bCs/>
          <w:color w:val="1F3864"/>
          <w:sz w:val="28"/>
          <w:szCs w:val="28"/>
        </w:rPr>
        <w:t xml:space="preserve">7. Assessment of the installed equipment family</w:t>
      </w:r>
    </w:p>
    <w:p>
      <w:pPr>
        <w:pStyle w:val="Heading2"/>
        <w:spacing w:after="120" w:before="260"/>
      </w:pPr>
      <w:r>
        <w:rPr>
          <w:rFonts w:ascii="Calibri" w:cs="Calibri" w:eastAsia="Calibri" w:hAnsi="Calibri"/>
          <w:b/>
          <w:bCs/>
          <w:color w:val="1F3864"/>
          <w:sz w:val="23"/>
          <w:szCs w:val="23"/>
        </w:rPr>
        <w:t xml:space="preserve">7.1 Product status</w:t>
      </w:r>
    </w:p>
    <w:p>
      <w:pPr>
        <w:spacing w:after="120" w:line="276"/>
      </w:pPr>
      <w:r>
        <w:rPr>
          <w:rFonts w:ascii="Calibri" w:cs="Calibri" w:eastAsia="Calibri" w:hAnsi="Calibri"/>
          <w:sz w:val="20"/>
          <w:szCs w:val="20"/>
        </w:rPr>
        <w:t xml:space="preserve">The installed equipment family remains current and supported. The control panel range in question is the manufacturer's present flagship, the detector range is the current generation, and the manufacturer continues to develop the platform — including self-testing detectors that materially reduce the cost of routine testing on large device counts. There is no technical case for abandoning the platform on obsolescence grounds.</w:t>
      </w:r>
    </w:p>
    <w:p>
      <w:pPr>
        <w:spacing w:after="120" w:line="276"/>
      </w:pPr>
      <w:r>
        <w:rPr>
          <w:rFonts w:ascii="Calibri" w:cs="Calibri" w:eastAsia="Calibri" w:hAnsi="Calibri"/>
          <w:sz w:val="20"/>
          <w:szCs w:val="20"/>
        </w:rPr>
        <w:t xml:space="preserve">Every part number appearing in the four compliant submissions was verified as a real, current product. No bidder invented a component.</w:t>
      </w:r>
    </w:p>
    <w:p>
      <w:pPr>
        <w:pStyle w:val="Heading2"/>
        <w:spacing w:after="120" w:before="260"/>
      </w:pPr>
      <w:r>
        <w:rPr>
          <w:rFonts w:ascii="Calibri" w:cs="Calibri" w:eastAsia="Calibri" w:hAnsi="Calibri"/>
          <w:b/>
          <w:bCs/>
          <w:color w:val="1F3864"/>
          <w:sz w:val="23"/>
          <w:szCs w:val="23"/>
        </w:rPr>
        <w:t xml:space="preserve">7.2 Local availability</w:t>
      </w:r>
    </w:p>
    <w:p>
      <w:pPr>
        <w:spacing w:after="120" w:line="276"/>
      </w:pPr>
      <w:r>
        <w:rPr>
          <w:rFonts w:ascii="Calibri" w:cs="Calibri" w:eastAsia="Calibri" w:hAnsi="Calibri"/>
          <w:sz w:val="20"/>
          <w:szCs w:val="20"/>
        </w:rPr>
        <w:t xml:space="preserve">Equipment is obtainable in Lagos. Multiple trade sellers list the control panel, detectors, call points, interface modules, loop cards and network cards, and prices were verified for six of the eleven lines. No factory-appointed distributor was identified in Nigeria; supply appears to run through importers and resellers, which is normal for the market but bears on warranty recourse.</w:t>
      </w:r>
    </w:p>
    <w:p>
      <w:pPr>
        <w:pStyle w:val="Heading2"/>
        <w:spacing w:after="120" w:before="260"/>
      </w:pPr>
      <w:r>
        <w:rPr>
          <w:rFonts w:ascii="Calibri" w:cs="Calibri" w:eastAsia="Calibri" w:hAnsi="Calibri"/>
          <w:b/>
          <w:bCs/>
          <w:color w:val="1F3864"/>
          <w:sz w:val="23"/>
          <w:szCs w:val="23"/>
        </w:rPr>
        <w:t xml:space="preserve">7.3 The material constraint</w:t>
      </w:r>
    </w:p>
    <w:p>
      <w:pPr>
        <w:spacing w:after="120" w:line="276"/>
      </w:pPr>
      <w:r>
        <w:rPr>
          <w:rFonts w:ascii="Calibri" w:cs="Calibri" w:eastAsia="Calibri" w:hAnsi="Calibri"/>
          <w:b/>
          <w:bCs/>
          <w:sz w:val="20"/>
          <w:szCs w:val="20"/>
        </w:rPr>
        <w:t xml:space="preserve">The manufacturer restricts its commissioning software to engineers it has certified. </w:t>
      </w:r>
      <w:r>
        <w:rPr>
          <w:rFonts w:ascii="Calibri" w:cs="Calibri" w:eastAsia="Calibri" w:hAnsi="Calibri"/>
          <w:sz w:val="20"/>
          <w:szCs w:val="20"/>
        </w:rPr>
        <w:t xml:space="preserve">Hardware can be bought freely; the panel cannot be lawfully programmed, tested or certificated without a certified engineer. In a market with no appointed distributor, this is the single most important question in the tender — and no submission addresses it. The Client should require documentary evidence of certification as a condition of award.</w:t>
      </w:r>
    </w:p>
    <w:p>
      <w:pPr>
        <w:pStyle w:val="Heading2"/>
        <w:spacing w:after="120" w:before="260"/>
      </w:pPr>
      <w:r>
        <w:rPr>
          <w:rFonts w:ascii="Calibri" w:cs="Calibri" w:eastAsia="Calibri" w:hAnsi="Calibri"/>
          <w:b/>
          <w:bCs/>
          <w:color w:val="1F3864"/>
          <w:sz w:val="23"/>
          <w:szCs w:val="23"/>
        </w:rPr>
        <w:t xml:space="preserve">7.4 Alternatives</w:t>
      </w:r>
    </w:p>
    <w:p>
      <w:pPr>
        <w:spacing w:after="120" w:line="276"/>
      </w:pPr>
      <w:r>
        <w:rPr>
          <w:rFonts w:ascii="Calibri" w:cs="Calibri" w:eastAsia="Calibri" w:hAnsi="Calibri"/>
          <w:sz w:val="20"/>
          <w:szCs w:val="20"/>
        </w:rPr>
        <w:t xml:space="preserve">Should certification prove unobtainable, or should the existing panel turn out to be beyond economic repair, open-protocol alternatives are available in Lagos. Open-protocol systems publish their communication standard, so any accredited contractor can maintain them and the annual service contract can be competitively tendered for the life of the installation. The equipment cost is broadly comparable; the saving is in maintenance competition and the absence of vendor lock-in.</w:t>
      </w:r>
    </w:p>
    <w:p>
      <w:pPr>
        <w:spacing w:after="120" w:line="276"/>
      </w:pPr>
      <w:r>
        <w:rPr>
          <w:rFonts w:ascii="Calibri" w:cs="Calibri" w:eastAsia="Calibri" w:hAnsi="Calibri"/>
          <w:i/>
          <w:iCs/>
          <w:color w:val="595959"/>
          <w:sz w:val="18"/>
          <w:szCs w:val="18"/>
        </w:rPr>
        <w:t xml:space="preserve">This is worth pricing in parallel rather than in place of the current approach. The specification already replaces every device, both panels and the cabling, so the compatibility constraint that justifies staying with the incumbent platform is protecting very little.</w:t>
      </w:r>
    </w:p>
    <w:p>
      <w:pPr>
        <w:pStyle w:val="Heading1"/>
        <w:spacing w:after="160" w:before="360"/>
      </w:pPr>
      <w:r>
        <w:rPr>
          <w:rFonts w:ascii="Calibri" w:cs="Calibri" w:eastAsia="Calibri" w:hAnsi="Calibri"/>
          <w:b/>
          <w:bCs/>
          <w:color w:val="1F3864"/>
          <w:sz w:val="28"/>
          <w:szCs w:val="28"/>
        </w:rPr>
        <w:t xml:space="preserve">8. Observations by submission</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7120"/>
      </w:tblGrid>
      <w:tr>
        <w:trPr>
          <w:tblHeader/>
        </w:trPr>
        <w:tc>
          <w:tcPr>
            <w:tcW w:type="dxa" w:w="19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7"/>
                <w:szCs w:val="17"/>
              </w:rPr>
              <w:t xml:space="preserve">Submission</w:t>
            </w:r>
          </w:p>
        </w:tc>
        <w:tc>
          <w:tcPr>
            <w:tcW w:type="dxa" w:w="712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7"/>
                <w:szCs w:val="17"/>
              </w:rPr>
              <w:t xml:space="preserve">Observations</w:t>
            </w:r>
          </w:p>
        </w:tc>
      </w:tr>
      <w:tr>
        <w:trPr>
          <w:tblHeader w:val="false"/>
        </w:trPr>
        <w:tc>
          <w:tcPr>
            <w:tcW w:type="dxa" w:w="1900"/>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A — TotaGO</w:t>
            </w:r>
          </w:p>
        </w:tc>
        <w:tc>
          <w:tcPr>
            <w:tcW w:type="dxa" w:w="712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Highest price, and highest on the most visible single item: the control panel is quoted 43–56% above verified market. The interface module is priced above the cost of a superior four-channel unit locally. The submission contains an arithmetic error of NGN 300,000 on which its own subtotal depends, and two mistyped rates. Validity was seven days from March 2026. None of the ten required commercial particulars were provided.</w:t>
            </w:r>
          </w:p>
        </w:tc>
      </w:tr>
      <w:tr>
        <w:trPr>
          <w:tblHeader w:val="false"/>
        </w:trPr>
        <w:tc>
          <w:tcPr>
            <w:tcW w:type="dxa" w:w="1900"/>
            <w:shd w:fill="F2F5FA" w:color="auto" w:val="clear"/>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B — Emo-Technical</w:t>
            </w:r>
          </w:p>
        </w:tc>
        <w:tc>
          <w:tcPr>
            <w:tcW w:type="dxa" w:w="712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Arithmetically clean, and the only submission answering every commercial question the Client asked: delivery, programme, warranty, payment terms and validity. Still valid at the date of review. Against that: the call point is 45% above verified market; the apparent economy in item 13 is a reclassification into items 8 and 12 rather than a saving; and the letterhead refers to an unrelated project, indicating the document was adapted from another quotation.</w:t>
            </w:r>
          </w:p>
        </w:tc>
      </w:tr>
      <w:tr>
        <w:trPr>
          <w:tblHeader w:val="false"/>
        </w:trPr>
        <w:tc>
          <w:tcPr>
            <w:tcW w:type="dxa" w:w="1900"/>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C — Potreal (PISL)</w:t>
            </w:r>
          </w:p>
        </w:tc>
        <w:tc>
          <w:tcPr>
            <w:tcW w:type="dxa" w:w="712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Mid-priced and compliant on equipment. The network card is quoted at approximately 2.5 times verified market. No commercial particulars were provided. The tender pack includes this bidder's corporate profile, which the Client may wish to consider when establishing who compiled the pack.</w:t>
            </w:r>
          </w:p>
        </w:tc>
      </w:tr>
      <w:tr>
        <w:trPr>
          <w:tblHeader w:val="false"/>
        </w:trPr>
        <w:tc>
          <w:tcPr>
            <w:tcW w:type="dxa" w:w="1900"/>
            <w:shd w:fill="F2F5FA" w:color="auto" w:val="clear"/>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D — JML / Fadayomi</w:t>
            </w:r>
          </w:p>
        </w:tc>
        <w:tc>
          <w:tcPr>
            <w:tcW w:type="dxa" w:w="712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Lowest compliant price, but the ranking changes once the omitted expansion panel is imputed. The only submission to state actual manufacturer part numbers, which is a point in its favour. Against that: the control panel is quoted 29–35% below verified market and the network card at 27% of it, neither of which is consistent with genuine new equipment; and the all-in soft cost of 13.3% is the lowest by a wide margin, at under NGN 13,000 per device for the entire installation, testing, commissioning, documentation and training obligation.</w:t>
            </w:r>
          </w:p>
        </w:tc>
      </w:tr>
      <w:tr>
        <w:trPr>
          <w:tblHeader w:val="false"/>
        </w:trPr>
        <w:tc>
          <w:tcPr>
            <w:tcW w:type="dxa" w:w="1900"/>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E — Roundbox</w:t>
            </w:r>
          </w:p>
        </w:tc>
        <w:tc>
          <w:tcPr>
            <w:tcW w:type="dxa" w:w="712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Non-compliant. Substitutes a different manufacturer's equipment throughout, contrary to the compatibility requirement, and supplies one loop card against the four specified. VAT is labelled at 5% though computed at 7.5%. Payment terms are heavily front-loaded. Its installation allowance is, in absolute terms, among the more realistic of the five.</w:t>
            </w:r>
          </w:p>
        </w:tc>
      </w:tr>
    </w:tbl>
    <w:p>
      <w:r>
        <w:br w:type="page"/>
      </w:r>
    </w:p>
    <w:p>
      <w:pPr>
        <w:pStyle w:val="Heading1"/>
        <w:spacing w:after="160" w:before="360"/>
      </w:pPr>
      <w:r>
        <w:rPr>
          <w:rFonts w:ascii="Calibri" w:cs="Calibri" w:eastAsia="Calibri" w:hAnsi="Calibri"/>
          <w:b/>
          <w:bCs/>
          <w:color w:val="1F3864"/>
          <w:sz w:val="28"/>
          <w:szCs w:val="28"/>
        </w:rPr>
        <w:t xml:space="preserve">9. Recommendations</w:t>
      </w:r>
    </w:p>
    <w:p>
      <w:pPr>
        <w:spacing w:after="120" w:line="276"/>
      </w:pPr>
      <w:r>
        <w:rPr>
          <w:rFonts w:ascii="Calibri" w:cs="Calibri" w:eastAsia="Calibri" w:hAnsi="Calibri"/>
          <w:b/>
          <w:bCs/>
          <w:sz w:val="20"/>
          <w:szCs w:val="20"/>
        </w:rPr>
        <w:t xml:space="preserve">It is recommended that the tender is not awarded on its present basis. The following sequence is proposed.</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760"/>
        <w:gridCol w:w="5100"/>
        <w:gridCol w:w="3160"/>
      </w:tblGrid>
      <w:tr>
        <w:trPr>
          <w:tblHeader/>
        </w:trPr>
        <w:tc>
          <w:tcPr>
            <w:tcW w:type="dxa" w:w="7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
            </w:r>
          </w:p>
        </w:tc>
        <w:tc>
          <w:tcPr>
            <w:tcW w:type="dxa" w:w="51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Action</w:t>
            </w:r>
          </w:p>
        </w:tc>
        <w:tc>
          <w:tcPr>
            <w:tcW w:type="dxa" w:w="316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8"/>
                <w:szCs w:val="18"/>
              </w:rPr>
              <w:t xml:space="preserve">Rationale</w:t>
            </w:r>
          </w:p>
        </w:tc>
      </w:tr>
      <w:tr>
        <w:trPr>
          <w:tblHeader w:val="false"/>
        </w:trPr>
        <w:tc>
          <w:tcPr>
            <w:tcW w:type="dxa" w:w="760"/>
            <w:tcMar>
              <w:top w:type="dxa" w:w="60"/>
              <w:left w:type="dxa" w:w="100"/>
              <w:bottom w:type="dxa" w:w="60"/>
              <w:right w:type="dxa" w:w="100"/>
            </w:tcMar>
          </w:tcPr>
          <w:p>
            <w:pPr>
              <w:spacing w:after="0" w:line="240"/>
              <w:jc w:val="center"/>
            </w:pPr>
            <w:r>
              <w:rPr>
                <w:rFonts w:ascii="Calibri" w:cs="Calibri" w:eastAsia="Calibri" w:hAnsi="Calibri"/>
                <w:b w:val="false"/>
                <w:bCs w:val="false"/>
                <w:color w:val="000000"/>
                <w:sz w:val="18"/>
                <w:szCs w:val="18"/>
              </w:rPr>
              <w:t xml:space="preserve">1</w:t>
            </w:r>
          </w:p>
        </w:tc>
        <w:tc>
          <w:tcPr>
            <w:tcW w:type="dxa" w:w="510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Require every bidder to evidence manufacturer certification and name its certified commissioning engineer, with certificate reference.</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Without this the system cannot be programmed, tested or certificated, whatever is paid for the hardware. This is a pass or fail condition and it precedes every price question.</w:t>
            </w:r>
          </w:p>
        </w:tc>
      </w:tr>
      <w:tr>
        <w:trPr>
          <w:tblHeader w:val="false"/>
        </w:trPr>
        <w:tc>
          <w:tcPr>
            <w:tcW w:type="dxa" w:w="760"/>
            <w:shd w:fill="F2F5FA"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color w:val="000000"/>
                <w:sz w:val="18"/>
                <w:szCs w:val="18"/>
              </w:rPr>
              <w:t xml:space="preserve">2</w:t>
            </w:r>
          </w:p>
        </w:tc>
        <w:tc>
          <w:tcPr>
            <w:tcW w:type="dxa" w:w="510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Require the technical schedule at Appendix A as a mandatory return, and treat any submission that does not complete it as non-responsive.</w:t>
            </w:r>
          </w:p>
        </w:tc>
        <w:tc>
          <w:tcPr>
            <w:tcW w:type="dxa" w:w="316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Six equipment lines cannot presently be compared. This single document resolves all six and is the highest-value clarification available.</w:t>
            </w:r>
          </w:p>
        </w:tc>
      </w:tr>
      <w:tr>
        <w:trPr>
          <w:tblHeader w:val="false"/>
        </w:trPr>
        <w:tc>
          <w:tcPr>
            <w:tcW w:type="dxa" w:w="760"/>
            <w:tcMar>
              <w:top w:type="dxa" w:w="60"/>
              <w:left w:type="dxa" w:w="100"/>
              <w:bottom w:type="dxa" w:w="60"/>
              <w:right w:type="dxa" w:w="100"/>
            </w:tcMar>
          </w:tcPr>
          <w:p>
            <w:pPr>
              <w:spacing w:after="0" w:line="240"/>
              <w:jc w:val="center"/>
            </w:pPr>
            <w:r>
              <w:rPr>
                <w:rFonts w:ascii="Calibri" w:cs="Calibri" w:eastAsia="Calibri" w:hAnsi="Calibri"/>
                <w:b w:val="false"/>
                <w:bCs w:val="false"/>
                <w:color w:val="000000"/>
                <w:sz w:val="18"/>
                <w:szCs w:val="18"/>
              </w:rPr>
              <w:t xml:space="preserve">3</w:t>
            </w:r>
          </w:p>
        </w:tc>
        <w:tc>
          <w:tcPr>
            <w:tcW w:type="dxa" w:w="510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Reissue the bill of quantities with exact part numbers for items 2, 3, 4, 6, 9 and 11, and correct item 11 from one unit to two.</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Bids cannot be compared until every bidder is pricing the same product. Removes an ambiguity worth approximately NGN 5.3m on item 6 alone.</w:t>
            </w:r>
          </w:p>
        </w:tc>
      </w:tr>
      <w:tr>
        <w:trPr>
          <w:tblHeader w:val="false"/>
        </w:trPr>
        <w:tc>
          <w:tcPr>
            <w:tcW w:type="dxa" w:w="760"/>
            <w:shd w:fill="F2F5FA"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color w:val="000000"/>
                <w:sz w:val="18"/>
                <w:szCs w:val="18"/>
              </w:rPr>
              <w:t xml:space="preserve">4</w:t>
            </w:r>
          </w:p>
        </w:tc>
        <w:tc>
          <w:tcPr>
            <w:tcW w:type="dxa" w:w="510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Challenge items 8, 12 and 13 as one combined figure rather than three, and require bidders below the median to confirm their price is fixed for all scope described.</w:t>
            </w:r>
          </w:p>
        </w:tc>
        <w:tc>
          <w:tcPr>
            <w:tcW w:type="dxa" w:w="316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Preliminaries have been distributed differently between these three lines by different bidders. Challenging them individually penalises the bidder whose aggregate is in fact the more reasonable, and leaves an under-scoped allowance free to return as a variation.</w:t>
            </w:r>
          </w:p>
        </w:tc>
      </w:tr>
      <w:tr>
        <w:trPr>
          <w:tblHeader w:val="false"/>
        </w:trPr>
        <w:tc>
          <w:tcPr>
            <w:tcW w:type="dxa" w:w="760"/>
            <w:tcMar>
              <w:top w:type="dxa" w:w="60"/>
              <w:left w:type="dxa" w:w="100"/>
              <w:bottom w:type="dxa" w:w="60"/>
              <w:right w:type="dxa" w:w="100"/>
            </w:tcMar>
          </w:tcPr>
          <w:p>
            <w:pPr>
              <w:spacing w:after="0" w:line="240"/>
              <w:jc w:val="center"/>
            </w:pPr>
            <w:r>
              <w:rPr>
                <w:rFonts w:ascii="Calibri" w:cs="Calibri" w:eastAsia="Calibri" w:hAnsi="Calibri"/>
                <w:b w:val="false"/>
                <w:bCs w:val="false"/>
                <w:color w:val="000000"/>
                <w:sz w:val="18"/>
                <w:szCs w:val="18"/>
              </w:rPr>
              <w:t xml:space="preserve">5</w:t>
            </w:r>
          </w:p>
        </w:tc>
        <w:tc>
          <w:tcPr>
            <w:tcW w:type="dxa" w:w="510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Require a site survey and a defect schedule before pricing, as the Client's own document already stipulates.</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The Client's document requires the contractor to identify defective components and verify quantities. There is no evidence in any submission that this has been done.</w:t>
            </w:r>
          </w:p>
        </w:tc>
      </w:tr>
      <w:tr>
        <w:trPr>
          <w:tblHeader w:val="false"/>
        </w:trPr>
        <w:tc>
          <w:tcPr>
            <w:tcW w:type="dxa" w:w="760"/>
            <w:shd w:fill="F2F5FA"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color w:val="000000"/>
                <w:sz w:val="18"/>
                <w:szCs w:val="18"/>
              </w:rPr>
              <w:t xml:space="preserve">6</w:t>
            </w:r>
          </w:p>
        </w:tc>
        <w:tc>
          <w:tcPr>
            <w:tcW w:type="dxa" w:w="510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Require an input and output schedule showing what each interface module will monitor or control.</w:t>
            </w:r>
          </w:p>
        </w:tc>
        <w:tc>
          <w:tcPr>
            <w:tcW w:type="dxa" w:w="316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Distinguishes bidders who have surveyed the site from those who have priced from the document.</w:t>
            </w:r>
          </w:p>
        </w:tc>
      </w:tr>
      <w:tr>
        <w:trPr>
          <w:tblHeader w:val="false"/>
        </w:trPr>
        <w:tc>
          <w:tcPr>
            <w:tcW w:type="dxa" w:w="760"/>
            <w:tcMar>
              <w:top w:type="dxa" w:w="60"/>
              <w:left w:type="dxa" w:w="100"/>
              <w:bottom w:type="dxa" w:w="60"/>
              <w:right w:type="dxa" w:w="100"/>
            </w:tcMar>
          </w:tcPr>
          <w:p>
            <w:pPr>
              <w:spacing w:after="0" w:line="240"/>
              <w:jc w:val="center"/>
            </w:pPr>
            <w:r>
              <w:rPr>
                <w:rFonts w:ascii="Calibri" w:cs="Calibri" w:eastAsia="Calibri" w:hAnsi="Calibri"/>
                <w:b w:val="false"/>
                <w:bCs w:val="false"/>
                <w:color w:val="000000"/>
                <w:sz w:val="18"/>
                <w:szCs w:val="18"/>
              </w:rPr>
              <w:t xml:space="preserve">7</w:t>
            </w:r>
          </w:p>
        </w:tc>
        <w:tc>
          <w:tcPr>
            <w:tcW w:type="dxa" w:w="510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Invite an open-protocol alternative as a parallel priced option.</w:t>
            </w:r>
          </w:p>
        </w:tc>
        <w:tc>
          <w:tcPr>
            <w:tcW w:type="dxa" w:w="3160"/>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Costs nothing to request. Establishes whether the incumbent platform is genuinely the best value over the installation's life, or merely the default.</w:t>
            </w:r>
          </w:p>
        </w:tc>
      </w:tr>
      <w:tr>
        <w:trPr>
          <w:tblHeader w:val="false"/>
        </w:trPr>
        <w:tc>
          <w:tcPr>
            <w:tcW w:type="dxa" w:w="760"/>
            <w:shd w:fill="F2F5FA" w:color="auto" w:val="clear"/>
            <w:tcMar>
              <w:top w:type="dxa" w:w="60"/>
              <w:left w:type="dxa" w:w="100"/>
              <w:bottom w:type="dxa" w:w="60"/>
              <w:right w:type="dxa" w:w="100"/>
            </w:tcMar>
          </w:tcPr>
          <w:p>
            <w:pPr>
              <w:spacing w:after="0" w:line="240"/>
              <w:jc w:val="center"/>
            </w:pPr>
            <w:r>
              <w:rPr>
                <w:rFonts w:ascii="Calibri" w:cs="Calibri" w:eastAsia="Calibri" w:hAnsi="Calibri"/>
                <w:b w:val="false"/>
                <w:bCs w:val="false"/>
                <w:color w:val="000000"/>
                <w:sz w:val="18"/>
                <w:szCs w:val="18"/>
              </w:rPr>
              <w:t xml:space="preserve">8</w:t>
            </w:r>
          </w:p>
        </w:tc>
        <w:tc>
          <w:tcPr>
            <w:tcW w:type="dxa" w:w="510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Obtain written reconfirmation of validity from the three bidders whose submissions have lapsed.</w:t>
            </w:r>
          </w:p>
        </w:tc>
        <w:tc>
          <w:tcPr>
            <w:tcW w:type="dxa" w:w="316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Three of five prices are no longer binding.</w:t>
            </w:r>
          </w:p>
        </w:tc>
      </w:tr>
    </w:tbl>
    <w:p>
      <w:pPr>
        <w:spacing w:after="120" w:line="276"/>
      </w:pPr>
      <w:r>
        <w:rPr>
          <w:rFonts w:ascii="Calibri" w:cs="Calibri" w:eastAsia="Calibri" w:hAnsi="Calibri"/>
          <w:b/>
          <w:bCs/>
          <w:sz w:val="20"/>
          <w:szCs w:val="20"/>
        </w:rPr>
        <w:t xml:space="preserve">On the current information, no award should be made to any submission until items 1 to 3 above are complete. Once the specification is corrected and certification evidenced, price comparison becomes meaningful and the ranking in the executive summary can be relied upon.</w:t>
      </w:r>
    </w:p>
    <w:p>
      <w:pPr>
        <w:pStyle w:val="Heading1"/>
        <w:spacing w:after="160" w:before="360"/>
      </w:pPr>
      <w:r>
        <w:rPr>
          <w:rFonts w:ascii="Calibri" w:cs="Calibri" w:eastAsia="Calibri" w:hAnsi="Calibri"/>
          <w:b/>
          <w:bCs/>
          <w:color w:val="1F3864"/>
          <w:sz w:val="28"/>
          <w:szCs w:val="28"/>
        </w:rPr>
        <w:t xml:space="preserve">10. Limitations</w:t>
      </w:r>
    </w:p>
    <w:p>
      <w:pPr>
        <w:spacing w:after="120" w:line="276"/>
      </w:pPr>
      <w:r>
        <w:rPr>
          <w:rFonts w:ascii="Calibri" w:cs="Calibri" w:eastAsia="Calibri" w:hAnsi="Calibri"/>
          <w:sz w:val="20"/>
          <w:szCs w:val="20"/>
        </w:rPr>
        <w:t xml:space="preserve">This report should be read subject to the following.</w:t>
      </w:r>
    </w:p>
    <w:p>
      <w:pPr>
        <w:pStyle w:val="ListParagraph"/>
        <w:numPr>
          <w:ilvl w:val="0"/>
          <w:numId w:val="2"/>
        </w:numPr>
        <w:spacing w:after="80" w:line="276"/>
      </w:pPr>
      <w:r>
        <w:rPr>
          <w:rFonts w:ascii="Calibri" w:cs="Calibri" w:eastAsia="Calibri" w:hAnsi="Calibri"/>
          <w:sz w:val="20"/>
          <w:szCs w:val="20"/>
        </w:rPr>
        <w:t xml:space="preserve">Market prices are asking prices from trade listings and online sellers, not formal quotations. They indicate the level of the market; they are not offers capable of acceptance.</w:t>
      </w:r>
    </w:p>
    <w:p>
      <w:pPr>
        <w:pStyle w:val="ListParagraph"/>
        <w:numPr>
          <w:ilvl w:val="0"/>
          <w:numId w:val="2"/>
        </w:numPr>
        <w:spacing w:after="80" w:line="276"/>
      </w:pPr>
      <w:r>
        <w:rPr>
          <w:rFonts w:ascii="Calibri" w:cs="Calibri" w:eastAsia="Calibri" w:hAnsi="Calibri"/>
          <w:sz w:val="20"/>
          <w:szCs w:val="20"/>
        </w:rPr>
        <w:t xml:space="preserve">Prices converted from sterling use an exchange rate of NGN 1,837.89 to the pound, which moved within a 2% band in the week of preparation. Converted figures carry that sensitivity before any other.</w:t>
      </w:r>
    </w:p>
    <w:p>
      <w:pPr>
        <w:pStyle w:val="ListParagraph"/>
        <w:numPr>
          <w:ilvl w:val="0"/>
          <w:numId w:val="2"/>
        </w:numPr>
        <w:spacing w:after="80" w:line="276"/>
      </w:pPr>
      <w:r>
        <w:rPr>
          <w:rFonts w:ascii="Calibri" w:cs="Calibri" w:eastAsia="Calibri" w:hAnsi="Calibri"/>
          <w:sz w:val="20"/>
          <w:szCs w:val="20"/>
        </w:rPr>
        <w:t xml:space="preserve">The identification of the existing panel rests on photographs. The exact model is not confirmed, and the panel's functional condition has not been established. If the panel proves to be a legacy variant, several conclusions in sections 5 and 6 change materially.</w:t>
      </w:r>
    </w:p>
    <w:p>
      <w:pPr>
        <w:pStyle w:val="ListParagraph"/>
        <w:numPr>
          <w:ilvl w:val="0"/>
          <w:numId w:val="2"/>
        </w:numPr>
        <w:spacing w:after="80" w:line="276"/>
      </w:pPr>
      <w:r>
        <w:rPr>
          <w:rFonts w:ascii="Calibri" w:cs="Calibri" w:eastAsia="Calibri" w:hAnsi="Calibri"/>
          <w:sz w:val="20"/>
          <w:szCs w:val="20"/>
        </w:rPr>
        <w:t xml:space="preserve">Quantities are the Client's and have not been verified. The Client's own document requires the successful contractor to verify them by survey before execution.</w:t>
      </w:r>
    </w:p>
    <w:p>
      <w:pPr>
        <w:pStyle w:val="ListParagraph"/>
        <w:numPr>
          <w:ilvl w:val="0"/>
          <w:numId w:val="2"/>
        </w:numPr>
        <w:spacing w:after="80" w:line="276"/>
      </w:pPr>
      <w:r>
        <w:rPr>
          <w:rFonts w:ascii="Calibri" w:cs="Calibri" w:eastAsia="Calibri" w:hAnsi="Calibri"/>
          <w:sz w:val="20"/>
          <w:szCs w:val="20"/>
        </w:rPr>
        <w:t xml:space="preserve">No assessment has been made of any bidder's competence, references, financial standing, or capacity to perform.</w:t>
      </w:r>
    </w:p>
    <w:p>
      <w:pPr>
        <w:pStyle w:val="ListParagraph"/>
        <w:numPr>
          <w:ilvl w:val="0"/>
          <w:numId w:val="2"/>
        </w:numPr>
        <w:spacing w:after="80" w:line="276"/>
      </w:pPr>
      <w:r>
        <w:rPr>
          <w:rFonts w:ascii="Calibri" w:cs="Calibri" w:eastAsia="Calibri" w:hAnsi="Calibri"/>
          <w:sz w:val="20"/>
          <w:szCs w:val="20"/>
        </w:rPr>
        <w:t xml:space="preserve">This is a commercial and specification review. It is not a fire engineering assessment and does not certify that the tendered system, if installed as specified, would comply with any applicable standard.</w:t>
      </w:r>
    </w:p>
    <w:p>
      <w:r>
        <w:br w:type="page"/>
      </w:r>
    </w:p>
    <w:p>
      <w:pPr>
        <w:pStyle w:val="Heading1"/>
        <w:spacing w:after="160" w:before="360"/>
      </w:pPr>
      <w:r>
        <w:rPr>
          <w:rFonts w:ascii="Calibri" w:cs="Calibri" w:eastAsia="Calibri" w:hAnsi="Calibri"/>
          <w:b/>
          <w:bCs/>
          <w:color w:val="1F3864"/>
          <w:sz w:val="28"/>
          <w:szCs w:val="28"/>
        </w:rPr>
        <w:t xml:space="preserve">Appendix A — Technical schedule to be returned by bidders</w:t>
      </w:r>
    </w:p>
    <w:p>
      <w:pPr>
        <w:spacing w:after="120" w:line="276"/>
      </w:pPr>
      <w:r>
        <w:rPr>
          <w:rFonts w:ascii="Calibri" w:cs="Calibri" w:eastAsia="Calibri" w:hAnsi="Calibri"/>
          <w:sz w:val="20"/>
          <w:szCs w:val="20"/>
        </w:rPr>
        <w:t xml:space="preserve">Bidders shall complete the following for every equipment line quoted. A submission that does not complete this schedule should be treated as non-responsive, since without it the equipment cannot be compared between bidders.</w:t>
      </w:r>
    </w:p>
    <w:tbl>
      <w:tblPr>
        <w:tblW w:type="dxa" w:w="9020"/>
        <w:tblBorders>
          <w:top w:val="single" w:color="BFBFBF" w:sz="2"/>
          <w:left w:val="single" w:color="BFBFBF" w:sz="2"/>
          <w:bottom w:val="single" w:color="BFBFBF" w:sz="2"/>
          <w:right w:val="single" w:color="BFBFBF" w:sz="2"/>
          <w:insideH w:val="single" w:color="D9D9D9" w:sz="2"/>
          <w:insideV w:val="single" w:color="D9D9D9" w:sz="2"/>
        </w:tblBorders>
      </w:tblPr>
      <w:tblGrid>
        <w:gridCol w:w="2280"/>
        <w:gridCol w:w="3200"/>
        <w:gridCol w:w="3540"/>
      </w:tblGrid>
      <w:tr>
        <w:trPr>
          <w:tblHeader/>
        </w:trPr>
        <w:tc>
          <w:tcPr>
            <w:tcW w:type="dxa" w:w="228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7"/>
                <w:szCs w:val="17"/>
              </w:rPr>
              <w:t xml:space="preserve">Field</w:t>
            </w:r>
          </w:p>
        </w:tc>
        <w:tc>
          <w:tcPr>
            <w:tcW w:type="dxa" w:w="320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7"/>
                <w:szCs w:val="17"/>
              </w:rPr>
              <w:t xml:space="preserve">What is required</w:t>
            </w:r>
          </w:p>
        </w:tc>
        <w:tc>
          <w:tcPr>
            <w:tcW w:type="dxa" w:w="3540"/>
            <w:shd w:fill="1F3864" w:color="auto" w:val="clear"/>
            <w:tcMar>
              <w:top w:type="dxa" w:w="60"/>
              <w:left w:type="dxa" w:w="100"/>
              <w:bottom w:type="dxa" w:w="60"/>
              <w:right w:type="dxa" w:w="100"/>
            </w:tcMar>
          </w:tcPr>
          <w:p>
            <w:pPr>
              <w:spacing w:after="0" w:line="240"/>
              <w:jc w:val="center"/>
            </w:pPr>
            <w:r>
              <w:rPr>
                <w:rFonts w:ascii="Calibri" w:cs="Calibri" w:eastAsia="Calibri" w:hAnsi="Calibri"/>
                <w:b/>
                <w:bCs/>
                <w:color w:val="FFFFFF"/>
                <w:sz w:val="17"/>
                <w:szCs w:val="17"/>
              </w:rPr>
              <w:t xml:space="preserve">Why it is required</w:t>
            </w:r>
          </w:p>
        </w:tc>
      </w:tr>
      <w:tr>
        <w:trPr>
          <w:tblHeader w:val="false"/>
        </w:trPr>
        <w:tc>
          <w:tcPr>
            <w:tcW w:type="dxa" w:w="2280"/>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Manufacturer</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Manufacturer's name</w:t>
            </w:r>
          </w:p>
        </w:tc>
        <w:tc>
          <w:tcPr>
            <w:tcW w:type="dxa" w:w="354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Confirms compliance with the compatibility requirement</w:t>
            </w:r>
          </w:p>
        </w:tc>
      </w:tr>
      <w:tr>
        <w:trPr>
          <w:tblHeader w:val="false"/>
        </w:trPr>
        <w:tc>
          <w:tcPr>
            <w:tcW w:type="dxa" w:w="2280"/>
            <w:shd w:fill="F2F5FA" w:color="auto" w:val="clear"/>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Part number / order code</w:t>
            </w:r>
          </w:p>
        </w:tc>
        <w:tc>
          <w:tcPr>
            <w:tcW w:type="dxa" w:w="320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The manufacturer's catalogue order code, e.g. the full alphanumeric reference for the detector, panel or card offered</w:t>
            </w:r>
          </w:p>
        </w:tc>
        <w:tc>
          <w:tcPr>
            <w:tcW w:type="dxa" w:w="354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The single most important field. Six lines of the bill of quantities cannot be compared without it</w:t>
            </w:r>
          </w:p>
        </w:tc>
      </w:tr>
      <w:tr>
        <w:trPr>
          <w:tblHeader w:val="false"/>
        </w:trPr>
        <w:tc>
          <w:tcPr>
            <w:tcW w:type="dxa" w:w="2280"/>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Variant and options</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Any variant or optional feature included — sensing element type, integrated sounder, integrated visual alarm device, lens colour and power, element type on call points</w:t>
            </w:r>
          </w:p>
        </w:tc>
        <w:tc>
          <w:tcPr>
            <w:tcW w:type="dxa" w:w="354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Several lines describe a device family containing variants that differ materially in price and performance</w:t>
            </w:r>
          </w:p>
        </w:tc>
      </w:tr>
      <w:tr>
        <w:trPr>
          <w:tblHeader w:val="false"/>
        </w:trPr>
        <w:tc>
          <w:tcPr>
            <w:tcW w:type="dxa" w:w="2280"/>
            <w:shd w:fill="F2F5FA" w:color="auto" w:val="clear"/>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Panel configuration</w:t>
            </w:r>
          </w:p>
        </w:tc>
        <w:tc>
          <w:tcPr>
            <w:tcW w:type="dxa" w:w="320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For control panels: series, model designation, loop capacity, number of loop cards fitted as supplied, and whether supplied with printer</w:t>
            </w:r>
          </w:p>
        </w:tc>
        <w:tc>
          <w:tcPr>
            <w:tcW w:type="dxa" w:w="354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Panels are supplied with loop cards already fitted; quantities elsewhere depend on how many</w:t>
            </w:r>
          </w:p>
        </w:tc>
      </w:tr>
      <w:tr>
        <w:trPr>
          <w:tblHeader w:val="false"/>
        </w:trPr>
        <w:tc>
          <w:tcPr>
            <w:tcW w:type="dxa" w:w="2280"/>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Declaration of Performance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The DoP reference for the part offered, and a copy</w:t>
            </w:r>
          </w:p>
        </w:tc>
        <w:tc>
          <w:tcPr>
            <w:tcW w:type="dxa" w:w="354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A datasheet can be downloaded by anyone. The DoP is the instrument that ties a specific part to its certification</w:t>
            </w:r>
          </w:p>
        </w:tc>
      </w:tr>
      <w:tr>
        <w:trPr>
          <w:tblHeader w:val="false"/>
        </w:trPr>
        <w:tc>
          <w:tcPr>
            <w:tcW w:type="dxa" w:w="2280"/>
            <w:shd w:fill="F2F5FA" w:color="auto" w:val="clear"/>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Country of manufacture</w:t>
            </w:r>
          </w:p>
        </w:tc>
        <w:tc>
          <w:tcPr>
            <w:tcW w:type="dxa" w:w="320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State for each item</w:t>
            </w:r>
          </w:p>
        </w:tc>
        <w:tc>
          <w:tcPr>
            <w:tcW w:type="dxa" w:w="354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Genuine product for this family is manufactured in the United Kingdom and Romania</w:t>
            </w:r>
          </w:p>
        </w:tc>
      </w:tr>
      <w:tr>
        <w:trPr>
          <w:tblHeader w:val="false"/>
        </w:trPr>
        <w:tc>
          <w:tcPr>
            <w:tcW w:type="dxa" w:w="2280"/>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Condition and provenance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Written confirmation that all goods are new, unused, and obtained through an authorised supply channel</w:t>
            </w:r>
          </w:p>
        </w:tc>
        <w:tc>
          <w:tcPr>
            <w:tcW w:type="dxa" w:w="354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Used equipment for this family is openly on sale locally, and several quoted rates sit below the price of new stock</w:t>
            </w:r>
          </w:p>
        </w:tc>
      </w:tr>
      <w:tr>
        <w:trPr>
          <w:tblHeader w:val="false"/>
        </w:trPr>
        <w:tc>
          <w:tcPr>
            <w:tcW w:type="dxa" w:w="2280"/>
            <w:shd w:fill="F2F5FA" w:color="auto" w:val="clear"/>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Warranty</w:t>
            </w:r>
          </w:p>
        </w:tc>
        <w:tc>
          <w:tcPr>
            <w:tcW w:type="dxa" w:w="320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Warranty period stated per line item, not as a single blanket figure</w:t>
            </w:r>
          </w:p>
        </w:tc>
        <w:tc>
          <w:tcPr>
            <w:tcW w:type="dxa" w:w="3540"/>
            <w:shd w:fill="F2F5FA"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Warranty on a panel and on a detector are not usefully expressed as one number</w:t>
            </w:r>
          </w:p>
        </w:tc>
      </w:tr>
      <w:tr>
        <w:trPr>
          <w:tblHeader w:val="false"/>
        </w:trPr>
        <w:tc>
          <w:tcPr>
            <w:tcW w:type="dxa" w:w="2280"/>
            <w:tcMar>
              <w:top w:type="dxa" w:w="60"/>
              <w:left w:type="dxa" w:w="100"/>
              <w:bottom w:type="dxa" w:w="60"/>
              <w:right w:type="dxa" w:w="100"/>
            </w:tcMar>
          </w:tcPr>
          <w:p>
            <w:pPr>
              <w:spacing w:after="0" w:line="240"/>
            </w:pPr>
            <w:r>
              <w:rPr>
                <w:rFonts w:ascii="Calibri" w:cs="Calibri" w:eastAsia="Calibri" w:hAnsi="Calibri"/>
                <w:b/>
                <w:bCs/>
                <w:color w:val="000000"/>
                <w:sz w:val="17"/>
                <w:szCs w:val="17"/>
              </w:rPr>
              <w:t xml:space="preserve">Delivery lead time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Per line item, from order to site</w:t>
            </w:r>
          </w:p>
        </w:tc>
        <w:tc>
          <w:tcPr>
            <w:tcW w:type="dxa" w:w="3540"/>
            <w:tcMar>
              <w:top w:type="dxa" w:w="60"/>
              <w:left w:type="dxa" w:w="100"/>
              <w:bottom w:type="dxa" w:w="60"/>
              <w:right w:type="dxa" w:w="100"/>
            </w:tcMar>
          </w:tcPr>
          <w:p>
            <w:pPr>
              <w:spacing w:after="0" w:line="240"/>
            </w:pPr>
            <w:r>
              <w:rPr>
                <w:rFonts w:ascii="Calibri" w:cs="Calibri" w:eastAsia="Calibri" w:hAnsi="Calibri"/>
                <w:b w:val="false"/>
                <w:bCs w:val="false"/>
                <w:color w:val="000000"/>
                <w:sz w:val="17"/>
                <w:szCs w:val="17"/>
              </w:rPr>
              <w:t xml:space="preserve">Items not held locally drive the programme</w:t>
            </w:r>
          </w:p>
        </w:tc>
      </w:tr>
    </w:tbl>
    <w:p>
      <w:pPr>
        <w:spacing w:after="120" w:line="276"/>
      </w:pPr>
      <w:r>
        <w:rPr>
          <w:rFonts w:ascii="Calibri" w:cs="Calibri" w:eastAsia="Calibri" w:hAnsi="Calibri"/>
          <w:i/>
          <w:iCs/>
          <w:color w:val="595959"/>
          <w:sz w:val="18"/>
          <w:szCs w:val="18"/>
        </w:rPr>
        <w:t xml:space="preserve">Serial numbers are not required at tender stage and should not be requested — they exist only once goods are manufactured and allocated. A serial number schedule should instead be a condition of handover, recorded in the operating and maintenance manual, where it supports warranty claims and asset management.</w:t>
      </w:r>
    </w:p>
    <w:p>
      <w:pPr>
        <w:pBdr>
          <w:bottom w:val="single" w:color="1F3864" w:sz="6"/>
        </w:pBdr>
        <w:spacing w:after="160" w:before="60"/>
      </w:pPr>
    </w:p>
    <w:p>
      <w:pPr>
        <w:spacing w:after="120" w:line="276"/>
        <w:jc w:val="center"/>
      </w:pPr>
      <w:r>
        <w:rPr>
          <w:rFonts w:ascii="Calibri" w:cs="Calibri" w:eastAsia="Calibri" w:hAnsi="Calibri"/>
          <w:i/>
          <w:iCs/>
          <w:color w:val="595959"/>
          <w:sz w:val="20"/>
          <w:szCs w:val="20"/>
        </w:rPr>
        <w:t xml:space="preserve">End of report.</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Fire Detection and Alarm System — Tender Evaluation Report</dc:title>
  <dc:creator>Fire Systems Tender Review</dc:creator>
  <cp:lastModifiedBy>Un-named</cp:lastModifiedBy>
  <cp:revision>1</cp:revision>
  <dcterms:created xsi:type="dcterms:W3CDTF">2026-08-01T11:52:42.367Z</dcterms:created>
  <dcterms:modified xsi:type="dcterms:W3CDTF">2026-08-01T11:52:42.372Z</dcterms:modified>
</cp:coreProperties>
</file>

<file path=docProps/custom.xml><?xml version="1.0" encoding="utf-8"?>
<Properties xmlns="http://schemas.openxmlformats.org/officeDocument/2006/custom-properties" xmlns:vt="http://schemas.openxmlformats.org/officeDocument/2006/docPropsVTypes"/>
</file>