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595959"/>
          <w:sz w:val="22"/>
          <w:szCs w:val="22"/>
        </w:rPr>
        <w:t xml:space="preserve">TENDER EVALUATION REPORT</w:t>
      </w:r>
    </w:p>
    <w:p>
      <w:pPr>
        <w:spacing w:after="60"/>
      </w:pPr>
      <w:r>
        <w:rPr>
          <w:rFonts w:ascii="Calibri" w:cs="Calibri" w:eastAsia="Calibri" w:hAnsi="Calibri"/>
          <w:b/>
          <w:bCs/>
          <w:color w:val="1F3864"/>
          <w:sz w:val="40"/>
          <w:szCs w:val="40"/>
        </w:rPr>
        <w:t xml:space="preserve">Addressable Fire Detection and Alarm System</w:t>
      </w:r>
    </w:p>
    <w:p>
      <w:pPr>
        <w:spacing w:after="240"/>
      </w:pPr>
      <w:r>
        <w:rPr>
          <w:rFonts w:ascii="Calibri" w:cs="Calibri" w:eastAsia="Calibri" w:hAnsi="Calibri"/>
          <w:color w:val="595959"/>
          <w:sz w:val="24"/>
          <w:szCs w:val="24"/>
        </w:rPr>
        <w:t xml:space="preserve">Repair, Replacement, Upgrade, Testing and Recommissioning</w:t>
      </w:r>
    </w:p>
    <w:p>
      <w:pPr>
        <w:pBdr>
          <w:bottom w:val="single" w:color="1F3864" w:sz="6"/>
        </w:pBdr>
        <w:spacing w:after="160" w:before="60"/>
      </w:pPr>
    </w:p>
    <w:p>
      <w:pPr>
        <w:spacing w:after="240" w:line="276"/>
      </w:pPr>
      <w:r>
        <w:rPr>
          <w:rFonts w:ascii="Calibri" w:cs="Calibri" w:eastAsia="Calibri" w:hAnsi="Calibri"/>
          <w:i/>
          <w:iCs/>
          <w:color w:val="595959"/>
          <w:sz w:val="20"/>
          <w:szCs w:val="20"/>
        </w:rPr>
        <w:t xml:space="preserve">Commercial and technical review of five tender submissions received against the Client's Request for Proposal, together with independent verification of market pricing, equipment specification and the condition of the existing installation.</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200"/>
        <w:gridCol w:w="6820"/>
      </w:tblGrid>
      <w:tr>
        <w:trPr>
          <w:tblHeader/>
        </w:trPr>
        <w:tc>
          <w:tcPr>
            <w:tcW w:type="dxa" w:w="22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Field</w:t>
            </w:r>
          </w:p>
        </w:tc>
        <w:tc>
          <w:tcPr>
            <w:tcW w:type="dxa" w:w="68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Detail</w:t>
            </w:r>
          </w:p>
        </w:tc>
      </w:tr>
      <w:tr>
        <w:trPr>
          <w:tblHeader w:val="false"/>
        </w:trPr>
        <w:tc>
          <w:tcPr>
            <w:tcW w:type="dxa" w:w="2200"/>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Subject</w:t>
            </w:r>
          </w:p>
        </w:tc>
        <w:tc>
          <w:tcPr>
            <w:tcW w:type="dxa" w:w="682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Addressable fire detection and alarm system serving a multi-tenant retail mall</w:t>
            </w:r>
          </w:p>
        </w:tc>
      </w:tr>
      <w:tr>
        <w:trPr>
          <w:tblHeader w:val="false"/>
        </w:trPr>
        <w:tc>
          <w:tcPr>
            <w:tcW w:type="dxa" w:w="22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Existing system</w:t>
            </w:r>
          </w:p>
        </w:tc>
        <w:tc>
          <w:tcPr>
            <w:tcW w:type="dxa" w:w="68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Honeywell GENT Vigilon family, addressable</w:t>
            </w:r>
          </w:p>
        </w:tc>
      </w:tr>
      <w:tr>
        <w:trPr>
          <w:tblHeader w:val="false"/>
        </w:trPr>
        <w:tc>
          <w:tcPr>
            <w:tcW w:type="dxa" w:w="2200"/>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Scope tendered</w:t>
            </w:r>
          </w:p>
        </w:tc>
        <w:tc>
          <w:tcPr>
            <w:tcW w:type="dxa" w:w="682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13-line bill of quantities; approx. 540 field devices; 2 control panels</w:t>
            </w:r>
          </w:p>
        </w:tc>
      </w:tr>
      <w:tr>
        <w:trPr>
          <w:tblHeader w:val="false"/>
        </w:trPr>
        <w:tc>
          <w:tcPr>
            <w:tcW w:type="dxa" w:w="22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Submissions received</w:t>
            </w:r>
          </w:p>
        </w:tc>
        <w:tc>
          <w:tcPr>
            <w:tcW w:type="dxa" w:w="68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5</w:t>
            </w:r>
          </w:p>
        </w:tc>
      </w:tr>
      <w:tr>
        <w:trPr>
          <w:tblHeader w:val="false"/>
        </w:trPr>
        <w:tc>
          <w:tcPr>
            <w:tcW w:type="dxa" w:w="2200"/>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Bid range (as quoted)</w:t>
            </w:r>
          </w:p>
        </w:tc>
        <w:tc>
          <w:tcPr>
            <w:tcW w:type="dxa" w:w="682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NGN 36,729,991 to NGN 93,336,875 including VAT</w:t>
            </w:r>
          </w:p>
        </w:tc>
      </w:tr>
      <w:tr>
        <w:trPr>
          <w:tblHeader w:val="false"/>
        </w:trPr>
        <w:tc>
          <w:tcPr>
            <w:tcW w:type="dxa" w:w="22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Currency</w:t>
            </w:r>
          </w:p>
        </w:tc>
        <w:tc>
          <w:tcPr>
            <w:tcW w:type="dxa" w:w="68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Nigerian Naira (NGN). FX reference GBP 1 = NGN 1,837.89</w:t>
            </w:r>
          </w:p>
        </w:tc>
      </w:tr>
      <w:tr>
        <w:trPr>
          <w:tblHeader w:val="false"/>
        </w:trPr>
        <w:tc>
          <w:tcPr>
            <w:tcW w:type="dxa" w:w="2200"/>
            <w:tcMar>
              <w:top w:type="dxa" w:w="60"/>
              <w:left w:type="dxa" w:w="100"/>
              <w:bottom w:type="dxa" w:w="60"/>
              <w:right w:type="dxa" w:w="100"/>
            </w:tcMar>
          </w:tcPr>
          <w:p>
            <w:pPr>
              <w:spacing w:after="0" w:line="240"/>
            </w:pPr>
            <w:r>
              <w:rPr>
                <w:rFonts w:ascii="Calibri" w:cs="Calibri" w:eastAsia="Calibri" w:hAnsi="Calibri"/>
                <w:b/>
                <w:bCs/>
                <w:color w:val="000000"/>
                <w:sz w:val="18"/>
                <w:szCs w:val="18"/>
              </w:rPr>
              <w:t xml:space="preserve">Status</w:t>
            </w:r>
          </w:p>
        </w:tc>
        <w:tc>
          <w:tcPr>
            <w:tcW w:type="dxa" w:w="682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For Client decision — not a technical or safety certification</w:t>
            </w:r>
          </w:p>
        </w:tc>
      </w:tr>
    </w:tbl>
    <w:p>
      <w:r>
        <w:br w:type="page"/>
      </w:r>
    </w:p>
    <w:p>
      <w:pPr>
        <w:pStyle w:val="Heading1"/>
        <w:spacing w:after="160" w:before="360"/>
      </w:pPr>
      <w:r>
        <w:rPr>
          <w:rFonts w:ascii="Calibri" w:cs="Calibri" w:eastAsia="Calibri" w:hAnsi="Calibri"/>
          <w:b/>
          <w:bCs/>
          <w:color w:val="1F3864"/>
          <w:sz w:val="28"/>
          <w:szCs w:val="28"/>
        </w:rPr>
        <w:t xml:space="preserve">Executive summary</w:t>
      </w:r>
    </w:p>
    <w:p>
      <w:pPr>
        <w:spacing w:after="120" w:line="276"/>
      </w:pPr>
      <w:r>
        <w:rPr>
          <w:rFonts w:ascii="Calibri" w:cs="Calibri" w:eastAsia="Calibri" w:hAnsi="Calibri"/>
          <w:sz w:val="20"/>
          <w:szCs w:val="20"/>
        </w:rPr>
        <w:t xml:space="preserve">Five submissions were received against the Client's bill of quantities. On price alone they range from NGN 36.7m to NGN 93.3m — a spread of more than two and a half times for what is nominally the same scope of work. That spread is not explained by commercial competitiveness. It is explained by the bidders having priced materially different things.</w:t>
      </w:r>
    </w:p>
    <w:p>
      <w:pPr>
        <w:spacing w:after="120" w:line="276"/>
      </w:pPr>
      <w:r>
        <w:rPr>
          <w:rFonts w:ascii="Calibri" w:cs="Calibri" w:eastAsia="Calibri" w:hAnsi="Calibri"/>
          <w:b/>
          <w:bCs/>
          <w:sz w:val="20"/>
          <w:szCs w:val="20"/>
        </w:rPr>
        <w:t xml:space="preserve">Three findings should be resolved before any award is made.</w:t>
      </w:r>
    </w:p>
    <w:p>
      <w:pPr>
        <w:spacing w:after="120" w:line="276"/>
      </w:pPr>
      <w:r>
        <w:rPr>
          <w:rFonts w:ascii="Calibri" w:cs="Calibri" w:eastAsia="Calibri" w:hAnsi="Calibri"/>
          <w:b/>
          <w:bCs/>
          <w:sz w:val="20"/>
          <w:szCs w:val="20"/>
        </w:rPr>
        <w:t xml:space="preserve">First — the existing control panel may not need replacing. </w:t>
      </w:r>
      <w:r>
        <w:rPr>
          <w:rFonts w:ascii="Calibri" w:cs="Calibri" w:eastAsia="Calibri" w:hAnsi="Calibri"/>
          <w:sz w:val="20"/>
          <w:szCs w:val="20"/>
        </w:rPr>
        <w:t xml:space="preserve">Photographic inspection identifies the installed panel as a Honeywell GENT Vigilon-family unit, manufactured in the United Kingdom, carrying a date code consistent with 2020. Fire alarm control panels have a 15 to 25 year service life. A panel of approximately six years of age is not, on the face of it, life-expired. The bill of quantities nevertheless replaces it, together with the loop cards and network card. Those three lines represent between NGN 5m and NGN 9m depending on bidder.</w:t>
      </w:r>
    </w:p>
    <w:p>
      <w:pPr>
        <w:spacing w:after="120" w:line="276"/>
      </w:pPr>
      <w:r>
        <w:rPr>
          <w:rFonts w:ascii="Calibri" w:cs="Calibri" w:eastAsia="Calibri" w:hAnsi="Calibri"/>
          <w:b/>
          <w:bCs/>
          <w:sz w:val="20"/>
          <w:szCs w:val="20"/>
        </w:rPr>
        <w:t xml:space="preserve">Second — the specification is not precise enough to compare bids. </w:t>
      </w:r>
      <w:r>
        <w:rPr>
          <w:rFonts w:ascii="Calibri" w:cs="Calibri" w:eastAsia="Calibri" w:hAnsi="Calibri"/>
          <w:sz w:val="20"/>
          <w:szCs w:val="20"/>
        </w:rPr>
        <w:t xml:space="preserve">Six of the eleven equipment lines describe a category of device rather than a part number. Where independent price checks were possible, the bids diverge by up to three times on a single line — which is a product difference, not a pricing difference. Item 6 alone carries a NGN 5.3m spread attributable to ambiguity in one line of the specification.</w:t>
      </w:r>
    </w:p>
    <w:p>
      <w:pPr>
        <w:spacing w:after="120" w:line="276"/>
      </w:pPr>
      <w:r>
        <w:rPr>
          <w:rFonts w:ascii="Calibri" w:cs="Calibri" w:eastAsia="Calibri" w:hAnsi="Calibri"/>
          <w:b/>
          <w:bCs/>
          <w:sz w:val="20"/>
          <w:szCs w:val="20"/>
        </w:rPr>
        <w:t xml:space="preserve">Third — no bidder has evidenced manufacturer certification. </w:t>
      </w:r>
      <w:r>
        <w:rPr>
          <w:rFonts w:ascii="Calibri" w:cs="Calibri" w:eastAsia="Calibri" w:hAnsi="Calibri"/>
          <w:sz w:val="20"/>
          <w:szCs w:val="20"/>
        </w:rPr>
        <w:t xml:space="preserve">The equipment family in question restricts its commissioning software to engineers certified by the manufacturer. Without such an engineer the panel cannot be lawfully programmed, tested or certificated. No submission addresses this, and it is a more material discriminator than price.</w:t>
      </w:r>
    </w:p>
    <w:p>
      <w:pPr>
        <w:spacing w:after="160" w:line="276"/>
      </w:pPr>
      <w:r>
        <w:rPr>
          <w:rFonts w:ascii="Calibri" w:cs="Calibri" w:eastAsia="Calibri" w:hAnsi="Calibri"/>
          <w:sz w:val="20"/>
          <w:szCs w:val="20"/>
        </w:rPr>
        <w:t xml:space="preserve">On a like-for-like basis, after correcting an arithmetic error in one bid and imputing scope another failed to price, the four compliant submissions rank as follows.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560"/>
        <w:gridCol w:w="1720"/>
        <w:gridCol w:w="1720"/>
        <w:gridCol w:w="1560"/>
        <w:gridCol w:w="1460"/>
      </w:tblGrid>
      <w:tr>
        <w:trPr>
          <w:tblHeader/>
        </w:trPr>
        <w:tc>
          <w:tcPr>
            <w:tcW w:type="dxa" w:w="25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7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As quoted</w:t>
            </w:r>
          </w:p>
        </w:tc>
        <w:tc>
          <w:tcPr>
            <w:tcW w:type="dxa" w:w="17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Adjusted</w:t>
            </w:r>
          </w:p>
        </w:tc>
        <w:tc>
          <w:tcPr>
            <w:tcW w:type="dxa" w:w="15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Rank</w:t>
            </w:r>
          </w:p>
        </w:tc>
        <w:tc>
          <w:tcPr>
            <w:tcW w:type="dxa" w:w="14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Premium</w:t>
            </w:r>
          </w:p>
        </w:tc>
      </w:tr>
      <w:tr>
        <w:trPr>
          <w:tblHeader w:val="false"/>
        </w:trPr>
        <w:tc>
          <w:tcPr>
            <w:tcW w:type="dxa" w:w="25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73,153,750</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76,862,500</w:t>
            </w:r>
          </w:p>
        </w:tc>
        <w:tc>
          <w:tcPr>
            <w:tcW w:type="dxa" w:w="15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w:t>
            </w:r>
          </w:p>
        </w:tc>
        <w:tc>
          <w:tcPr>
            <w:tcW w:type="dxa" w:w="14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w:t>
            </w:r>
          </w:p>
        </w:tc>
      </w:tr>
      <w:tr>
        <w:trPr>
          <w:tblHeader w:val="false"/>
        </w:trPr>
        <w:tc>
          <w:tcPr>
            <w:tcW w:type="dxa" w:w="25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(PISL)</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79,001,750</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79,001,750</w:t>
            </w:r>
          </w:p>
        </w:tc>
        <w:tc>
          <w:tcPr>
            <w:tcW w:type="dxa" w:w="156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w:t>
            </w:r>
          </w:p>
        </w:tc>
        <w:tc>
          <w:tcPr>
            <w:tcW w:type="dxa" w:w="14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+2.8%</w:t>
            </w:r>
          </w:p>
        </w:tc>
      </w:tr>
      <w:tr>
        <w:trPr>
          <w:tblHeader w:val="false"/>
        </w:trPr>
        <w:tc>
          <w:tcPr>
            <w:tcW w:type="dxa" w:w="25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84,066,613</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84,066,613</w:t>
            </w:r>
          </w:p>
        </w:tc>
        <w:tc>
          <w:tcPr>
            <w:tcW w:type="dxa" w:w="15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3</w:t>
            </w:r>
          </w:p>
        </w:tc>
        <w:tc>
          <w:tcPr>
            <w:tcW w:type="dxa" w:w="14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+9.4%</w:t>
            </w:r>
          </w:p>
        </w:tc>
      </w:tr>
      <w:tr>
        <w:trPr>
          <w:tblHeader w:val="false"/>
        </w:trPr>
        <w:tc>
          <w:tcPr>
            <w:tcW w:type="dxa" w:w="25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93,336,875</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93,014,375</w:t>
            </w:r>
          </w:p>
        </w:tc>
        <w:tc>
          <w:tcPr>
            <w:tcW w:type="dxa" w:w="156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4</w:t>
            </w:r>
          </w:p>
        </w:tc>
        <w:tc>
          <w:tcPr>
            <w:tcW w:type="dxa" w:w="14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+21.0%</w:t>
            </w:r>
          </w:p>
        </w:tc>
      </w:tr>
      <w:tr>
        <w:trPr>
          <w:tblHeader w:val="false"/>
        </w:trPr>
        <w:tc>
          <w:tcPr>
            <w:tcW w:type="dxa" w:w="2560"/>
            <w:shd w:fill="FFF2CC"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 (non-compliant)</w:t>
            </w:r>
          </w:p>
        </w:tc>
        <w:tc>
          <w:tcPr>
            <w:tcW w:type="dxa" w:w="1720"/>
            <w:shd w:fill="FFF2CC"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36,729,991</w:t>
            </w:r>
          </w:p>
        </w:tc>
        <w:tc>
          <w:tcPr>
            <w:tcW w:type="dxa" w:w="1720"/>
            <w:shd w:fill="FFF2CC"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37,701,038</w:t>
            </w:r>
          </w:p>
        </w:tc>
        <w:tc>
          <w:tcPr>
            <w:tcW w:type="dxa" w:w="1560"/>
            <w:shd w:fill="FFF2CC"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n/a</w:t>
            </w:r>
          </w:p>
        </w:tc>
        <w:tc>
          <w:tcPr>
            <w:tcW w:type="dxa" w:w="1460"/>
            <w:shd w:fill="FFF2CC"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not comparable</w:t>
            </w:r>
          </w:p>
        </w:tc>
      </w:tr>
    </w:tbl>
    <w:p>
      <w:pPr>
        <w:spacing w:after="120" w:line="276"/>
      </w:pPr>
      <w:r>
        <w:rPr>
          <w:rFonts w:ascii="Calibri" w:cs="Calibri" w:eastAsia="Calibri" w:hAnsi="Calibri"/>
          <w:i/>
          <w:iCs/>
          <w:color w:val="595959"/>
          <w:sz w:val="18"/>
          <w:szCs w:val="18"/>
        </w:rPr>
        <w:t xml:space="preserve">Roundbox is excluded from the ranking. Its submission substitutes a different manufacturer's equipment throughout, which the Client's own specification prohibits on compatibility grounds. Its price is therefore not a discount on the tendered work but a quotation for a different project.</w:t>
      </w:r>
    </w:p>
    <w:p>
      <w:pPr>
        <w:spacing w:after="120" w:line="276"/>
      </w:pPr>
      <w:r>
        <w:rPr>
          <w:rFonts w:ascii="Calibri" w:cs="Calibri" w:eastAsia="Calibri" w:hAnsi="Calibri"/>
          <w:b/>
          <w:bCs/>
          <w:sz w:val="20"/>
          <w:szCs w:val="20"/>
        </w:rPr>
        <w:t xml:space="preserve">The recommendation of this review is that the tender is not yet in a state to be awarded. The specification should be corrected, the existing panel assessed, and revised prices sought on a common basis. The cost of doing so is a short delay. The cost of not doing so is a contract in which neither party knows what is being bought.</w:t>
      </w:r>
    </w:p>
    <w:p>
      <w:r>
        <w:br w:type="page"/>
      </w:r>
    </w:p>
    <w:p>
      <w:pPr>
        <w:pStyle w:val="Heading1"/>
        <w:spacing w:after="160" w:before="360"/>
      </w:pPr>
      <w:r>
        <w:rPr>
          <w:rFonts w:ascii="Calibri" w:cs="Calibri" w:eastAsia="Calibri" w:hAnsi="Calibri"/>
          <w:b/>
          <w:bCs/>
          <w:color w:val="1F3864"/>
          <w:sz w:val="28"/>
          <w:szCs w:val="28"/>
        </w:rPr>
        <w:t xml:space="preserve">1. Basis of this review</w:t>
      </w:r>
    </w:p>
    <w:p>
      <w:pPr>
        <w:spacing w:after="120" w:line="276"/>
      </w:pPr>
      <w:r>
        <w:rPr>
          <w:rFonts w:ascii="Calibri" w:cs="Calibri" w:eastAsia="Calibri" w:hAnsi="Calibri"/>
          <w:sz w:val="20"/>
          <w:szCs w:val="20"/>
        </w:rPr>
        <w:t xml:space="preserve">This review examined the Client's Request for Proposal and the five submissions received against it. It compares price, scope coverage and commercial compliance, and cross-checks equipment pricing against independently obtained market data.</w:t>
      </w:r>
    </w:p>
    <w:p>
      <w:pPr>
        <w:spacing w:after="120" w:line="276"/>
      </w:pPr>
      <w:r>
        <w:rPr>
          <w:rFonts w:ascii="Calibri" w:cs="Calibri" w:eastAsia="Calibri" w:hAnsi="Calibri"/>
          <w:sz w:val="20"/>
          <w:szCs w:val="20"/>
        </w:rPr>
        <w:t xml:space="preserve">The following were carried out:</w:t>
      </w:r>
    </w:p>
    <w:p>
      <w:pPr>
        <w:pStyle w:val="ListParagraph"/>
        <w:numPr>
          <w:ilvl w:val="0"/>
          <w:numId w:val="2"/>
        </w:numPr>
        <w:spacing w:after="80" w:line="276"/>
      </w:pPr>
      <w:r>
        <w:rPr>
          <w:rFonts w:ascii="Calibri" w:cs="Calibri" w:eastAsia="Calibri" w:hAnsi="Calibri"/>
          <w:sz w:val="20"/>
          <w:szCs w:val="20"/>
        </w:rPr>
        <w:t xml:space="preserve">Every line of every submission was transcribed and mapped onto the Client's 13-line bill of quantities. The resulting tabulation reconciles exactly to the subtotal printed on each bidder's own document.</w:t>
      </w:r>
    </w:p>
    <w:p>
      <w:pPr>
        <w:pStyle w:val="ListParagraph"/>
        <w:numPr>
          <w:ilvl w:val="0"/>
          <w:numId w:val="2"/>
        </w:numPr>
        <w:spacing w:after="80" w:line="276"/>
      </w:pPr>
      <w:r>
        <w:rPr>
          <w:rFonts w:ascii="Calibri" w:cs="Calibri" w:eastAsia="Calibri" w:hAnsi="Calibri"/>
          <w:sz w:val="20"/>
          <w:szCs w:val="20"/>
        </w:rPr>
        <w:t xml:space="preserve">Arithmetic on the face of each submission was verified.</w:t>
      </w:r>
    </w:p>
    <w:p>
      <w:pPr>
        <w:pStyle w:val="ListParagraph"/>
        <w:numPr>
          <w:ilvl w:val="0"/>
          <w:numId w:val="2"/>
        </w:numPr>
        <w:spacing w:after="80" w:line="276"/>
      </w:pPr>
      <w:r>
        <w:rPr>
          <w:rFonts w:ascii="Calibri" w:cs="Calibri" w:eastAsia="Calibri" w:hAnsi="Calibri"/>
          <w:sz w:val="20"/>
          <w:szCs w:val="20"/>
        </w:rPr>
        <w:t xml:space="preserve">Equipment part numbers were checked against the manufacturer's current catalogue and published declarations of performance.</w:t>
      </w:r>
    </w:p>
    <w:p>
      <w:pPr>
        <w:pStyle w:val="ListParagraph"/>
        <w:numPr>
          <w:ilvl w:val="0"/>
          <w:numId w:val="2"/>
        </w:numPr>
        <w:spacing w:after="80" w:line="276"/>
      </w:pPr>
      <w:r>
        <w:rPr>
          <w:rFonts w:ascii="Calibri" w:cs="Calibri" w:eastAsia="Calibri" w:hAnsi="Calibri"/>
          <w:sz w:val="20"/>
          <w:szCs w:val="20"/>
        </w:rPr>
        <w:t xml:space="preserve">Market prices were obtained for six of the eleven equipment lines from Nigerian trade listings, and for all eleven from United Kingdom distributors as a reference ceiling.</w:t>
      </w:r>
    </w:p>
    <w:p>
      <w:pPr>
        <w:pStyle w:val="ListParagraph"/>
        <w:numPr>
          <w:ilvl w:val="0"/>
          <w:numId w:val="2"/>
        </w:numPr>
        <w:spacing w:after="80" w:line="276"/>
      </w:pPr>
      <w:r>
        <w:rPr>
          <w:rFonts w:ascii="Calibri" w:cs="Calibri" w:eastAsia="Calibri" w:hAnsi="Calibri"/>
          <w:sz w:val="20"/>
          <w:szCs w:val="20"/>
        </w:rPr>
        <w:t xml:space="preserve">The installed control panel was identified from photographs supplied by the Client.</w:t>
      </w:r>
    </w:p>
    <w:p>
      <w:pPr>
        <w:spacing w:after="80" w:line="276"/>
      </w:pPr>
      <w:r>
        <w:rPr>
          <w:rFonts w:ascii="Calibri" w:cs="Calibri" w:eastAsia="Calibri" w:hAnsi="Calibri"/>
          <w:sz w:val="20"/>
          <w:szCs w:val="20"/>
        </w:rPr>
        <w:t xml:space="preserve">The following were not carried out, and are outside the scope of this report:</w:t>
      </w:r>
    </w:p>
    <w:p>
      <w:pPr>
        <w:pStyle w:val="ListParagraph"/>
        <w:numPr>
          <w:ilvl w:val="0"/>
          <w:numId w:val="2"/>
        </w:numPr>
        <w:spacing w:after="80" w:line="276"/>
      </w:pPr>
      <w:r>
        <w:rPr>
          <w:rFonts w:ascii="Calibri" w:cs="Calibri" w:eastAsia="Calibri" w:hAnsi="Calibri"/>
          <w:sz w:val="20"/>
          <w:szCs w:val="20"/>
        </w:rPr>
        <w:t xml:space="preserve">Any site survey, device count verification, or inspection of the existing installation beyond the panel photographs.</w:t>
      </w:r>
    </w:p>
    <w:p>
      <w:pPr>
        <w:pStyle w:val="ListParagraph"/>
        <w:numPr>
          <w:ilvl w:val="0"/>
          <w:numId w:val="2"/>
        </w:numPr>
        <w:spacing w:after="80" w:line="276"/>
      </w:pPr>
      <w:r>
        <w:rPr>
          <w:rFonts w:ascii="Calibri" w:cs="Calibri" w:eastAsia="Calibri" w:hAnsi="Calibri"/>
          <w:sz w:val="20"/>
          <w:szCs w:val="20"/>
        </w:rPr>
        <w:t xml:space="preserve">Any assessment of bidder competence, references, financial standing or past performance.</w:t>
      </w:r>
    </w:p>
    <w:p>
      <w:pPr>
        <w:pStyle w:val="ListParagraph"/>
        <w:numPr>
          <w:ilvl w:val="0"/>
          <w:numId w:val="2"/>
        </w:numPr>
        <w:spacing w:after="80" w:line="276"/>
      </w:pPr>
      <w:r>
        <w:rPr>
          <w:rFonts w:ascii="Calibri" w:cs="Calibri" w:eastAsia="Calibri" w:hAnsi="Calibri"/>
          <w:sz w:val="20"/>
          <w:szCs w:val="20"/>
        </w:rPr>
        <w:t xml:space="preserve">Any fire engineering review, cause-and-effect design, or certification of the proposed system against applicable standards.</w:t>
      </w:r>
    </w:p>
    <w:p>
      <w:pPr>
        <w:pStyle w:val="Heading1"/>
        <w:spacing w:after="160" w:before="360"/>
      </w:pPr>
      <w:r>
        <w:rPr>
          <w:rFonts w:ascii="Calibri" w:cs="Calibri" w:eastAsia="Calibri" w:hAnsi="Calibri"/>
          <w:b/>
          <w:bCs/>
          <w:color w:val="1F3864"/>
          <w:sz w:val="28"/>
          <w:szCs w:val="28"/>
        </w:rPr>
        <w:t xml:space="preserve">2. The tender pack</w:t>
      </w:r>
    </w:p>
    <w:p>
      <w:pPr>
        <w:spacing w:after="120" w:line="276"/>
      </w:pPr>
      <w:r>
        <w:rPr>
          <w:rFonts w:ascii="Calibri" w:cs="Calibri" w:eastAsia="Calibri" w:hAnsi="Calibri"/>
          <w:sz w:val="20"/>
          <w:szCs w:val="20"/>
        </w:rPr>
        <w:t xml:space="preserve">Seven documents were reviewed: the Client-issued Request for Proposal, five vendor submissions, and one bidder's corporate profile.</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180"/>
        <w:gridCol w:w="3200"/>
        <w:gridCol w:w="2000"/>
        <w:gridCol w:w="2640"/>
      </w:tblGrid>
      <w:tr>
        <w:trPr>
          <w:tblHeader/>
        </w:trPr>
        <w:tc>
          <w:tcPr>
            <w:tcW w:type="dxa" w:w="118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Ref</w:t>
            </w:r>
          </w:p>
        </w:tc>
        <w:tc>
          <w:tcPr>
            <w:tcW w:type="dxa" w:w="32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Submission</w:t>
            </w:r>
          </w:p>
        </w:tc>
        <w:tc>
          <w:tcPr>
            <w:tcW w:type="dxa" w:w="20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Date</w:t>
            </w:r>
          </w:p>
        </w:tc>
        <w:tc>
          <w:tcPr>
            <w:tcW w:type="dxa" w:w="26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Equipment offered</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A</w:t>
            </w:r>
          </w:p>
        </w:tc>
        <w:tc>
          <w:tcPr>
            <w:tcW w:type="dxa" w:w="3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 Technologies</w:t>
            </w:r>
          </w:p>
        </w:tc>
        <w:tc>
          <w:tcPr>
            <w:tcW w:type="dxa" w:w="200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20 Mar 2026</w:t>
            </w:r>
          </w:p>
        </w:tc>
        <w:tc>
          <w:tcPr>
            <w:tcW w:type="dxa" w:w="26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GENT</w:t>
            </w:r>
          </w:p>
        </w:tc>
      </w:tr>
      <w:tr>
        <w:trPr>
          <w:tblHeader w:val="false"/>
        </w:trPr>
        <w:tc>
          <w:tcPr>
            <w:tcW w:type="dxa" w:w="118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B</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 Services Ltd</w:t>
            </w:r>
          </w:p>
        </w:tc>
        <w:tc>
          <w:tcPr>
            <w:tcW w:type="dxa" w:w="200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17 Jul 2026</w:t>
            </w:r>
          </w:p>
        </w:tc>
        <w:tc>
          <w:tcPr>
            <w:tcW w:type="dxa" w:w="26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GENT</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C</w:t>
            </w:r>
          </w:p>
        </w:tc>
        <w:tc>
          <w:tcPr>
            <w:tcW w:type="dxa" w:w="3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Insight Solutions Ltd</w:t>
            </w:r>
          </w:p>
        </w:tc>
        <w:tc>
          <w:tcPr>
            <w:tcW w:type="dxa" w:w="200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22 Jun 2026</w:t>
            </w:r>
          </w:p>
        </w:tc>
        <w:tc>
          <w:tcPr>
            <w:tcW w:type="dxa" w:w="26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GENT</w:t>
            </w:r>
          </w:p>
        </w:tc>
      </w:tr>
      <w:tr>
        <w:trPr>
          <w:tblHeader w:val="false"/>
        </w:trPr>
        <w:tc>
          <w:tcPr>
            <w:tcW w:type="dxa" w:w="118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D</w:t>
            </w:r>
          </w:p>
        </w:tc>
        <w:tc>
          <w:tcPr>
            <w:tcW w:type="dxa" w:w="32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200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23 Jun 2026</w:t>
            </w:r>
          </w:p>
        </w:tc>
        <w:tc>
          <w:tcPr>
            <w:tcW w:type="dxa" w:w="26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GENT</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E</w:t>
            </w:r>
          </w:p>
        </w:tc>
        <w:tc>
          <w:tcPr>
            <w:tcW w:type="dxa" w:w="3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 Solutions Services</w:t>
            </w:r>
          </w:p>
        </w:tc>
        <w:tc>
          <w:tcPr>
            <w:tcW w:type="dxa" w:w="200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31 Jul 2026</w:t>
            </w:r>
          </w:p>
        </w:tc>
        <w:tc>
          <w:tcPr>
            <w:tcW w:type="dxa" w:w="26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TANDA (substituted)</w:t>
            </w:r>
          </w:p>
        </w:tc>
      </w:tr>
    </w:tbl>
    <w:p>
      <w:pPr>
        <w:spacing w:after="60" w:line="276"/>
      </w:pPr>
      <w:r>
        <w:rPr>
          <w:rFonts w:ascii="Calibri" w:cs="Calibri" w:eastAsia="Calibri" w:hAnsi="Calibri"/>
          <w:b/>
          <w:bCs/>
          <w:sz w:val="20"/>
          <w:szCs w:val="20"/>
        </w:rPr>
        <w:t xml:space="preserve">Observation. </w:t>
      </w:r>
      <w:r>
        <w:rPr>
          <w:rFonts w:ascii="Calibri" w:cs="Calibri" w:eastAsia="Calibri" w:hAnsi="Calibri"/>
          <w:sz w:val="20"/>
          <w:szCs w:val="20"/>
        </w:rPr>
        <w:t xml:space="preserve">The tender pack as supplied includes the corporate profile of one of the five bidders. The Client may wish to establish who compiled the pack, and whether the set of submissions reviewed here is complete and unaltered.</w:t>
      </w:r>
    </w:p>
    <w:p>
      <w:pPr>
        <w:pStyle w:val="Heading1"/>
        <w:spacing w:after="160" w:before="360"/>
      </w:pPr>
      <w:r>
        <w:rPr>
          <w:rFonts w:ascii="Calibri" w:cs="Calibri" w:eastAsia="Calibri" w:hAnsi="Calibri"/>
          <w:b/>
          <w:bCs/>
          <w:color w:val="1F3864"/>
          <w:sz w:val="28"/>
          <w:szCs w:val="28"/>
        </w:rPr>
        <w:t xml:space="preserve">3. Commercial comparison</w:t>
      </w:r>
    </w:p>
    <w:p>
      <w:pPr>
        <w:pStyle w:val="Heading2"/>
        <w:spacing w:after="120" w:before="260"/>
      </w:pPr>
      <w:r>
        <w:rPr>
          <w:rFonts w:ascii="Calibri" w:cs="Calibri" w:eastAsia="Calibri" w:hAnsi="Calibri"/>
          <w:b/>
          <w:bCs/>
          <w:color w:val="1F3864"/>
          <w:sz w:val="23"/>
          <w:szCs w:val="23"/>
        </w:rPr>
        <w:t xml:space="preserve">3.1 As quoted</w:t>
      </w:r>
    </w:p>
    <w:p>
      <w:pPr>
        <w:spacing w:after="120" w:line="276"/>
      </w:pPr>
      <w:r>
        <w:rPr>
          <w:rFonts w:ascii="Calibri" w:cs="Calibri" w:eastAsia="Calibri" w:hAnsi="Calibri"/>
          <w:sz w:val="20"/>
          <w:szCs w:val="20"/>
        </w:rPr>
        <w:t xml:space="preserve">All five submissions compute VAT at 7.5%, and each printed total reproduces exactly on that basis.</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800"/>
        <w:gridCol w:w="1560"/>
        <w:gridCol w:w="1800"/>
        <w:gridCol w:w="1460"/>
      </w:tblGrid>
      <w:tr>
        <w:trPr>
          <w:tblHeader/>
        </w:trPr>
        <w:tc>
          <w:tcPr>
            <w:tcW w:type="dxa" w:w="24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8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Subtotal</w:t>
            </w:r>
          </w:p>
        </w:tc>
        <w:tc>
          <w:tcPr>
            <w:tcW w:type="dxa" w:w="15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VAT</w:t>
            </w:r>
          </w:p>
        </w:tc>
        <w:tc>
          <w:tcPr>
            <w:tcW w:type="dxa" w:w="18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Total</w:t>
            </w:r>
          </w:p>
        </w:tc>
        <w:tc>
          <w:tcPr>
            <w:tcW w:type="dxa" w:w="14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Validity</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86,825,000</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6,511,875</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93,336,875</w:t>
            </w:r>
          </w:p>
        </w:tc>
        <w:tc>
          <w:tcPr>
            <w:tcW w:type="dxa" w:w="14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Expired</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w:t>
            </w:r>
          </w:p>
        </w:tc>
        <w:tc>
          <w:tcPr>
            <w:tcW w:type="dxa" w:w="18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78,201,500</w:t>
            </w:r>
          </w:p>
        </w:tc>
        <w:tc>
          <w:tcPr>
            <w:tcW w:type="dxa" w:w="15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5,865,113</w:t>
            </w:r>
          </w:p>
        </w:tc>
        <w:tc>
          <w:tcPr>
            <w:tcW w:type="dxa" w:w="18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84,066,613</w:t>
            </w:r>
          </w:p>
        </w:tc>
        <w:tc>
          <w:tcPr>
            <w:tcW w:type="dxa" w:w="146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Valid</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(PISL)</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73,490,000</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5,511,750</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79,001,750</w:t>
            </w:r>
          </w:p>
        </w:tc>
        <w:tc>
          <w:tcPr>
            <w:tcW w:type="dxa" w:w="14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Expired</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8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68,050,000</w:t>
            </w:r>
          </w:p>
        </w:tc>
        <w:tc>
          <w:tcPr>
            <w:tcW w:type="dxa" w:w="15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5,103,750</w:t>
            </w:r>
          </w:p>
        </w:tc>
        <w:tc>
          <w:tcPr>
            <w:tcW w:type="dxa" w:w="18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73,153,750</w:t>
            </w:r>
          </w:p>
        </w:tc>
        <w:tc>
          <w:tcPr>
            <w:tcW w:type="dxa" w:w="146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Expired</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34,167,433</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2,562,558</w:t>
            </w:r>
          </w:p>
        </w:tc>
        <w:tc>
          <w:tcPr>
            <w:tcW w:type="dxa" w:w="18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36,729,991</w:t>
            </w:r>
          </w:p>
        </w:tc>
        <w:tc>
          <w:tcPr>
            <w:tcW w:type="dxa" w:w="146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Valid</w:t>
            </w:r>
          </w:p>
        </w:tc>
      </w:tr>
    </w:tbl>
    <w:p>
      <w:pPr>
        <w:spacing w:after="120" w:line="276"/>
      </w:pPr>
      <w:r>
        <w:rPr>
          <w:rFonts w:ascii="Calibri" w:cs="Calibri" w:eastAsia="Calibri" w:hAnsi="Calibri"/>
          <w:i/>
          <w:iCs/>
          <w:color w:val="595959"/>
          <w:sz w:val="18"/>
          <w:szCs w:val="18"/>
        </w:rPr>
        <w:t xml:space="preserve">Three of the five submissions had lapsed at the date of this review and would require written reconfirmation before any award. One bid stated a validity of seven days from a date in March 2026.</w:t>
      </w:r>
    </w:p>
    <w:p>
      <w:pPr>
        <w:pStyle w:val="Heading2"/>
        <w:spacing w:after="120" w:before="260"/>
      </w:pPr>
      <w:r>
        <w:rPr>
          <w:rFonts w:ascii="Calibri" w:cs="Calibri" w:eastAsia="Calibri" w:hAnsi="Calibri"/>
          <w:b/>
          <w:bCs/>
          <w:color w:val="1F3864"/>
          <w:sz w:val="23"/>
          <w:szCs w:val="23"/>
        </w:rPr>
        <w:t xml:space="preserve">3.2 Normalisation to a like-for-like basis</w:t>
      </w:r>
    </w:p>
    <w:p>
      <w:pPr>
        <w:spacing w:after="120" w:line="276"/>
      </w:pPr>
      <w:r>
        <w:rPr>
          <w:rFonts w:ascii="Calibri" w:cs="Calibri" w:eastAsia="Calibri" w:hAnsi="Calibri"/>
          <w:sz w:val="20"/>
          <w:szCs w:val="20"/>
        </w:rPr>
        <w:t xml:space="preserve">Two adjustments were applied. Both are itemised so that either can be reversed by the Client.</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180"/>
        <w:gridCol w:w="4200"/>
        <w:gridCol w:w="1900"/>
        <w:gridCol w:w="1740"/>
      </w:tblGrid>
      <w:tr>
        <w:trPr>
          <w:tblHeader/>
        </w:trPr>
        <w:tc>
          <w:tcPr>
            <w:tcW w:type="dxa" w:w="118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Ref</w:t>
            </w:r>
          </w:p>
        </w:tc>
        <w:tc>
          <w:tcPr>
            <w:tcW w:type="dxa" w:w="42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Adjustment</w:t>
            </w:r>
          </w:p>
        </w:tc>
        <w:tc>
          <w:tcPr>
            <w:tcW w:type="dxa" w:w="19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7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Amount</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i</w:t>
            </w:r>
          </w:p>
        </w:tc>
        <w:tc>
          <w:tcPr>
            <w:tcW w:type="dxa" w:w="4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Arithmetic correction: four loop cards priced at a stated unit rate do not multiply to the line total shown, and the printed subtotal balances only with the erroneous figure</w:t>
            </w:r>
          </w:p>
        </w:tc>
        <w:tc>
          <w:tcPr>
            <w:tcW w:type="dxa" w:w="19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74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(300,000)</w:t>
            </w:r>
          </w:p>
        </w:tc>
      </w:tr>
      <w:tr>
        <w:trPr>
          <w:tblHeader w:val="false"/>
        </w:trPr>
        <w:tc>
          <w:tcPr>
            <w:tcW w:type="dxa" w:w="118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ii</w:t>
            </w:r>
          </w:p>
        </w:tc>
        <w:tc>
          <w:tcPr>
            <w:tcW w:type="dxa" w:w="42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Imputed: expansion panel required by the specification but not priced, valued at the median of the three bids that did price it</w:t>
            </w:r>
          </w:p>
        </w:tc>
        <w:tc>
          <w:tcPr>
            <w:tcW w:type="dxa" w:w="19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74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3,450,000</w:t>
            </w:r>
          </w:p>
        </w:tc>
      </w:tr>
      <w:tr>
        <w:trPr>
          <w:tblHeader w:val="false"/>
        </w:trPr>
        <w:tc>
          <w:tcPr>
            <w:tcW w:type="dxa" w:w="118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iii</w:t>
            </w:r>
          </w:p>
        </w:tc>
        <w:tc>
          <w:tcPr>
            <w:tcW w:type="dxa" w:w="42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Imputed: three additional loop cards to meet the specified quantity, at the bidder's own rate</w:t>
            </w:r>
          </w:p>
        </w:tc>
        <w:tc>
          <w:tcPr>
            <w:tcW w:type="dxa" w:w="19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w:t>
            </w:r>
          </w:p>
        </w:tc>
        <w:tc>
          <w:tcPr>
            <w:tcW w:type="dxa" w:w="174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903,300</w:t>
            </w:r>
          </w:p>
        </w:tc>
      </w:tr>
    </w:tbl>
    <w:p>
      <w:pPr>
        <w:spacing w:after="120" w:line="276"/>
      </w:pPr>
      <w:r>
        <w:rPr>
          <w:rFonts w:ascii="Calibri" w:cs="Calibri" w:eastAsia="Calibri" w:hAnsi="Calibri"/>
          <w:i/>
          <w:iCs/>
          <w:color w:val="595959"/>
          <w:sz w:val="18"/>
          <w:szCs w:val="18"/>
        </w:rPr>
        <w:t xml:space="preserve">No adjustment was made for scope a bidder added beyond the specification. Such items remain within the as-quoted subtotal, shown separately, because whether that scope is wanted is a decision for the Client rather than an assumption for the reviewer.</w:t>
      </w:r>
    </w:p>
    <w:p>
      <w:pPr>
        <w:pStyle w:val="Heading2"/>
        <w:spacing w:after="120" w:before="260"/>
      </w:pPr>
      <w:r>
        <w:rPr>
          <w:rFonts w:ascii="Calibri" w:cs="Calibri" w:eastAsia="Calibri" w:hAnsi="Calibri"/>
          <w:b/>
          <w:bCs/>
          <w:color w:val="1F3864"/>
          <w:sz w:val="23"/>
          <w:szCs w:val="23"/>
        </w:rPr>
        <w:t xml:space="preserve">3.3 Preliminaries, overhead and profit</w:t>
      </w:r>
    </w:p>
    <w:p>
      <w:pPr>
        <w:spacing w:after="120" w:line="276"/>
      </w:pPr>
      <w:r>
        <w:rPr>
          <w:rFonts w:ascii="Calibri" w:cs="Calibri" w:eastAsia="Calibri" w:hAnsi="Calibri"/>
          <w:sz w:val="20"/>
          <w:szCs w:val="20"/>
        </w:rPr>
        <w:t xml:space="preserve">Item 13 of the bill of quantities covers design review, programming, testing, commissioning, as-built documentation, training, labour and handover. Expressed as a percentage of items 1 to 12, the submissions differ by a factor of six.</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900"/>
        <w:gridCol w:w="1760"/>
        <w:gridCol w:w="1400"/>
        <w:gridCol w:w="1560"/>
      </w:tblGrid>
      <w:tr>
        <w:trPr>
          <w:tblHeader/>
        </w:trPr>
        <w:tc>
          <w:tcPr>
            <w:tcW w:type="dxa" w:w="24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9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Items 1–12</w:t>
            </w:r>
          </w:p>
        </w:tc>
        <w:tc>
          <w:tcPr>
            <w:tcW w:type="dxa" w:w="17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 13</w:t>
            </w:r>
          </w:p>
        </w:tc>
        <w:tc>
          <w:tcPr>
            <w:tcW w:type="dxa" w:w="14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 of 1–12</w:t>
            </w:r>
          </w:p>
        </w:tc>
        <w:tc>
          <w:tcPr>
            <w:tcW w:type="dxa" w:w="15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Per device</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w:t>
            </w:r>
          </w:p>
        </w:tc>
        <w:tc>
          <w:tcPr>
            <w:tcW w:type="dxa" w:w="19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25,464,873</w:t>
            </w:r>
          </w:p>
        </w:tc>
        <w:tc>
          <w:tcPr>
            <w:tcW w:type="dxa" w:w="17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8,577,100</w:t>
            </w:r>
          </w:p>
        </w:tc>
        <w:tc>
          <w:tcPr>
            <w:tcW w:type="dxa" w:w="14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33.68%</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15,884</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9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71,825,000</w:t>
            </w:r>
          </w:p>
        </w:tc>
        <w:tc>
          <w:tcPr>
            <w:tcW w:type="dxa" w:w="17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15,000,000</w:t>
            </w:r>
          </w:p>
        </w:tc>
        <w:tc>
          <w:tcPr>
            <w:tcW w:type="dxa" w:w="14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20.88%</w:t>
            </w:r>
          </w:p>
        </w:tc>
        <w:tc>
          <w:tcPr>
            <w:tcW w:type="dxa" w:w="15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27,778</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(PISL)</w:t>
            </w:r>
          </w:p>
        </w:tc>
        <w:tc>
          <w:tcPr>
            <w:tcW w:type="dxa" w:w="19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60,990,000</w:t>
            </w:r>
          </w:p>
        </w:tc>
        <w:tc>
          <w:tcPr>
            <w:tcW w:type="dxa" w:w="17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12,500,000</w:t>
            </w:r>
          </w:p>
        </w:tc>
        <w:tc>
          <w:tcPr>
            <w:tcW w:type="dxa" w:w="14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20.50%</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23,148</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9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61,050,000</w:t>
            </w:r>
          </w:p>
        </w:tc>
        <w:tc>
          <w:tcPr>
            <w:tcW w:type="dxa" w:w="17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7,000,000</w:t>
            </w:r>
          </w:p>
        </w:tc>
        <w:tc>
          <w:tcPr>
            <w:tcW w:type="dxa" w:w="14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11.47%</w:t>
            </w:r>
          </w:p>
        </w:tc>
        <w:tc>
          <w:tcPr>
            <w:tcW w:type="dxa" w:w="15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12,963</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w:t>
            </w:r>
          </w:p>
        </w:tc>
        <w:tc>
          <w:tcPr>
            <w:tcW w:type="dxa" w:w="19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74,001,500</w:t>
            </w:r>
          </w:p>
        </w:tc>
        <w:tc>
          <w:tcPr>
            <w:tcW w:type="dxa" w:w="17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4,200,000</w:t>
            </w:r>
          </w:p>
        </w:tc>
        <w:tc>
          <w:tcPr>
            <w:tcW w:type="dxa" w:w="14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5.68%</w:t>
            </w:r>
          </w:p>
        </w:tc>
        <w:tc>
          <w:tcPr>
            <w:tcW w:type="dxa" w:w="15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7,778</w:t>
            </w:r>
          </w:p>
        </w:tc>
      </w:tr>
    </w:tbl>
    <w:p>
      <w:pPr>
        <w:spacing w:after="160" w:line="276"/>
      </w:pPr>
      <w:r>
        <w:rPr>
          <w:rFonts w:ascii="Calibri" w:cs="Calibri" w:eastAsia="Calibri" w:hAnsi="Calibri"/>
          <w:sz w:val="20"/>
          <w:szCs w:val="20"/>
        </w:rPr>
        <w:t xml:space="preserve">That table is misleading on its own, and should not be used in isolation. Items 8 and 12 — containment, and civil and builders' work — are also labour-and-margin lots, and one bidder has loaded them heavily. Counting all three together reverses much of the ranking.</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2400"/>
        <w:gridCol w:w="1500"/>
        <w:gridCol w:w="1500"/>
        <w:gridCol w:w="1620"/>
        <w:gridCol w:w="2000"/>
      </w:tblGrid>
      <w:tr>
        <w:trPr>
          <w:tblHeader/>
        </w:trPr>
        <w:tc>
          <w:tcPr>
            <w:tcW w:type="dxa" w:w="24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Bidder</w:t>
            </w:r>
          </w:p>
        </w:tc>
        <w:tc>
          <w:tcPr>
            <w:tcW w:type="dxa" w:w="15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 8</w:t>
            </w:r>
          </w:p>
        </w:tc>
        <w:tc>
          <w:tcPr>
            <w:tcW w:type="dxa" w:w="15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 12</w:t>
            </w:r>
          </w:p>
        </w:tc>
        <w:tc>
          <w:tcPr>
            <w:tcW w:type="dxa" w:w="16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 13</w:t>
            </w:r>
          </w:p>
        </w:tc>
        <w:tc>
          <w:tcPr>
            <w:tcW w:type="dxa" w:w="20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Total soft cost, % of equipment</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Roundbox</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1,000,000</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1,000,000</w:t>
            </w:r>
          </w:p>
        </w:tc>
        <w:tc>
          <w:tcPr>
            <w:tcW w:type="dxa" w:w="16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8,577,100</w:t>
            </w:r>
          </w:p>
        </w:tc>
        <w:tc>
          <w:tcPr>
            <w:tcW w:type="dxa" w:w="20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45.08%</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Potreal (PISL)</w:t>
            </w:r>
          </w:p>
        </w:tc>
        <w:tc>
          <w:tcPr>
            <w:tcW w:type="dxa" w:w="15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600,000</w:t>
            </w:r>
          </w:p>
        </w:tc>
        <w:tc>
          <w:tcPr>
            <w:tcW w:type="dxa" w:w="15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4,000,000</w:t>
            </w:r>
          </w:p>
        </w:tc>
        <w:tc>
          <w:tcPr>
            <w:tcW w:type="dxa" w:w="16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12,500,000</w:t>
            </w:r>
          </w:p>
        </w:tc>
        <w:tc>
          <w:tcPr>
            <w:tcW w:type="dxa" w:w="20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30.32%</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TotaGO</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1,000,000</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3,500,000</w:t>
            </w:r>
          </w:p>
        </w:tc>
        <w:tc>
          <w:tcPr>
            <w:tcW w:type="dxa" w:w="16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15,000,000</w:t>
            </w:r>
          </w:p>
        </w:tc>
        <w:tc>
          <w:tcPr>
            <w:tcW w:type="dxa" w:w="20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28.96%</w:t>
            </w:r>
          </w:p>
        </w:tc>
      </w:tr>
      <w:tr>
        <w:trPr>
          <w:tblHeader w:val="false"/>
        </w:trPr>
        <w:tc>
          <w:tcPr>
            <w:tcW w:type="dxa" w:w="24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Emo-Technical</w:t>
            </w:r>
          </w:p>
        </w:tc>
        <w:tc>
          <w:tcPr>
            <w:tcW w:type="dxa" w:w="15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5,150,000</w:t>
            </w:r>
          </w:p>
        </w:tc>
        <w:tc>
          <w:tcPr>
            <w:tcW w:type="dxa" w:w="15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5,300,000</w:t>
            </w:r>
          </w:p>
        </w:tc>
        <w:tc>
          <w:tcPr>
            <w:tcW w:type="dxa" w:w="16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4,200,000</w:t>
            </w:r>
          </w:p>
        </w:tc>
        <w:tc>
          <w:tcPr>
            <w:tcW w:type="dxa" w:w="200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23.05%</w:t>
            </w:r>
          </w:p>
        </w:tc>
      </w:tr>
      <w:tr>
        <w:trPr>
          <w:tblHeader w:val="false"/>
        </w:trPr>
        <w:tc>
          <w:tcPr>
            <w:tcW w:type="dxa" w:w="24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JML / Fadayomi</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500,000</w:t>
            </w:r>
          </w:p>
        </w:tc>
        <w:tc>
          <w:tcPr>
            <w:tcW w:type="dxa" w:w="15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500,000</w:t>
            </w:r>
          </w:p>
        </w:tc>
        <w:tc>
          <w:tcPr>
            <w:tcW w:type="dxa" w:w="16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7,000,000</w:t>
            </w:r>
          </w:p>
        </w:tc>
        <w:tc>
          <w:tcPr>
            <w:tcW w:type="dxa" w:w="200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13.32%</w:t>
            </w:r>
          </w:p>
        </w:tc>
      </w:tr>
    </w:tbl>
    <w:p>
      <w:pPr>
        <w:spacing w:after="120" w:line="276"/>
      </w:pPr>
      <w:r>
        <w:rPr>
          <w:rFonts w:ascii="Calibri" w:cs="Calibri" w:eastAsia="Calibri" w:hAnsi="Calibri"/>
          <w:sz w:val="20"/>
          <w:szCs w:val="20"/>
        </w:rPr>
        <w:t xml:space="preserve">The bidder showing the lowest item 13 has in fact placed NGN 10.45m into items 8 and 12, against NGN 4.6m and NGN 1.0m for two of its competitors. Its true loading is 23%, not 5.7%. The cost has been reclassified, not saved.</w:t>
      </w:r>
    </w:p>
    <w:p>
      <w:pPr>
        <w:spacing w:after="120" w:line="276"/>
      </w:pPr>
      <w:r>
        <w:rPr>
          <w:rFonts w:ascii="Calibri" w:cs="Calibri" w:eastAsia="Calibri" w:hAnsi="Calibri"/>
          <w:b/>
          <w:bCs/>
          <w:sz w:val="20"/>
          <w:szCs w:val="20"/>
        </w:rPr>
        <w:t xml:space="preserve">The material observation is this. </w:t>
      </w:r>
      <w:r>
        <w:rPr>
          <w:rFonts w:ascii="Calibri" w:cs="Calibri" w:eastAsia="Calibri" w:hAnsi="Calibri"/>
          <w:sz w:val="20"/>
          <w:szCs w:val="20"/>
        </w:rPr>
        <w:t xml:space="preserve">The physical work is identical across all five submissions: install approximately 540 devices, pull some three kilometres of cable, fit two panels, programme, test every device, document, and train. What each bidder considers that work to be worth ranges from NGN 4.2m to NGN 15.0m. A 3.6-fold spread on identical labour is a more revealing question to put to bidders than any equipment price, and the lowest figure — under NGN 7,800 per device for installation, testing, commissioning, documentation and training — should be tested before it is accepted.</w:t>
      </w:r>
    </w:p>
    <w:p>
      <w:r>
        <w:br w:type="page"/>
      </w:r>
    </w:p>
    <w:p>
      <w:pPr>
        <w:pStyle w:val="Heading1"/>
        <w:spacing w:after="160" w:before="360"/>
      </w:pPr>
      <w:r>
        <w:rPr>
          <w:rFonts w:ascii="Calibri" w:cs="Calibri" w:eastAsia="Calibri" w:hAnsi="Calibri"/>
          <w:b/>
          <w:bCs/>
          <w:color w:val="1F3864"/>
          <w:sz w:val="28"/>
          <w:szCs w:val="28"/>
        </w:rPr>
        <w:t xml:space="preserve">4. Independent price verification</w:t>
      </w:r>
    </w:p>
    <w:p>
      <w:pPr>
        <w:spacing w:after="120" w:line="276"/>
      </w:pPr>
      <w:r>
        <w:rPr>
          <w:rFonts w:ascii="Calibri" w:cs="Calibri" w:eastAsia="Calibri" w:hAnsi="Calibri"/>
          <w:sz w:val="20"/>
          <w:szCs w:val="20"/>
        </w:rPr>
        <w:t xml:space="preserve">Market prices were obtained for six of the eleven equipment lines from Nigerian trade listings. These are asking prices from trade sellers rather than formal quotations, and should be treated as indicative.</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840"/>
        <w:gridCol w:w="2660"/>
        <w:gridCol w:w="2060"/>
        <w:gridCol w:w="1720"/>
        <w:gridCol w:w="1740"/>
      </w:tblGrid>
      <w:tr>
        <w:trPr>
          <w:tblHeader/>
        </w:trPr>
        <w:tc>
          <w:tcPr>
            <w:tcW w:type="dxa" w:w="8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w:t>
            </w:r>
          </w:p>
        </w:tc>
        <w:tc>
          <w:tcPr>
            <w:tcW w:type="dxa" w:w="26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Equipment</w:t>
            </w:r>
          </w:p>
        </w:tc>
        <w:tc>
          <w:tcPr>
            <w:tcW w:type="dxa" w:w="20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Verified market</w:t>
            </w:r>
          </w:p>
        </w:tc>
        <w:tc>
          <w:tcPr>
            <w:tcW w:type="dxa" w:w="17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Bid range</w:t>
            </w:r>
          </w:p>
        </w:tc>
        <w:tc>
          <w:tcPr>
            <w:tcW w:type="dxa" w:w="17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Observation</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w:t>
            </w:r>
          </w:p>
        </w:tc>
        <w:tc>
          <w:tcPr>
            <w:tcW w:type="dxa" w:w="26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Main control panel</w:t>
            </w:r>
          </w:p>
        </w:tc>
        <w:tc>
          <w:tcPr>
            <w:tcW w:type="dxa" w:w="20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4,500,000 – 4,910,000</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3,200,000 – 7,000,000</w:t>
            </w:r>
          </w:p>
        </w:tc>
        <w:tc>
          <w:tcPr>
            <w:tcW w:type="dxa" w:w="17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One bid 43–56% above market</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3</w:t>
            </w:r>
          </w:p>
        </w:tc>
        <w:tc>
          <w:tcPr>
            <w:tcW w:type="dxa" w:w="26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Heat detector</w:t>
            </w:r>
          </w:p>
        </w:tc>
        <w:tc>
          <w:tcPr>
            <w:tcW w:type="dxa" w:w="20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51,000</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57,000 – 75,000</w:t>
            </w:r>
          </w:p>
        </w:tc>
        <w:tc>
          <w:tcPr>
            <w:tcW w:type="dxa" w:w="17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Broadly at market</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4</w:t>
            </w:r>
          </w:p>
        </w:tc>
        <w:tc>
          <w:tcPr>
            <w:tcW w:type="dxa" w:w="26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Manual call point</w:t>
            </w:r>
          </w:p>
        </w:tc>
        <w:tc>
          <w:tcPr>
            <w:tcW w:type="dxa" w:w="20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80,000 – 99,000</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95,000 – 130,900</w:t>
            </w:r>
          </w:p>
        </w:tc>
        <w:tc>
          <w:tcPr>
            <w:tcW w:type="dxa" w:w="17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One bid 45% above market</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6</w:t>
            </w:r>
          </w:p>
        </w:tc>
        <w:tc>
          <w:tcPr>
            <w:tcW w:type="dxa" w:w="26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Interface module</w:t>
            </w:r>
          </w:p>
        </w:tc>
        <w:tc>
          <w:tcPr>
            <w:tcW w:type="dxa" w:w="20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110,000 – 355,000</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134,500 – 400,000</w:t>
            </w:r>
          </w:p>
        </w:tc>
        <w:tc>
          <w:tcPr>
            <w:tcW w:type="dxa" w:w="17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Bids appear to be different products</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9</w:t>
            </w:r>
          </w:p>
        </w:tc>
        <w:tc>
          <w:tcPr>
            <w:tcW w:type="dxa" w:w="266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Loop card</w:t>
            </w:r>
          </w:p>
        </w:tc>
        <w:tc>
          <w:tcPr>
            <w:tcW w:type="dxa" w:w="206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425,000</w:t>
            </w:r>
          </w:p>
        </w:tc>
        <w:tc>
          <w:tcPr>
            <w:tcW w:type="dxa" w:w="1720"/>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300,000 – 450,000</w:t>
            </w:r>
          </w:p>
        </w:tc>
        <w:tc>
          <w:tcPr>
            <w:tcW w:type="dxa" w:w="174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Bids broadly at market</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11</w:t>
            </w:r>
          </w:p>
        </w:tc>
        <w:tc>
          <w:tcPr>
            <w:tcW w:type="dxa" w:w="266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Network card</w:t>
            </w:r>
          </w:p>
        </w:tc>
        <w:tc>
          <w:tcPr>
            <w:tcW w:type="dxa" w:w="206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408,000</w:t>
            </w:r>
          </w:p>
        </w:tc>
        <w:tc>
          <w:tcPr>
            <w:tcW w:type="dxa" w:w="1720"/>
            <w:shd w:fill="F2F5FA" w:color="auto" w:val="clear"/>
            <w:tcMar>
              <w:top w:type="dxa" w:w="60"/>
              <w:left w:type="dxa" w:w="100"/>
              <w:bottom w:type="dxa" w:w="60"/>
              <w:right w:type="dxa" w:w="100"/>
            </w:tcMar>
          </w:tcPr>
          <w:p>
            <w:pPr>
              <w:spacing w:after="0" w:line="240"/>
              <w:jc w:val="right"/>
            </w:pPr>
            <w:r>
              <w:rPr>
                <w:rFonts w:ascii="Calibri" w:cs="Calibri" w:eastAsia="Calibri" w:hAnsi="Calibri"/>
                <w:color w:val="000000"/>
                <w:sz w:val="18"/>
                <w:szCs w:val="18"/>
              </w:rPr>
              <w:t xml:space="preserve">110,000 – 1,000,000</w:t>
            </w:r>
          </w:p>
        </w:tc>
        <w:tc>
          <w:tcPr>
            <w:tcW w:type="dxa" w:w="174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Range spans 9-fold</w:t>
            </w:r>
          </w:p>
        </w:tc>
      </w:tr>
    </w:tbl>
    <w:p>
      <w:pPr>
        <w:spacing w:after="120" w:line="276"/>
      </w:pPr>
      <w:r>
        <w:rPr>
          <w:rFonts w:ascii="Calibri" w:cs="Calibri" w:eastAsia="Calibri" w:hAnsi="Calibri"/>
          <w:b/>
          <w:bCs/>
          <w:i/>
          <w:iCs/>
          <w:sz w:val="18"/>
          <w:szCs w:val="18"/>
        </w:rPr>
        <w:t xml:space="preserve">A correction arising from this exercise. </w:t>
      </w:r>
      <w:r>
        <w:rPr>
          <w:rFonts w:ascii="Calibri" w:cs="Calibri" w:eastAsia="Calibri" w:hAnsi="Calibri"/>
          <w:i/>
          <w:iCs/>
          <w:sz w:val="18"/>
          <w:szCs w:val="18"/>
        </w:rPr>
        <w:t xml:space="preserve">An earlier stage of this review used United Kingdom distributor prices converted at the prevailing exchange rate as a proxy for Nigerian cost. Verified local data shows that method overstates commodity devices substantially — by roughly 50% on call points and by a factor of 2.3 on loop cards — while approximating correctly on control panels. Conclusions drawn from the proxy alone have been revised accordingly, and only verified local prices are relied upon above.</w:t>
      </w:r>
    </w:p>
    <w:p>
      <w:pPr>
        <w:pStyle w:val="Heading1"/>
        <w:spacing w:after="160" w:before="360"/>
      </w:pPr>
      <w:r>
        <w:rPr>
          <w:rFonts w:ascii="Calibri" w:cs="Calibri" w:eastAsia="Calibri" w:hAnsi="Calibri"/>
          <w:b/>
          <w:bCs/>
          <w:color w:val="1F3864"/>
          <w:sz w:val="28"/>
          <w:szCs w:val="28"/>
        </w:rPr>
        <w:t xml:space="preserve">5. Specification defects</w:t>
      </w:r>
    </w:p>
    <w:p>
      <w:pPr>
        <w:spacing w:after="120" w:line="276"/>
      </w:pPr>
      <w:r>
        <w:rPr>
          <w:rFonts w:ascii="Calibri" w:cs="Calibri" w:eastAsia="Calibri" w:hAnsi="Calibri"/>
          <w:sz w:val="20"/>
          <w:szCs w:val="20"/>
        </w:rPr>
        <w:t xml:space="preserve">Six of the eleven equipment lines are insufficiently specified to allow bids to be compared, or specify a part that is inconsistent with the requirement. Each is capable of straightforward correction.</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840"/>
        <w:gridCol w:w="3300"/>
        <w:gridCol w:w="4880"/>
      </w:tblGrid>
      <w:tr>
        <w:trPr>
          <w:tblHeader/>
        </w:trPr>
        <w:tc>
          <w:tcPr>
            <w:tcW w:type="dxa" w:w="84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Item</w:t>
            </w:r>
          </w:p>
        </w:tc>
        <w:tc>
          <w:tcPr>
            <w:tcW w:type="dxa" w:w="33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Defect</w:t>
            </w:r>
          </w:p>
        </w:tc>
        <w:tc>
          <w:tcPr>
            <w:tcW w:type="dxa" w:w="488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Consequence and recommended correction</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2</w:t>
            </w:r>
          </w:p>
        </w:tc>
        <w:tc>
          <w:tcPr>
            <w:tcW w:type="dxa" w:w="33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a detector family, not a part number. Three products in that family are materially different in price and performance.</w:t>
            </w:r>
          </w:p>
        </w:tc>
        <w:tc>
          <w:tcPr>
            <w:tcW w:type="dxa" w:w="488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385 units at stake. Only one bidder stated which product it offered. Multi-sensor variants resist false alarms far better in food, cooking and back-of-house areas; a single optical type throughout is unlikely to be the right design.</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3</w:t>
            </w:r>
          </w:p>
        </w:tc>
        <w:tc>
          <w:tcPr>
            <w:tcW w:type="dxa" w:w="33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Describes a detector with an integrated visual alarm device.</w:t>
            </w:r>
          </w:p>
        </w:tc>
        <w:tc>
          <w:tcPr>
            <w:tcW w:type="dxa" w:w="488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Every bid prices this line below its own sounder line, indicating that plain detectors have been priced rather than the variant described. 60 units at stake.</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4</w:t>
            </w:r>
          </w:p>
        </w:tc>
        <w:tc>
          <w:tcPr>
            <w:tcW w:type="dxa" w:w="33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a glass-element call point. The local market stocks resettable-element variants.</w:t>
            </w:r>
          </w:p>
        </w:tc>
        <w:tc>
          <w:tcPr>
            <w:tcW w:type="dxa" w:w="488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A glass element is consumed at every activation and every annual test. The resettable variant is cheaper to own and is what is actually available. Recommend re-specifying deliberately rather than discovering a substitution at handover.</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6</w:t>
            </w:r>
          </w:p>
        </w:tc>
        <w:tc>
          <w:tcPr>
            <w:tcW w:type="dxa" w:w="33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a channel count but not whether the modules are inputs, outputs or combined.</w:t>
            </w:r>
          </w:p>
        </w:tc>
        <w:tc>
          <w:tcPr>
            <w:tcW w:type="dxa" w:w="488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Inputs monitor; outputs drive plant. They are not interchangeable. Bids span three-fold on this line, consistent with different products being priced. Approximately NGN 5.3m turns on the ambiguity. Require an input/output schedule.</w:t>
            </w:r>
          </w:p>
        </w:tc>
      </w:tr>
      <w:tr>
        <w:trPr>
          <w:tblHeader w:val="false"/>
        </w:trPr>
        <w:tc>
          <w:tcPr>
            <w:tcW w:type="dxa" w:w="840"/>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9</w:t>
            </w:r>
          </w:p>
        </w:tc>
        <w:tc>
          <w:tcPr>
            <w:tcW w:type="dxa" w:w="330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four identical loop cards.</w:t>
            </w:r>
          </w:p>
        </w:tc>
        <w:tc>
          <w:tcPr>
            <w:tcW w:type="dxa" w:w="4880"/>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Three are required for the main panel and one for the expansion panel, and these are different part numbers. Four identical cards would leave one that does not fit.</w:t>
            </w:r>
          </w:p>
        </w:tc>
      </w:tr>
      <w:tr>
        <w:trPr>
          <w:tblHeader w:val="false"/>
        </w:trPr>
        <w:tc>
          <w:tcPr>
            <w:tcW w:type="dxa" w:w="840"/>
            <w:shd w:fill="F2F5FA" w:color="auto" w:val="clear"/>
            <w:tcMar>
              <w:top w:type="dxa" w:w="60"/>
              <w:left w:type="dxa" w:w="100"/>
              <w:bottom w:type="dxa" w:w="60"/>
              <w:right w:type="dxa" w:w="100"/>
            </w:tcMar>
          </w:tcPr>
          <w:p>
            <w:pPr>
              <w:spacing w:after="0" w:line="240"/>
              <w:jc w:val="center"/>
            </w:pPr>
            <w:r>
              <w:rPr>
                <w:rFonts w:ascii="Calibri" w:cs="Calibri" w:eastAsia="Calibri" w:hAnsi="Calibri"/>
                <w:color w:val="000000"/>
                <w:sz w:val="18"/>
                <w:szCs w:val="18"/>
              </w:rPr>
              <w:t xml:space="preserve">11</w:t>
            </w:r>
          </w:p>
        </w:tc>
        <w:tc>
          <w:tcPr>
            <w:tcW w:type="dxa" w:w="330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Specifies one network card.</w:t>
            </w:r>
          </w:p>
        </w:tc>
        <w:tc>
          <w:tcPr>
            <w:tcW w:type="dxa" w:w="4880"/>
            <w:shd w:fill="F2F5FA" w:color="auto" w:val="clear"/>
            <w:tcMar>
              <w:top w:type="dxa" w:w="60"/>
              <w:left w:type="dxa" w:w="100"/>
              <w:bottom w:type="dxa" w:w="60"/>
              <w:right w:type="dxa" w:w="100"/>
            </w:tcMar>
          </w:tcPr>
          <w:p>
            <w:pPr>
              <w:spacing w:after="0" w:line="240"/>
            </w:pPr>
            <w:r>
              <w:rPr>
                <w:rFonts w:ascii="Calibri" w:cs="Calibri" w:eastAsia="Calibri" w:hAnsi="Calibri"/>
                <w:color w:val="000000"/>
                <w:sz w:val="18"/>
                <w:szCs w:val="18"/>
              </w:rPr>
              <w:t xml:space="preserve">Networking requires a card in every panel. Two panels are specified, so two cards are required. Without correction the panels cannot be networked, and this is discovered at commissioning.</w:t>
            </w:r>
          </w:p>
        </w:tc>
      </w:tr>
    </w:tbl>
    <w:p>
      <w:pPr>
        <w:pStyle w:val="Heading1"/>
        <w:spacing w:after="160" w:before="360"/>
      </w:pPr>
      <w:r>
        <w:rPr>
          <w:rFonts w:ascii="Calibri" w:cs="Calibri" w:eastAsia="Calibri" w:hAnsi="Calibri"/>
          <w:b/>
          <w:bCs/>
          <w:color w:val="1F3864"/>
          <w:sz w:val="28"/>
          <w:szCs w:val="28"/>
        </w:rPr>
        <w:t xml:space="preserve">6. The existing control panel</w:t>
      </w:r>
    </w:p>
    <w:p>
      <w:pPr>
        <w:spacing w:after="120" w:line="276"/>
      </w:pPr>
      <w:r>
        <w:rPr>
          <w:rFonts w:ascii="Calibri" w:cs="Calibri" w:eastAsia="Calibri" w:hAnsi="Calibri"/>
          <w:sz w:val="20"/>
          <w:szCs w:val="20"/>
        </w:rPr>
        <w:t xml:space="preserve">Photographs of the installed panel were examined. The following is established from the images with reasonable confidence:</w:t>
      </w:r>
    </w:p>
    <w:p>
      <w:pPr>
        <w:pStyle w:val="ListParagraph"/>
        <w:numPr>
          <w:ilvl w:val="0"/>
          <w:numId w:val="2"/>
        </w:numPr>
        <w:spacing w:after="80" w:line="276"/>
      </w:pPr>
      <w:r>
        <w:rPr>
          <w:rFonts w:ascii="Calibri" w:cs="Calibri" w:eastAsia="Calibri" w:hAnsi="Calibri"/>
          <w:sz w:val="20"/>
          <w:szCs w:val="20"/>
        </w:rPr>
        <w:t xml:space="preserve">The panel is a Honeywell GENT unit, identified by the manufacturer's marking on the enclosure.</w:t>
      </w:r>
    </w:p>
    <w:p>
      <w:pPr>
        <w:pStyle w:val="ListParagraph"/>
        <w:numPr>
          <w:ilvl w:val="0"/>
          <w:numId w:val="2"/>
        </w:numPr>
        <w:spacing w:after="80" w:line="276"/>
      </w:pPr>
      <w:r>
        <w:rPr>
          <w:rFonts w:ascii="Calibri" w:cs="Calibri" w:eastAsia="Calibri" w:hAnsi="Calibri"/>
          <w:sz w:val="20"/>
          <w:szCs w:val="20"/>
        </w:rPr>
        <w:t xml:space="preserve">It belongs to the Vigilon family, identified by the 32 zone indicators, the full alphanumeric keypad and the 8-line display.</w:t>
      </w:r>
    </w:p>
    <w:p>
      <w:pPr>
        <w:pStyle w:val="ListParagraph"/>
        <w:numPr>
          <w:ilvl w:val="0"/>
          <w:numId w:val="2"/>
        </w:numPr>
        <w:spacing w:after="80" w:line="276"/>
      </w:pPr>
      <w:r>
        <w:rPr>
          <w:rFonts w:ascii="Calibri" w:cs="Calibri" w:eastAsia="Calibri" w:hAnsi="Calibri"/>
          <w:sz w:val="20"/>
          <w:szCs w:val="20"/>
        </w:rPr>
        <w:t xml:space="preserve">An internal label reads "MADE IN UK" with a date code consistent with manufacture in 2020.</w:t>
      </w:r>
    </w:p>
    <w:p>
      <w:pPr>
        <w:pStyle w:val="ListParagraph"/>
        <w:numPr>
          <w:ilvl w:val="0"/>
          <w:numId w:val="2"/>
        </w:numPr>
        <w:spacing w:after="80" w:line="276"/>
      </w:pPr>
      <w:r>
        <w:rPr>
          <w:rFonts w:ascii="Calibri" w:cs="Calibri" w:eastAsia="Calibri" w:hAnsi="Calibri"/>
          <w:sz w:val="20"/>
          <w:szCs w:val="20"/>
        </w:rPr>
        <w:t xml:space="preserve">It is not from the manufacturer's discontinued device generation, support for which ended in 2019.</w:t>
      </w:r>
    </w:p>
    <w:p>
      <w:pPr>
        <w:spacing w:after="120" w:line="276"/>
      </w:pPr>
      <w:r>
        <w:rPr>
          <w:rFonts w:ascii="Calibri" w:cs="Calibri" w:eastAsia="Calibri" w:hAnsi="Calibri"/>
          <w:b/>
          <w:bCs/>
          <w:sz w:val="20"/>
          <w:szCs w:val="20"/>
        </w:rPr>
        <w:t xml:space="preserve">The implication is significant. </w:t>
      </w:r>
      <w:r>
        <w:rPr>
          <w:rFonts w:ascii="Calibri" w:cs="Calibri" w:eastAsia="Calibri" w:hAnsi="Calibri"/>
          <w:sz w:val="20"/>
          <w:szCs w:val="20"/>
        </w:rPr>
        <w:t xml:space="preserve">A control panel of approximately six years of age, from a currently supported product family, is not ordinarily a candidate for replacement. The bill of quantities nevertheless replaces the panel, the loop cards and the network card. Depending on bidder, those three lines total between NGN 5m and NGN 9m.</w:t>
      </w:r>
    </w:p>
    <w:p>
      <w:pPr>
        <w:spacing w:after="120" w:line="276"/>
      </w:pPr>
      <w:r>
        <w:rPr>
          <w:rFonts w:ascii="Calibri" w:cs="Calibri" w:eastAsia="Calibri" w:hAnsi="Calibri"/>
          <w:sz w:val="20"/>
          <w:szCs w:val="20"/>
        </w:rPr>
        <w:t xml:space="preserve">This also raises a broader question about the specification as a whole. If the panel dates from 2020, the field devices are likely of similar vintage, and detectors have a service life well beyond six years. A specification that replaces every device, both panels and the cabling is what is written when no diagnosis has been performed. The Client's own document requires the contractor to identify defective components and verify quantities before execution; there is no evidence in any submission that this has been done.</w:t>
      </w:r>
    </w:p>
    <w:p>
      <w:pPr>
        <w:spacing w:after="120" w:line="276"/>
      </w:pPr>
      <w:r>
        <w:rPr>
          <w:rFonts w:ascii="Calibri" w:cs="Calibri" w:eastAsia="Calibri" w:hAnsi="Calibri"/>
          <w:sz w:val="20"/>
          <w:szCs w:val="20"/>
        </w:rPr>
        <w:t xml:space="preserve">Two matters could not be resolved from the photographs. The exact model is not confirmed — the original and current generations of this panel family share the same fascia — and the display appeared blank in both images, which may be a photographic artefact or may indicate a fault. The model label inside the enclosure and a photograph of the display in its normal state would settle both.</w:t>
      </w:r>
    </w:p>
    <w:p>
      <w:r>
        <w:br w:type="page"/>
      </w:r>
    </w:p>
    <w:p>
      <w:pPr>
        <w:pStyle w:val="Heading1"/>
        <w:spacing w:after="160" w:before="360"/>
      </w:pPr>
      <w:r>
        <w:rPr>
          <w:rFonts w:ascii="Calibri" w:cs="Calibri" w:eastAsia="Calibri" w:hAnsi="Calibri"/>
          <w:b/>
          <w:bCs/>
          <w:color w:val="1F3864"/>
          <w:sz w:val="28"/>
          <w:szCs w:val="28"/>
        </w:rPr>
        <w:t xml:space="preserve">7. Assessment of the installed equipment family</w:t>
      </w:r>
    </w:p>
    <w:p>
      <w:pPr>
        <w:pStyle w:val="Heading2"/>
        <w:spacing w:after="120" w:before="260"/>
      </w:pPr>
      <w:r>
        <w:rPr>
          <w:rFonts w:ascii="Calibri" w:cs="Calibri" w:eastAsia="Calibri" w:hAnsi="Calibri"/>
          <w:b/>
          <w:bCs/>
          <w:color w:val="1F3864"/>
          <w:sz w:val="23"/>
          <w:szCs w:val="23"/>
        </w:rPr>
        <w:t xml:space="preserve">7.1 Product status</w:t>
      </w:r>
    </w:p>
    <w:p>
      <w:pPr>
        <w:spacing w:after="120" w:line="276"/>
      </w:pPr>
      <w:r>
        <w:rPr>
          <w:rFonts w:ascii="Calibri" w:cs="Calibri" w:eastAsia="Calibri" w:hAnsi="Calibri"/>
          <w:sz w:val="20"/>
          <w:szCs w:val="20"/>
        </w:rPr>
        <w:t xml:space="preserve">The installed equipment family remains current and supported. The control panel range in question is the manufacturer's present flagship, the detector range is the current generation, and the manufacturer continues to develop the platform — including self-testing detectors that materially reduce the cost of routine testing on large device counts. There is no technical case for abandoning the platform on obsolescence grounds.</w:t>
      </w:r>
    </w:p>
    <w:p>
      <w:pPr>
        <w:spacing w:after="120" w:line="276"/>
      </w:pPr>
      <w:r>
        <w:rPr>
          <w:rFonts w:ascii="Calibri" w:cs="Calibri" w:eastAsia="Calibri" w:hAnsi="Calibri"/>
          <w:sz w:val="20"/>
          <w:szCs w:val="20"/>
        </w:rPr>
        <w:t xml:space="preserve">Every part number appearing in the four compliant submissions was verified as a real, current product. No bidder invented a component.</w:t>
      </w:r>
    </w:p>
    <w:p>
      <w:pPr>
        <w:pStyle w:val="Heading2"/>
        <w:spacing w:after="120" w:before="260"/>
      </w:pPr>
      <w:r>
        <w:rPr>
          <w:rFonts w:ascii="Calibri" w:cs="Calibri" w:eastAsia="Calibri" w:hAnsi="Calibri"/>
          <w:b/>
          <w:bCs/>
          <w:color w:val="1F3864"/>
          <w:sz w:val="23"/>
          <w:szCs w:val="23"/>
        </w:rPr>
        <w:t xml:space="preserve">7.2 Local availability</w:t>
      </w:r>
    </w:p>
    <w:p>
      <w:pPr>
        <w:spacing w:after="120" w:line="276"/>
      </w:pPr>
      <w:r>
        <w:rPr>
          <w:rFonts w:ascii="Calibri" w:cs="Calibri" w:eastAsia="Calibri" w:hAnsi="Calibri"/>
          <w:sz w:val="20"/>
          <w:szCs w:val="20"/>
        </w:rPr>
        <w:t xml:space="preserve">Equipment is obtainable in Lagos. Multiple trade sellers list the control panel, detectors, call points, interface modules, loop cards and network cards, and prices were verified for six of the eleven lines. No factory-appointed distributor was identified in Nigeria; supply appears to run through importers and resellers, which is normal for the market but bears on warranty recourse.</w:t>
      </w:r>
    </w:p>
    <w:p>
      <w:pPr>
        <w:pStyle w:val="Heading2"/>
        <w:spacing w:after="120" w:before="260"/>
      </w:pPr>
      <w:r>
        <w:rPr>
          <w:rFonts w:ascii="Calibri" w:cs="Calibri" w:eastAsia="Calibri" w:hAnsi="Calibri"/>
          <w:b/>
          <w:bCs/>
          <w:color w:val="1F3864"/>
          <w:sz w:val="23"/>
          <w:szCs w:val="23"/>
        </w:rPr>
        <w:t xml:space="preserve">7.3 The material constraint</w:t>
      </w:r>
    </w:p>
    <w:p>
      <w:pPr>
        <w:spacing w:after="120" w:line="276"/>
      </w:pPr>
      <w:r>
        <w:rPr>
          <w:rFonts w:ascii="Calibri" w:cs="Calibri" w:eastAsia="Calibri" w:hAnsi="Calibri"/>
          <w:b/>
          <w:bCs/>
          <w:sz w:val="20"/>
          <w:szCs w:val="20"/>
        </w:rPr>
        <w:t xml:space="preserve">The manufacturer restricts its commissioning software to engineers it has certified. </w:t>
      </w:r>
      <w:r>
        <w:rPr>
          <w:rFonts w:ascii="Calibri" w:cs="Calibri" w:eastAsia="Calibri" w:hAnsi="Calibri"/>
          <w:sz w:val="20"/>
          <w:szCs w:val="20"/>
        </w:rPr>
        <w:t xml:space="preserve">Hardware can be bought freely; the panel cannot be lawfully programmed, tested or certificated without a certified engineer. In a market with no appointed distributor, this is the single most important question in the tender — and no submission addresses it. The Client should require documentary evidence of certification as a condition of award.</w:t>
      </w:r>
    </w:p>
    <w:p>
      <w:pPr>
        <w:pStyle w:val="Heading2"/>
        <w:spacing w:after="120" w:before="260"/>
      </w:pPr>
      <w:r>
        <w:rPr>
          <w:rFonts w:ascii="Calibri" w:cs="Calibri" w:eastAsia="Calibri" w:hAnsi="Calibri"/>
          <w:b/>
          <w:bCs/>
          <w:color w:val="1F3864"/>
          <w:sz w:val="23"/>
          <w:szCs w:val="23"/>
        </w:rPr>
        <w:t xml:space="preserve">7.4 Alternatives</w:t>
      </w:r>
    </w:p>
    <w:p>
      <w:pPr>
        <w:spacing w:after="120" w:line="276"/>
      </w:pPr>
      <w:r>
        <w:rPr>
          <w:rFonts w:ascii="Calibri" w:cs="Calibri" w:eastAsia="Calibri" w:hAnsi="Calibri"/>
          <w:sz w:val="20"/>
          <w:szCs w:val="20"/>
        </w:rPr>
        <w:t xml:space="preserve">Should certification prove unobtainable, or should the existing panel turn out to be beyond economic repair, open-protocol alternatives are available in Lagos. Open-protocol systems publish their communication standard, so any accredited contractor can maintain them and the annual service contract can be competitively tendered for the life of the installation. The equipment cost is broadly comparable; the saving is in maintenance competition and the absence of vendor lock-in.</w:t>
      </w:r>
    </w:p>
    <w:p>
      <w:pPr>
        <w:spacing w:after="120" w:line="276"/>
      </w:pPr>
      <w:r>
        <w:rPr>
          <w:rFonts w:ascii="Calibri" w:cs="Calibri" w:eastAsia="Calibri" w:hAnsi="Calibri"/>
          <w:i/>
          <w:iCs/>
          <w:color w:val="595959"/>
          <w:sz w:val="18"/>
          <w:szCs w:val="18"/>
        </w:rPr>
        <w:t xml:space="preserve">This is worth pricing in parallel rather than in place of the current approach. The specification already replaces every device, both panels and the cabling, so the compatibility constraint that justifies staying with the incumbent platform is protecting very little.</w:t>
      </w:r>
    </w:p>
    <w:p>
      <w:pPr>
        <w:pStyle w:val="Heading1"/>
        <w:spacing w:after="160" w:before="360"/>
      </w:pPr>
      <w:r>
        <w:rPr>
          <w:rFonts w:ascii="Calibri" w:cs="Calibri" w:eastAsia="Calibri" w:hAnsi="Calibri"/>
          <w:b/>
          <w:bCs/>
          <w:color w:val="1F3864"/>
          <w:sz w:val="28"/>
          <w:szCs w:val="28"/>
        </w:rPr>
        <w:t xml:space="preserve">8. Observations by submission</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1900"/>
        <w:gridCol w:w="7120"/>
      </w:tblGrid>
      <w:tr>
        <w:trPr>
          <w:tblHeader/>
        </w:trPr>
        <w:tc>
          <w:tcPr>
            <w:tcW w:type="dxa" w:w="19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Submission</w:t>
            </w:r>
          </w:p>
        </w:tc>
        <w:tc>
          <w:tcPr>
            <w:tcW w:type="dxa" w:w="712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7"/>
                <w:szCs w:val="17"/>
              </w:rPr>
              <w:t xml:space="preserve">Observations</w:t>
            </w:r>
          </w:p>
        </w:tc>
      </w:tr>
      <w:tr>
        <w:trPr>
          <w:tblHeader w:val="false"/>
        </w:trPr>
        <w:tc>
          <w:tcPr>
            <w:tcW w:type="dxa" w:w="190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A — TotaGO</w:t>
            </w:r>
          </w:p>
        </w:tc>
        <w:tc>
          <w:tcPr>
            <w:tcW w:type="dxa" w:w="712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Highest price, and highest on the most visible single item: the control panel is quoted 43–56% above verified market. The interface module is priced above the cost of a superior four-channel unit locally. The submission contains an arithmetic error of NGN 300,000 on which its own subtotal depends, and two mistyped rates. Validity was seven days from March 2026. None of the ten required commercial particulars were provided.</w:t>
            </w:r>
          </w:p>
        </w:tc>
      </w:tr>
      <w:tr>
        <w:trPr>
          <w:tblHeader w:val="false"/>
        </w:trPr>
        <w:tc>
          <w:tcPr>
            <w:tcW w:type="dxa" w:w="19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B — Emo-Technical</w:t>
            </w:r>
          </w:p>
        </w:tc>
        <w:tc>
          <w:tcPr>
            <w:tcW w:type="dxa" w:w="71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Arithmetically clean, and the only submission answering every commercial question the Client asked: delivery, programme, warranty, payment terms and validity. Still valid at the date of review. Against that: the call point is 45% above verified market; the apparent economy in item 13 is a reclassification into items 8 and 12 rather than a saving; and the letterhead refers to an unrelated project, indicating the document was adapted from another quotation.</w:t>
            </w:r>
          </w:p>
        </w:tc>
      </w:tr>
      <w:tr>
        <w:trPr>
          <w:tblHeader w:val="false"/>
        </w:trPr>
        <w:tc>
          <w:tcPr>
            <w:tcW w:type="dxa" w:w="190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C — Potreal (PISL)</w:t>
            </w:r>
          </w:p>
        </w:tc>
        <w:tc>
          <w:tcPr>
            <w:tcW w:type="dxa" w:w="712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Mid-priced and compliant on equipment. The network card is quoted at approximately 2.5 times verified market. No commercial particulars were provided. The tender pack includes this bidder's corporate profile, which the Client may wish to consider when establishing who compiled the pack.</w:t>
            </w:r>
          </w:p>
        </w:tc>
      </w:tr>
      <w:tr>
        <w:trPr>
          <w:tblHeader w:val="false"/>
        </w:trPr>
        <w:tc>
          <w:tcPr>
            <w:tcW w:type="dxa" w:w="1900"/>
            <w:shd w:fill="F2F5FA" w:color="auto" w:val="clear"/>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D — JML / Fadayomi</w:t>
            </w:r>
          </w:p>
        </w:tc>
        <w:tc>
          <w:tcPr>
            <w:tcW w:type="dxa" w:w="712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Lowest compliant price, but the ranking changes once the omitted expansion panel is imputed. The only submission to state actual manufacturer part numbers, which is a point in its favour. Against that: the control panel is quoted 29–35% below verified market and the network card at 27% of it, neither of which is consistent with genuine new equipment; and the all-in soft cost of 13.3% is the lowest by a wide margin, at under NGN 13,000 per device for the entire installation, testing, commissioning, documentation and training obligation.</w:t>
            </w:r>
          </w:p>
        </w:tc>
      </w:tr>
      <w:tr>
        <w:trPr>
          <w:tblHeader w:val="false"/>
        </w:trPr>
        <w:tc>
          <w:tcPr>
            <w:tcW w:type="dxa" w:w="1900"/>
            <w:tcMar>
              <w:top w:type="dxa" w:w="60"/>
              <w:left w:type="dxa" w:w="100"/>
              <w:bottom w:type="dxa" w:w="60"/>
              <w:right w:type="dxa" w:w="100"/>
            </w:tcMar>
          </w:tcPr>
          <w:p>
            <w:pPr>
              <w:spacing w:after="0" w:line="240"/>
            </w:pPr>
            <w:r>
              <w:rPr>
                <w:rFonts w:ascii="Calibri" w:cs="Calibri" w:eastAsia="Calibri" w:hAnsi="Calibri"/>
                <w:b/>
                <w:bCs/>
                <w:color w:val="000000"/>
                <w:sz w:val="17"/>
                <w:szCs w:val="17"/>
              </w:rPr>
              <w:t xml:space="preserve">E — Roundbox</w:t>
            </w:r>
          </w:p>
        </w:tc>
        <w:tc>
          <w:tcPr>
            <w:tcW w:type="dxa" w:w="7120"/>
            <w:tcMar>
              <w:top w:type="dxa" w:w="60"/>
              <w:left w:type="dxa" w:w="100"/>
              <w:bottom w:type="dxa" w:w="60"/>
              <w:right w:type="dxa" w:w="100"/>
            </w:tcMar>
          </w:tcPr>
          <w:p>
            <w:pPr>
              <w:spacing w:after="0" w:line="240"/>
            </w:pPr>
            <w:r>
              <w:rPr>
                <w:rFonts w:ascii="Calibri" w:cs="Calibri" w:eastAsia="Calibri" w:hAnsi="Calibri"/>
                <w:b w:val="false"/>
                <w:bCs w:val="false"/>
                <w:color w:val="000000"/>
                <w:sz w:val="17"/>
                <w:szCs w:val="17"/>
              </w:rPr>
              <w:t xml:space="preserve">Non-compliant. Substitutes a different manufacturer's equipment throughout, contrary to the compatibility requirement, and supplies one loop card against the four specified. VAT is labelled at 5% though computed at 7.5%. Payment terms are heavily front-loaded. Its installation allowance is, in absolute terms, among the more realistic of the five.</w:t>
            </w:r>
          </w:p>
        </w:tc>
      </w:tr>
    </w:tbl>
    <w:p>
      <w:r>
        <w:br w:type="page"/>
      </w:r>
    </w:p>
    <w:p>
      <w:pPr>
        <w:pStyle w:val="Heading1"/>
        <w:spacing w:after="160" w:before="360"/>
      </w:pPr>
      <w:r>
        <w:rPr>
          <w:rFonts w:ascii="Calibri" w:cs="Calibri" w:eastAsia="Calibri" w:hAnsi="Calibri"/>
          <w:b/>
          <w:bCs/>
          <w:color w:val="1F3864"/>
          <w:sz w:val="28"/>
          <w:szCs w:val="28"/>
        </w:rPr>
        <w:t xml:space="preserve">9. Recommendations</w:t>
      </w:r>
    </w:p>
    <w:p>
      <w:pPr>
        <w:spacing w:after="120" w:line="276"/>
      </w:pPr>
      <w:r>
        <w:rPr>
          <w:rFonts w:ascii="Calibri" w:cs="Calibri" w:eastAsia="Calibri" w:hAnsi="Calibri"/>
          <w:b/>
          <w:bCs/>
          <w:sz w:val="20"/>
          <w:szCs w:val="20"/>
        </w:rPr>
        <w:t xml:space="preserve">It is recommended that the tender is not awarded on its present basis. The following sequence is proposed.</w:t>
      </w:r>
    </w:p>
    <w:tbl>
      <w:tblPr>
        <w:tblW w:type="dxa" w:w="9020"/>
        <w:tblBorders>
          <w:top w:val="single" w:color="BFBFBF" w:sz="2"/>
          <w:left w:val="single" w:color="BFBFBF" w:sz="2"/>
          <w:bottom w:val="single" w:color="BFBFBF" w:sz="2"/>
          <w:right w:val="single" w:color="BFBFBF" w:sz="2"/>
          <w:insideH w:val="single" w:color="D9D9D9" w:sz="2"/>
          <w:insideV w:val="single" w:color="D9D9D9" w:sz="2"/>
        </w:tblBorders>
      </w:tblPr>
      <w:tblGrid>
        <w:gridCol w:w="760"/>
        <w:gridCol w:w="5100"/>
        <w:gridCol w:w="3160"/>
      </w:tblGrid>
      <w:tr>
        <w:trPr>
          <w:tblHeader/>
        </w:trPr>
        <w:tc>
          <w:tcPr>
            <w:tcW w:type="dxa" w:w="7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
            </w:r>
          </w:p>
        </w:tc>
        <w:tc>
          <w:tcPr>
            <w:tcW w:type="dxa" w:w="510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Action</w:t>
            </w:r>
          </w:p>
        </w:tc>
        <w:tc>
          <w:tcPr>
            <w:tcW w:type="dxa" w:w="3160"/>
            <w:shd w:fill="1F3864" w:color="auto" w:val="clear"/>
            <w:tcMar>
              <w:top w:type="dxa" w:w="60"/>
              <w:left w:type="dxa" w:w="100"/>
              <w:bottom w:type="dxa" w:w="60"/>
              <w:right w:type="dxa" w:w="100"/>
            </w:tcMar>
          </w:tcPr>
          <w:p>
            <w:pPr>
              <w:spacing w:after="0" w:line="240"/>
              <w:jc w:val="center"/>
            </w:pPr>
            <w:r>
              <w:rPr>
                <w:rFonts w:ascii="Calibri" w:cs="Calibri" w:eastAsia="Calibri" w:hAnsi="Calibri"/>
                <w:b/>
                <w:bCs/>
                <w:color w:val="FFFFFF"/>
                <w:sz w:val="18"/>
                <w:szCs w:val="18"/>
              </w:rPr>
              <w:t xml:space="preserve">Rationale</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1</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Establish the condition and exact model of the existing control panel before any further commercial step.</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Determines whether items 1, 9 and 11 are required at all. Worth NGN 5m to NGN 9m, and the single highest-value decision available.</w:t>
            </w:r>
          </w:p>
        </w:tc>
      </w:tr>
      <w:tr>
        <w:trPr>
          <w:tblHeader w:val="false"/>
        </w:trPr>
        <w:tc>
          <w:tcPr>
            <w:tcW w:type="dxa" w:w="760"/>
            <w:shd w:fill="F2F5FA" w:color="auto" w:val="clear"/>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2</w:t>
            </w:r>
          </w:p>
        </w:tc>
        <w:tc>
          <w:tcPr>
            <w:tcW w:type="dxa" w:w="51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every bidder to evidence manufacturer certification and name its certified commissioning engineer.</w:t>
            </w:r>
          </w:p>
        </w:tc>
        <w:tc>
          <w:tcPr>
            <w:tcW w:type="dxa" w:w="316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Without this the system cannot be programmed or certificated, whatever is paid for the hardware. Treat as a pass or fail condition.</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3</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Reissue the bill of quantities with exact part numbers for items 2, 3, 4, 6, 9 and 11, and correct item 11 from one unit to two.</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Bids cannot be compared until every bidder is pricing the same product. Removes an ambiguity worth approximately NGN 5.3m on item 6 alone.</w:t>
            </w:r>
          </w:p>
        </w:tc>
      </w:tr>
      <w:tr>
        <w:trPr>
          <w:tblHeader w:val="false"/>
        </w:trPr>
        <w:tc>
          <w:tcPr>
            <w:tcW w:type="dxa" w:w="760"/>
            <w:shd w:fill="F2F5FA" w:color="auto" w:val="clear"/>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4</w:t>
            </w:r>
          </w:p>
        </w:tc>
        <w:tc>
          <w:tcPr>
            <w:tcW w:type="dxa" w:w="51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a site survey and a defect schedule before pricing, as the Client's own document already stipulates.</w:t>
            </w:r>
          </w:p>
        </w:tc>
        <w:tc>
          <w:tcPr>
            <w:tcW w:type="dxa" w:w="316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A specification that replaces every device in a six-year-old system has not been derived from a diagnosis.</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5</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Require an input and output schedule showing what each interface module will monitor or control.</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Distinguishes bidders who have surveyed the site from those who have priced from the document.</w:t>
            </w:r>
          </w:p>
        </w:tc>
      </w:tr>
      <w:tr>
        <w:trPr>
          <w:tblHeader w:val="false"/>
        </w:trPr>
        <w:tc>
          <w:tcPr>
            <w:tcW w:type="dxa" w:w="760"/>
            <w:shd w:fill="F2F5FA" w:color="auto" w:val="clear"/>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6</w:t>
            </w:r>
          </w:p>
        </w:tc>
        <w:tc>
          <w:tcPr>
            <w:tcW w:type="dxa" w:w="510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Invite an open-protocol alternative as a parallel priced option.</w:t>
            </w:r>
          </w:p>
        </w:tc>
        <w:tc>
          <w:tcPr>
            <w:tcW w:type="dxa" w:w="3160"/>
            <w:shd w:fill="F2F5FA" w:color="auto" w:val="clear"/>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Costs nothing to request. Establishes whether the incumbent platform is genuinely the best value over the installation's life, or merely the default.</w:t>
            </w:r>
          </w:p>
        </w:tc>
      </w:tr>
      <w:tr>
        <w:trPr>
          <w:tblHeader w:val="false"/>
        </w:trPr>
        <w:tc>
          <w:tcPr>
            <w:tcW w:type="dxa" w:w="760"/>
            <w:tcMar>
              <w:top w:type="dxa" w:w="60"/>
              <w:left w:type="dxa" w:w="100"/>
              <w:bottom w:type="dxa" w:w="60"/>
              <w:right w:type="dxa" w:w="100"/>
            </w:tcMar>
          </w:tcPr>
          <w:p>
            <w:pPr>
              <w:spacing w:after="0" w:line="240"/>
              <w:jc w:val="center"/>
            </w:pPr>
            <w:r>
              <w:rPr>
                <w:rFonts w:ascii="Calibri" w:cs="Calibri" w:eastAsia="Calibri" w:hAnsi="Calibri"/>
                <w:b w:val="false"/>
                <w:bCs w:val="false"/>
                <w:color w:val="000000"/>
                <w:sz w:val="18"/>
                <w:szCs w:val="18"/>
              </w:rPr>
              <w:t xml:space="preserve">7</w:t>
            </w:r>
          </w:p>
        </w:tc>
        <w:tc>
          <w:tcPr>
            <w:tcW w:type="dxa" w:w="510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Obtain written reconfirmation of validity from the three bidders whose submissions have lapsed.</w:t>
            </w:r>
          </w:p>
        </w:tc>
        <w:tc>
          <w:tcPr>
            <w:tcW w:type="dxa" w:w="3160"/>
            <w:tcMar>
              <w:top w:type="dxa" w:w="60"/>
              <w:left w:type="dxa" w:w="100"/>
              <w:bottom w:type="dxa" w:w="60"/>
              <w:right w:type="dxa" w:w="100"/>
            </w:tcMar>
          </w:tcPr>
          <w:p>
            <w:pPr>
              <w:spacing w:after="0" w:line="240"/>
            </w:pPr>
            <w:r>
              <w:rPr>
                <w:rFonts w:ascii="Calibri" w:cs="Calibri" w:eastAsia="Calibri" w:hAnsi="Calibri"/>
                <w:b w:val="false"/>
                <w:bCs w:val="false"/>
                <w:color w:val="000000"/>
                <w:sz w:val="18"/>
                <w:szCs w:val="18"/>
              </w:rPr>
              <w:t xml:space="preserve">Three of five prices are no longer binding.</w:t>
            </w:r>
          </w:p>
        </w:tc>
      </w:tr>
    </w:tbl>
    <w:p>
      <w:pPr>
        <w:spacing w:after="120" w:line="276"/>
      </w:pPr>
      <w:r>
        <w:rPr>
          <w:rFonts w:ascii="Calibri" w:cs="Calibri" w:eastAsia="Calibri" w:hAnsi="Calibri"/>
          <w:b/>
          <w:bCs/>
          <w:sz w:val="20"/>
          <w:szCs w:val="20"/>
        </w:rPr>
        <w:t xml:space="preserve">On the current information, no award should be made to any submission until items 1 to 3 above are complete. Once the specification is corrected and certification evidenced, price comparison becomes meaningful and the ranking in the executive summary can be relied upon.</w:t>
      </w:r>
    </w:p>
    <w:p>
      <w:pPr>
        <w:pStyle w:val="Heading1"/>
        <w:spacing w:after="160" w:before="360"/>
      </w:pPr>
      <w:r>
        <w:rPr>
          <w:rFonts w:ascii="Calibri" w:cs="Calibri" w:eastAsia="Calibri" w:hAnsi="Calibri"/>
          <w:b/>
          <w:bCs/>
          <w:color w:val="1F3864"/>
          <w:sz w:val="28"/>
          <w:szCs w:val="28"/>
        </w:rPr>
        <w:t xml:space="preserve">10. Limitations</w:t>
      </w:r>
    </w:p>
    <w:p>
      <w:pPr>
        <w:spacing w:after="120" w:line="276"/>
      </w:pPr>
      <w:r>
        <w:rPr>
          <w:rFonts w:ascii="Calibri" w:cs="Calibri" w:eastAsia="Calibri" w:hAnsi="Calibri"/>
          <w:sz w:val="20"/>
          <w:szCs w:val="20"/>
        </w:rPr>
        <w:t xml:space="preserve">This report should be read subject to the following.</w:t>
      </w:r>
    </w:p>
    <w:p>
      <w:pPr>
        <w:pStyle w:val="ListParagraph"/>
        <w:numPr>
          <w:ilvl w:val="0"/>
          <w:numId w:val="2"/>
        </w:numPr>
        <w:spacing w:after="80" w:line="276"/>
      </w:pPr>
      <w:r>
        <w:rPr>
          <w:rFonts w:ascii="Calibri" w:cs="Calibri" w:eastAsia="Calibri" w:hAnsi="Calibri"/>
          <w:sz w:val="20"/>
          <w:szCs w:val="20"/>
        </w:rPr>
        <w:t xml:space="preserve">Market prices are asking prices from trade listings and online sellers, not formal quotations. They indicate the level of the market; they are not offers capable of acceptance.</w:t>
      </w:r>
    </w:p>
    <w:p>
      <w:pPr>
        <w:pStyle w:val="ListParagraph"/>
        <w:numPr>
          <w:ilvl w:val="0"/>
          <w:numId w:val="2"/>
        </w:numPr>
        <w:spacing w:after="80" w:line="276"/>
      </w:pPr>
      <w:r>
        <w:rPr>
          <w:rFonts w:ascii="Calibri" w:cs="Calibri" w:eastAsia="Calibri" w:hAnsi="Calibri"/>
          <w:sz w:val="20"/>
          <w:szCs w:val="20"/>
        </w:rPr>
        <w:t xml:space="preserve">Prices converted from sterling use an exchange rate of NGN 1,837.89 to the pound, which moved within a 2% band in the week of preparation. Converted figures carry that sensitivity before any other.</w:t>
      </w:r>
    </w:p>
    <w:p>
      <w:pPr>
        <w:pStyle w:val="ListParagraph"/>
        <w:numPr>
          <w:ilvl w:val="0"/>
          <w:numId w:val="2"/>
        </w:numPr>
        <w:spacing w:after="80" w:line="276"/>
      </w:pPr>
      <w:r>
        <w:rPr>
          <w:rFonts w:ascii="Calibri" w:cs="Calibri" w:eastAsia="Calibri" w:hAnsi="Calibri"/>
          <w:sz w:val="20"/>
          <w:szCs w:val="20"/>
        </w:rPr>
        <w:t xml:space="preserve">The identification of the existing panel rests on photographs. The exact model is not confirmed, and the panel's functional condition has not been established. If the panel proves to be a legacy variant, several conclusions in sections 5 and 6 change materially.</w:t>
      </w:r>
    </w:p>
    <w:p>
      <w:pPr>
        <w:pStyle w:val="ListParagraph"/>
        <w:numPr>
          <w:ilvl w:val="0"/>
          <w:numId w:val="2"/>
        </w:numPr>
        <w:spacing w:after="80" w:line="276"/>
      </w:pPr>
      <w:r>
        <w:rPr>
          <w:rFonts w:ascii="Calibri" w:cs="Calibri" w:eastAsia="Calibri" w:hAnsi="Calibri"/>
          <w:sz w:val="20"/>
          <w:szCs w:val="20"/>
        </w:rPr>
        <w:t xml:space="preserve">Quantities are the Client's and have not been verified. The Client's own document requires the successful contractor to verify them by survey before execution.</w:t>
      </w:r>
    </w:p>
    <w:p>
      <w:pPr>
        <w:pStyle w:val="ListParagraph"/>
        <w:numPr>
          <w:ilvl w:val="0"/>
          <w:numId w:val="2"/>
        </w:numPr>
        <w:spacing w:after="80" w:line="276"/>
      </w:pPr>
      <w:r>
        <w:rPr>
          <w:rFonts w:ascii="Calibri" w:cs="Calibri" w:eastAsia="Calibri" w:hAnsi="Calibri"/>
          <w:sz w:val="20"/>
          <w:szCs w:val="20"/>
        </w:rPr>
        <w:t xml:space="preserve">No assessment has been made of any bidder's competence, references, financial standing, or capacity to perform.</w:t>
      </w:r>
    </w:p>
    <w:p>
      <w:pPr>
        <w:pStyle w:val="ListParagraph"/>
        <w:numPr>
          <w:ilvl w:val="0"/>
          <w:numId w:val="2"/>
        </w:numPr>
        <w:spacing w:after="80" w:line="276"/>
      </w:pPr>
      <w:r>
        <w:rPr>
          <w:rFonts w:ascii="Calibri" w:cs="Calibri" w:eastAsia="Calibri" w:hAnsi="Calibri"/>
          <w:sz w:val="20"/>
          <w:szCs w:val="20"/>
        </w:rPr>
        <w:t xml:space="preserve">This is a commercial and specification review. It is not a fire engineering assessment and does not certify that the tendered system, if installed as specified, would comply with any applicable standard.</w:t>
      </w:r>
    </w:p>
    <w:p>
      <w:pPr>
        <w:pBdr>
          <w:bottom w:val="single" w:color="1F3864" w:sz="6"/>
        </w:pBdr>
        <w:spacing w:after="160" w:before="60"/>
      </w:pPr>
    </w:p>
    <w:p>
      <w:pPr>
        <w:spacing w:after="120" w:line="276"/>
        <w:jc w:val="center"/>
      </w:pPr>
      <w:r>
        <w:rPr>
          <w:rFonts w:ascii="Calibri" w:cs="Calibri" w:eastAsia="Calibri" w:hAnsi="Calibri"/>
          <w:i/>
          <w:iCs/>
          <w:color w:val="595959"/>
          <w:sz w:val="20"/>
          <w:szCs w:val="20"/>
        </w:rPr>
        <w:t xml:space="preserve">End of report.</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 Detection and Alarm System — Tender Evaluation Report</dc:title>
  <dc:creator>Fire Systems Tender Review</dc:creator>
  <cp:lastModifiedBy>Un-named</cp:lastModifiedBy>
  <cp:revision>1</cp:revision>
  <dcterms:created xsi:type="dcterms:W3CDTF">2026-08-01T11:15:13.238Z</dcterms:created>
  <dcterms:modified xsi:type="dcterms:W3CDTF">2026-08-01T11:15:13.239Z</dcterms:modified>
</cp:coreProperties>
</file>

<file path=docProps/custom.xml><?xml version="1.0" encoding="utf-8"?>
<Properties xmlns="http://schemas.openxmlformats.org/officeDocument/2006/custom-properties" xmlns:vt="http://schemas.openxmlformats.org/officeDocument/2006/docPropsVTypes"/>
</file>