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6200" w:type="dxa"/>
            <w:shd w:val="clear" w:color="auto" w:fill="1C4636"/>
          </w:tcPr>
          <w:p>
            <w:pPr>
              <w:spacing w:before="120" w:after="60"/>
            </w:pPr>
            <w:r>
              <w:rPr>
                <w:rFonts w:ascii="Arial Narrow" w:hAnsi="Arial Narrow" w:cs="Arial Narrow"/>
                <w:sz w:val="52"/>
                <w:szCs w:val="52"/>
                <w:color w:val="F5EFE8"/>
                <w:b/>
                <w:bCs/>
                <w:caps/>
                <w:spacing w:val="100"/>
              </w:rPr>
              <w:t xml:space="preserve">GRAIL MOVEMENT</w:t>
            </w:r>
          </w:p>
          <w:p>
            <w:pPr>
              <w:spacing w:before="0" w:after="120"/>
            </w:pPr>
            <w:r>
              <w:rPr>
                <w:rFonts w:ascii="Calibri" w:hAnsi="Calibri" w:cs="Calibri"/>
                <w:sz w:val="16"/>
                <w:szCs w:val="16"/>
                <w:color w:val="AECFC0"/>
                <w:spacing w:val="240"/>
              </w:rPr>
              <w:t xml:space="preserve">HALL OF WORSHIP · OSOGBO</w:t>
            </w:r>
          </w:p>
        </w:tc>
        <w:tc>
          <w:tcPr>
            <w:tcW w:w="4266" w:type="dxa"/>
            <w:shd w:val="clear" w:color="auto" w:fill="1C4636"/>
          </w:tcPr>
          <w:p>
            <w:pPr>
              <w:jc w:val="right"/>
              <w:spacing w:before="80" w:after="60"/>
            </w:pPr>
            <w:r>
              <w:rPr>
                <w:rFonts w:ascii="Calibri" w:hAnsi="Calibri" w:cs="Calibri"/>
                <w:sz w:val="20"/>
                <w:szCs w:val="20"/>
                <w:color w:val="F5EFE8"/>
                <w:b/>
                <w:bCs/>
              </w:rPr>
              <w:t xml:space="preserve">GRAIL MOVEMENT</w:t>
            </w:r>
          </w:p>
          <w:p>
            <w:pPr>
              <w:jc w:val="right"/>
              <w:spacing w:before="0" w:after="40"/>
            </w:pPr>
            <w:r>
              <w:rPr>
                <w:rFonts w:ascii="Calibri" w:hAnsi="Calibri" w:cs="Calibri"/>
                <w:sz w:val="18"/>
                <w:szCs w:val="18"/>
                <w:color w:val="C8BFAD"/>
              </w:rPr>
              <w:t xml:space="preserve">Osogbo, Osun State</w:t>
            </w:r>
          </w:p>
          <w:p>
            <w:pPr>
              <w:jc w:val="right"/>
              <w:spacing w:before="0" w:after="40"/>
            </w:pPr>
            <w:r>
              <w:rPr>
                <w:rFonts w:ascii="Calibri" w:hAnsi="Calibri" w:cs="Calibri"/>
                <w:sz w:val="18"/>
                <w:szCs w:val="18"/>
                <w:color w:val="C8BFAD"/>
              </w:rPr>
              <w:t xml:space="preserve">Nigeria</w:t>
            </w:r>
          </w:p>
          <w:p>
            <w:pPr>
              <w:jc w:val="right"/>
              <w:spacing w:before="0" w:after="80"/>
            </w:pPr>
            <w:r>
              <w:rPr>
                <w:rFonts w:ascii="Calibri" w:hAnsi="Calibri" w:cs="Calibri"/>
                <w:sz w:val="18"/>
                <w:szCs w:val="18"/>
                <w:color w:val="C8BFAD"/>
              </w:rPr>
              <w:t xml:space="preserve"> </w:t>
            </w:r>
          </w:p>
        </w:tc>
      </w:tr>
    </w:tbl>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rPr>
          <w:trHeight w:val="60" w:hRule="exact"/>
        </w:trPr>
        <w:tc>
          <w:tcPr>
            <w:tcW w:w="10466" w:type="dxa"/>
            <w:shd w:val="clear" w:color="auto" w:fill="B85C38"/>
          </w:tcPr>
          <w:p>
            <w:pPr>
              <w:spacing w:before="0" w:after="0"/>
            </w:pPr>
          </w:p>
        </w:tc>
      </w:tr>
    </w:tbl>
    <w:p>
      <w:pPr>
        <w:spacing w:before="360" w:after="80"/>
      </w:pPr>
      <w:r>
        <w:rPr>
          <w:rFonts w:ascii="Calibri" w:hAnsi="Calibri" w:cs="Calibri"/>
          <w:sz w:val="20"/>
          <w:szCs w:val="20"/>
          <w:color w:val="B85C38"/>
          <w:b/>
          <w:bCs/>
          <w:caps/>
          <w:spacing w:val="280"/>
        </w:rPr>
        <w:t xml:space="preserve">PROJECT REPORT</w:t>
      </w:r>
    </w:p>
    <w:p>
      <w:pPr>
        <w:spacing w:before="0" w:after="0"/>
      </w:pPr>
      <w:r>
        <w:rPr>
          <w:rFonts w:ascii="Arial Narrow" w:hAnsi="Arial Narrow" w:cs="Arial Narrow"/>
          <w:sz w:val="68"/>
          <w:szCs w:val="68"/>
          <w:color w:val="1A1A1A"/>
          <w:b/>
          <w:bCs/>
          <w:caps/>
        </w:rPr>
        <w:t xml:space="preserve">Hall of Worship, Osogbo — Altar and Structure Remodification</w:t>
      </w:r>
    </w:p>
    <w:p>
      <w:pPr>
        <w:spacing w:before="120" w:after="240"/>
        <w:pBdr>
          <w:bottom w:val="single" w:sz="4" w:space="1" w:color="1C4636"/>
        </w:pBdr>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3488"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Report Reference</w:t>
            </w:r>
          </w:p>
          <w:p>
            <w:pPr>
              <w:spacing w:before="0" w:after="80"/>
            </w:pPr>
            <w:r>
              <w:rPr>
                <w:rFonts w:ascii="Calibri" w:hAnsi="Calibri" w:cs="Calibri"/>
                <w:sz w:val="22"/>
                <w:szCs w:val="22"/>
                <w:color w:val="9E4F30"/>
                <w:i/>
              </w:rPr>
              <w:t xml:space="preserve">RPT-2026-OSG-001</w:t>
            </w:r>
          </w:p>
        </w:tc>
        <w:tc>
          <w:tcPr>
            <w:tcW w:w="3488" w:type="dxa"/>
            <w:shd w:val="clear" w:color="auto" w:fill="F5EFE8"/>
          </w:tcPr>
          <w:p>
            <w:pPr>
              <w:spacing w:before="80" w:after="30"/>
            </w:pPr>
            <w:r>
              <w:rPr>
                <w:rFonts w:ascii="Calibri" w:hAnsi="Calibri" w:cs="Calibri"/>
                <w:sz w:val="16"/>
                <w:szCs w:val="16"/>
                <w:color w:val="6B7280"/>
                <w:b/>
                <w:bCs/>
                <w:caps/>
                <w:spacing w:val="180"/>
              </w:rPr>
              <w:t xml:space="preserve">Date</w:t>
            </w:r>
          </w:p>
          <w:p>
            <w:pPr>
              <w:spacing w:before="0" w:after="80"/>
            </w:pPr>
            <w:r>
              <w:rPr>
                <w:rFonts w:ascii="Calibri" w:hAnsi="Calibri" w:cs="Calibri"/>
                <w:sz w:val="22"/>
                <w:szCs w:val="22"/>
                <w:color w:val="9E4F30"/>
                <w:i/>
              </w:rPr>
              <w:t xml:space="preserve">02 July 2026</w:t>
            </w:r>
          </w:p>
        </w:tc>
        <w:tc>
          <w:tcPr>
            <w:tcW w:w="3490" w:type="dxa"/>
            <w:shd w:val="clear" w:color="auto" w:fill="F5EFE8"/>
          </w:tcPr>
          <w:p>
            <w:pPr>
              <w:spacing w:before="80" w:after="30"/>
            </w:pPr>
            <w:r>
              <w:rPr>
                <w:rFonts w:ascii="Calibri" w:hAnsi="Calibri" w:cs="Calibri"/>
                <w:sz w:val="16"/>
                <w:szCs w:val="16"/>
                <w:color w:val="6B7280"/>
                <w:b/>
                <w:bCs/>
                <w:caps/>
                <w:spacing w:val="180"/>
              </w:rPr>
              <w:t xml:space="preserve">Classification</w:t>
            </w:r>
          </w:p>
          <w:p>
            <w:pPr>
              <w:spacing w:before="0" w:after="80"/>
            </w:pPr>
            <w:r>
              <w:rPr>
                <w:rFonts w:ascii="Calibri" w:hAnsi="Calibri" w:cs="Calibri"/>
                <w:sz w:val="22"/>
                <w:szCs w:val="22"/>
                <w:color w:val="9E4F30"/>
                <w:i/>
              </w:rPr>
              <w:t xml:space="preserve">Rough Estimate — For Planning Only</w:t>
            </w:r>
          </w:p>
        </w:tc>
      </w:tr>
      <w:tr>
        <w:tc>
          <w:tcPr>
            <w:tcW w:w="3488"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Prepared By</w:t>
            </w:r>
          </w:p>
          <w:p>
            <w:pPr>
              <w:spacing w:before="0" w:after="80"/>
            </w:pPr>
            <w:r>
              <w:rPr>
                <w:rFonts w:ascii="Calibri" w:hAnsi="Calibri" w:cs="Calibri"/>
                <w:sz w:val="22"/>
                <w:szCs w:val="22"/>
                <w:color w:val="9E4F30"/>
                <w:i/>
              </w:rPr>
              <w:t xml:space="preserve">Vollmann Akarakiri</w:t>
            </w:r>
          </w:p>
        </w:tc>
        <w:tc>
          <w:tcPr>
            <w:tcW w:w="3488" w:type="dxa"/>
            <w:shd w:val="clear" w:color="auto" w:fill="F5EFE8"/>
          </w:tcPr>
          <w:p>
            <w:pPr>
              <w:spacing w:before="80" w:after="30"/>
            </w:pPr>
            <w:r>
              <w:rPr>
                <w:rFonts w:ascii="Calibri" w:hAnsi="Calibri" w:cs="Calibri"/>
                <w:sz w:val="16"/>
                <w:szCs w:val="16"/>
                <w:color w:val="6B7280"/>
                <w:b/>
                <w:bCs/>
                <w:caps/>
                <w:spacing w:val="180"/>
              </w:rPr>
              <w:t xml:space="preserve">Reviewed By</w:t>
            </w:r>
          </w:p>
          <w:p>
            <w:pPr>
              <w:spacing w:before="0" w:after="80"/>
            </w:pPr>
            <w:r>
              <w:rPr>
                <w:rFonts w:ascii="Calibri" w:hAnsi="Calibri" w:cs="Calibri"/>
                <w:sz w:val="22"/>
                <w:szCs w:val="22"/>
                <w:color w:val="9E4F30"/>
                <w:i/>
              </w:rPr>
              <w:t xml:space="preserve">Jenyo Akarakiri</w:t>
            </w:r>
          </w:p>
        </w:tc>
        <w:tc>
          <w:tcPr>
            <w:tcW w:w="3490" w:type="dxa"/>
            <w:shd w:val="clear" w:color="auto" w:fill="F5EFE8"/>
          </w:tcPr>
          <w:p>
            <w:pPr>
              <w:spacing w:before="80" w:after="30"/>
            </w:pPr>
            <w:r>
              <w:rPr>
                <w:rFonts w:ascii="Calibri" w:hAnsi="Calibri" w:cs="Calibri"/>
                <w:sz w:val="16"/>
                <w:szCs w:val="16"/>
                <w:color w:val="6B7280"/>
                <w:b/>
                <w:bCs/>
                <w:caps/>
                <w:spacing w:val="180"/>
              </w:rPr>
              <w:t xml:space="preserve">Department</w:t>
            </w:r>
          </w:p>
          <w:p>
            <w:pPr>
              <w:spacing w:before="0" w:after="80"/>
            </w:pPr>
            <w:r>
              <w:rPr>
                <w:rFonts w:ascii="Calibri" w:hAnsi="Calibri" w:cs="Calibri"/>
                <w:sz w:val="22"/>
                <w:szCs w:val="22"/>
                <w:color w:val="9E4F30"/>
                <w:i/>
              </w:rPr>
              <w:t xml:space="preserve">Projects</w:t>
            </w:r>
          </w:p>
        </w:tc>
      </w:tr>
    </w:tbl>
    <w:p>
      <w:pPr>
        <w:spacing w:before="0" w:after="60"/>
      </w:pPr>
    </w:p>
    <w:p>
      <w:pPr>
        <w:spacing w:before="240" w:after="100"/>
        <w:pBdr>
          <w:bottom w:val="single" w:sz="4" w:space="1" w:color="D1CBC6"/>
        </w:pBdr>
      </w:pPr>
      <w:r>
        <w:rPr>
          <w:rFonts w:ascii="Calibri" w:hAnsi="Calibri" w:cs="Calibri"/>
          <w:sz w:val="20"/>
          <w:szCs w:val="20"/>
          <w:color w:val="1C4636"/>
          <w:b/>
          <w:bCs/>
          <w:caps/>
          <w:spacing w:val="160"/>
        </w:rPr>
        <w:t xml:space="preserve">01. EXECUTIVE SUMMARY</w:t>
      </w:r>
    </w:p>
    <w:p>
      <w:pPr>
        <w:spacing w:before="0" w:after="160"/>
      </w:pPr>
      <w:r>
        <w:rPr>
          <w:rFonts w:ascii="Calibri" w:hAnsi="Calibri" w:cs="Calibri"/>
          <w:sz w:val="24"/>
          <w:szCs w:val="24"/>
          <w:color w:val="3A3A3A"/>
        </w:rPr>
        <w:t xml:space="preserve">This report presents the scope of work and an approximate cost estimate for the modification of the altar and the side of the structure at the Hall of Worship, Osogbo. Five work items are covered: correction of the altar steps (with associated door and window relocation), structural changes to the side walls at the Ante-Room and Flower Room, ceiling installation, a new dividing partition between the Fore Hall and Main Hall, and the curved altar wall. The estimated project total is ₦16,137,000, inclusive of allowances and a 10% contingency. All figures are prepared for planning purposes only and do not constitute a tender or contract sum.</w:t>
      </w:r>
    </w:p>
    <w:p>
      <w:pPr>
        <w:spacing w:before="240" w:after="100"/>
        <w:pBdr>
          <w:bottom w:val="single" w:sz="4" w:space="1" w:color="D1CBC6"/>
        </w:pBdr>
      </w:pPr>
      <w:r>
        <w:rPr>
          <w:rFonts w:ascii="Calibri" w:hAnsi="Calibri" w:cs="Calibri"/>
          <w:sz w:val="20"/>
          <w:szCs w:val="20"/>
          <w:color w:val="1C4636"/>
          <w:b/>
          <w:bCs/>
          <w:caps/>
          <w:spacing w:val="160"/>
        </w:rPr>
        <w:t xml:space="preserve">02. BACKGROUND</w:t>
      </w:r>
    </w:p>
    <w:p>
      <w:pPr>
        <w:spacing w:before="0" w:after="160"/>
      </w:pPr>
      <w:r>
        <w:rPr>
          <w:rFonts w:ascii="Calibri" w:hAnsi="Calibri" w:cs="Calibri"/>
          <w:sz w:val="24"/>
          <w:szCs w:val="24"/>
          <w:color w:val="3A3A3A"/>
        </w:rPr>
        <w:t xml:space="preserve">The works are based on the project drawings (Ground Floor Plan, Longitudinal Section SO-1 and Altar Elevation S-02) read together with on-site measurement and take-offs. Site re-measurement found the building approximately 0.6 m shorter than drawn along the Lobby–Altar axis, which directly affects the altar zone and triggered the decision to relocate the altar-side doors. On site, the Fore Hall and Main Hall have not yet been demarcated; the dividing wall will be built as drywall throughout in place of the blockwork proposed in the plan. Rates used in the estimate are installed rates (material and labour, measured on one-side surface area) obtained for this project, with cement taken at ₦12,500 per bag.</w:t>
      </w:r>
    </w:p>
    <w:p>
      <w:pPr>
        <w:spacing w:before="240" w:after="100"/>
        <w:pBdr>
          <w:bottom w:val="single" w:sz="4" w:space="1" w:color="D1CBC6"/>
        </w:pBdr>
      </w:pPr>
      <w:r>
        <w:rPr>
          <w:rFonts w:ascii="Calibri" w:hAnsi="Calibri" w:cs="Calibri"/>
          <w:sz w:val="20"/>
          <w:szCs w:val="20"/>
          <w:color w:val="1C4636"/>
          <w:b/>
          <w:bCs/>
          <w:caps/>
          <w:spacing w:val="160"/>
        </w:rPr>
        <w:t xml:space="preserve">03. FINDINGS</w:t>
      </w: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00" w:type="dxa"/>
            <w:shd w:val="clear" w:color="auto" w:fill="F5EFE8"/>
          </w:tcPr>
          <w:p>
            <w:pPr>
              <w:spacing w:before="80" w:after="80"/>
            </w:pPr>
            <w:r>
              <w:rPr>
                <w:rFonts w:ascii="Calibri" w:hAnsi="Calibri" w:cs="Calibri"/>
                <w:sz w:val="22"/>
                <w:szCs w:val="22"/>
                <w:color w:val="B85C38"/>
                <w:b/>
                <w:bCs/>
              </w:rPr>
              <w:t xml:space="preserve">01</w:t>
            </w:r>
          </w:p>
        </w:tc>
        <w:tc>
          <w:tcPr>
            <w:tcW w:w="9966" w:type="dxa"/>
            <w:shd w:val="clear" w:color="auto" w:fill="F5EFE8"/>
            <w:tcBorders>
              <w:bottom w:val="single" w:sz="4" w:space="0" w:color="D1CBC6"/>
            </w:tcBorders>
          </w:tcPr>
          <w:p>
            <w:pPr>
              <w:spacing w:before="0" w:after="160"/>
            </w:pPr>
            <w:r>
              <w:rPr>
                <w:rFonts w:ascii="Calibri" w:hAnsi="Calibri" w:cs="Calibri"/>
                <w:sz w:val="24"/>
                <w:szCs w:val="24"/>
                <w:color w:val="3A3A3A"/>
              </w:rPr>
              <w:t xml:space="preserve">The building is approximately 0.6 metres shorter on site than what is shown on the plan (15.246 m measured versus 15.840 m on plan, measured from the altar wall to the lobby wall). The existing altar measures 3.00 m, compared to 3.45 m on the approved plan.</w:t>
            </w:r>
          </w:p>
        </w:tc>
      </w:tr>
      <w:tr>
        <w:tc>
          <w:tcPr>
            <w:tcW w:w="500" w:type="dxa"/>
            <w:shd w:val="clear" w:color="auto" w:fill="F5EFE8"/>
          </w:tcPr>
          <w:p>
            <w:pPr>
              <w:spacing w:before="80" w:after="80"/>
            </w:pPr>
            <w:r>
              <w:rPr>
                <w:rFonts w:ascii="Calibri" w:hAnsi="Calibri" w:cs="Calibri"/>
                <w:sz w:val="22"/>
                <w:szCs w:val="22"/>
                <w:color w:val="B85C38"/>
                <w:b/>
                <w:bCs/>
              </w:rPr>
              <w:t xml:space="preserve">02</w:t>
            </w:r>
          </w:p>
        </w:tc>
        <w:tc>
          <w:tcPr>
            <w:tcW w:w="9966" w:type="dxa"/>
            <w:shd w:val="clear" w:color="auto" w:fill="F5EFE8"/>
            <w:tcBorders>
              <w:bottom w:val="single" w:sz="4" w:space="0" w:color="D1CBC6"/>
            </w:tcBorders>
          </w:tcPr>
          <w:p>
            <w:pPr>
              <w:spacing w:before="0" w:after="160"/>
            </w:pPr>
            <w:r>
              <w:rPr>
                <w:rFonts w:ascii="Calibri" w:hAnsi="Calibri" w:cs="Calibri"/>
                <w:sz w:val="24"/>
                <w:szCs w:val="24"/>
                <w:color w:val="3A3A3A"/>
              </w:rPr>
              <w:t xml:space="preserve">The corrected altar step layout requires the altar side doors to be relocated approximately 0.9 m toward the lobby wall. One window section will be removed, and the door relocated into the former window position. In total, the altar step modification will affect two (2) doors and two (2) windows. Additionally, due to the structural modifications on both the left and right sides of the building, two (2) additional doors and six (6) additional windows will be removed, bringing the overall total to four (4) doors and eight (8) windows affected.</w:t>
            </w:r>
          </w:p>
        </w:tc>
      </w:tr>
      <w:tr>
        <w:tc>
          <w:tcPr>
            <w:tcW w:w="500" w:type="dxa"/>
            <w:shd w:val="clear" w:color="auto" w:fill="F5EFE8"/>
          </w:tcPr>
          <w:p>
            <w:pPr>
              <w:spacing w:before="80" w:after="80"/>
            </w:pPr>
            <w:r>
              <w:rPr>
                <w:rFonts w:ascii="Calibri" w:hAnsi="Calibri" w:cs="Calibri"/>
                <w:sz w:val="22"/>
                <w:szCs w:val="22"/>
                <w:color w:val="B85C38"/>
                <w:b/>
                <w:bCs/>
              </w:rPr>
              <w:t xml:space="preserve">03</w:t>
            </w:r>
          </w:p>
        </w:tc>
        <w:tc>
          <w:tcPr>
            <w:tcW w:w="9966" w:type="dxa"/>
            <w:shd w:val="clear" w:color="auto" w:fill="F5EFE8"/>
            <w:tcBorders>
              <w:bottom w:val="single" w:sz="4" w:space="0" w:color="D1CBC6"/>
            </w:tcBorders>
          </w:tcPr>
          <w:p>
            <w:pPr>
              <w:spacing w:before="0" w:after="160"/>
            </w:pPr>
            <w:r>
              <w:rPr>
                <w:rFonts w:ascii="Calibri" w:hAnsi="Calibri" w:cs="Calibri"/>
                <w:sz w:val="24"/>
                <w:szCs w:val="24"/>
                <w:color w:val="3A3A3A"/>
              </w:rPr>
              <w:t xml:space="preserve">The Fore Hall / Main Hall dividing partition does not exist on site. It will be constructed as full-height drywall (10 mm cement board on stud and track) in place of the blockwork shown on the plan.</w:t>
            </w:r>
          </w:p>
        </w:tc>
      </w:tr>
      <w:tr>
        <w:tc>
          <w:tcPr>
            <w:tcW w:w="500" w:type="dxa"/>
            <w:shd w:val="clear" w:color="auto" w:fill="F5EFE8"/>
          </w:tcPr>
          <w:p>
            <w:pPr>
              <w:spacing w:before="80" w:after="80"/>
            </w:pPr>
            <w:r>
              <w:rPr>
                <w:rFonts w:ascii="Calibri" w:hAnsi="Calibri" w:cs="Calibri"/>
                <w:sz w:val="22"/>
                <w:szCs w:val="22"/>
                <w:color w:val="B85C38"/>
                <w:b/>
                <w:bCs/>
              </w:rPr>
              <w:t xml:space="preserve">04</w:t>
            </w:r>
          </w:p>
        </w:tc>
        <w:tc>
          <w:tcPr>
            <w:tcW w:w="9966" w:type="dxa"/>
            <w:shd w:val="clear" w:color="auto" w:fill="F5EFE8"/>
            <w:tcBorders>
              <w:bottom w:val="single" w:sz="4" w:space="0" w:color="D1CBC6"/>
            </w:tcBorders>
          </w:tcPr>
          <w:p>
            <w:pPr>
              <w:spacing w:before="0" w:after="160"/>
            </w:pPr>
            <w:r>
              <w:rPr>
                <w:rFonts w:ascii="Calibri" w:hAnsi="Calibri" w:cs="Calibri"/>
                <w:sz w:val="24"/>
                <w:szCs w:val="24"/>
                <w:color w:val="3A3A3A"/>
              </w:rPr>
              <w:t xml:space="preserve">The existing structural columns in the side wall carry the roof and roof slab. They must not be cut until temporary beam support is in place; this is provided for under Allowance A1.</w:t>
            </w:r>
          </w:p>
        </w:tc>
      </w:tr>
    </w:tbl>
    <w:p>
      <w:pPr>
        <w:spacing w:before="240" w:after="100"/>
        <w:pBdr>
          <w:bottom w:val="single" w:sz="4" w:space="1" w:color="D1CBC6"/>
        </w:pBdr>
      </w:pPr>
      <w:r>
        <w:rPr>
          <w:rFonts w:ascii="Calibri" w:hAnsi="Calibri" w:cs="Calibri"/>
          <w:sz w:val="20"/>
          <w:szCs w:val="20"/>
          <w:color w:val="1C4636"/>
          <w:b/>
          <w:bCs/>
          <w:caps/>
          <w:spacing w:val="160"/>
        </w:rPr>
        <w:t xml:space="preserve">04. SCOPE OF WORKS AND CONSTRUCTION SEQUENCE</w:t>
      </w:r>
    </w:p>
    <w:p>
      <w:pPr>
        <w:spacing w:before="0" w:after="120"/>
      </w:pPr>
      <w:r>
        <w:rPr>
          <w:rFonts w:ascii="Calibri" w:hAnsi="Calibri" w:cs="Calibri"/>
          <w:sz w:val="22"/>
          <w:szCs w:val="22"/>
          <w:color w:val="B85C38"/>
          <w:b/>
          <w:bCs/>
        </w:rPr>
        <w:t xml:space="preserve">1.  </w:t>
      </w:r>
      <w:r>
        <w:rPr>
          <w:rFonts w:ascii="Calibri" w:hAnsi="Calibri" w:cs="Calibri"/>
          <w:sz w:val="24"/>
          <w:szCs w:val="24"/>
          <w:color w:val="3A3A3A"/>
        </w:rPr>
        <w:t xml:space="preserve">Altar steps — demolish the existing five steps, mark out and cast new corrected steps (DPC membrane, formwork, concrete and finishing). Relocate the affected doors and windows: the altar-side door moves approximately 0.9 m into the window position.</w:t>
      </w:r>
    </w:p>
    <w:p>
      <w:pPr>
        <w:spacing w:before="0" w:after="120"/>
      </w:pPr>
      <w:r>
        <w:rPr>
          <w:rFonts w:ascii="Calibri" w:hAnsi="Calibri" w:cs="Calibri"/>
          <w:sz w:val="22"/>
          <w:szCs w:val="22"/>
          <w:color w:val="B85C38"/>
          <w:b/>
          <w:bCs/>
        </w:rPr>
        <w:t xml:space="preserve">2.  </w:t>
      </w:r>
      <w:r>
        <w:rPr>
          <w:rFonts w:ascii="Calibri" w:hAnsi="Calibri" w:cs="Calibri"/>
          <w:sz w:val="24"/>
          <w:szCs w:val="24"/>
          <w:color w:val="3A3A3A"/>
        </w:rPr>
        <w:t xml:space="preserve">Side wall foundation and structure (Ante-Room + Flower Room) — excavate and blind, foundation blockwork, reinforcement from foundation to superstructure, formwork and concrete to columns, beams and lintels. Existing structural columns are supported temporarily before removal (Allowance A1); mason dresses, plasters and reinstalls doors and windows.</w:t>
      </w:r>
    </w:p>
    <w:p>
      <w:pPr>
        <w:spacing w:before="0" w:after="120"/>
      </w:pPr>
      <w:r>
        <w:rPr>
          <w:rFonts w:ascii="Calibri" w:hAnsi="Calibri" w:cs="Calibri"/>
          <w:sz w:val="22"/>
          <w:szCs w:val="22"/>
          <w:color w:val="B85C38"/>
          <w:b/>
          <w:bCs/>
        </w:rPr>
        <w:t xml:space="preserve">3.  </w:t>
      </w:r>
      <w:r>
        <w:rPr>
          <w:rFonts w:ascii="Calibri" w:hAnsi="Calibri" w:cs="Calibri"/>
          <w:sz w:val="24"/>
          <w:szCs w:val="24"/>
          <w:color w:val="3A3A3A"/>
        </w:rPr>
        <w:t xml:space="preserve">Ceiling installation — 10 mm plasterboard on stud and track: first the Main Hall + Fore Hall (117 sqm), then the Altar section (39 sqm), raised approximately 600 mm above the Main Hall ceiling.</w:t>
      </w:r>
    </w:p>
    <w:p>
      <w:pPr>
        <w:spacing w:before="0" w:after="120"/>
      </w:pPr>
      <w:r>
        <w:rPr>
          <w:rFonts w:ascii="Calibri" w:hAnsi="Calibri" w:cs="Calibri"/>
          <w:sz w:val="22"/>
          <w:szCs w:val="22"/>
          <w:color w:val="B85C38"/>
          <w:b/>
          <w:bCs/>
        </w:rPr>
        <w:t xml:space="preserve">4.  </w:t>
      </w:r>
      <w:r>
        <w:rPr>
          <w:rFonts w:ascii="Calibri" w:hAnsi="Calibri" w:cs="Calibri"/>
          <w:sz w:val="24"/>
          <w:szCs w:val="24"/>
          <w:color w:val="3A3A3A"/>
        </w:rPr>
        <w:t xml:space="preserve">New partition wall (Fore Hall / Main Hall) — full-height drywall, 10 mm cement board on 75 mm stud and track, 60 sqm one-side surface area, built up to the new ceiling.</w:t>
      </w:r>
    </w:p>
    <w:p>
      <w:pPr>
        <w:spacing w:before="0" w:after="120"/>
      </w:pPr>
      <w:r>
        <w:rPr>
          <w:rFonts w:ascii="Calibri" w:hAnsi="Calibri" w:cs="Calibri"/>
          <w:sz w:val="22"/>
          <w:szCs w:val="22"/>
          <w:color w:val="B85C38"/>
          <w:b/>
          <w:bCs/>
        </w:rPr>
        <w:t xml:space="preserve">5.  </w:t>
      </w:r>
      <w:r>
        <w:rPr>
          <w:rFonts w:ascii="Calibri" w:hAnsi="Calibri" w:cs="Calibri"/>
          <w:sz w:val="24"/>
          <w:szCs w:val="24"/>
          <w:color w:val="3A3A3A"/>
        </w:rPr>
        <w:t xml:space="preserve">Altar curve wall — single-board curved wall, 10 mm plasterboard on 60 mm stud and track, 65 sqm, following the curved apse geometry from the Ante-Room corner to the Flower Room corner.</w:t>
      </w:r>
    </w:p>
    <w:p>
      <w:pPr>
        <w:spacing w:before="240" w:after="100"/>
        <w:pBdr>
          <w:bottom w:val="single" w:sz="4" w:space="1" w:color="D1CBC6"/>
        </w:pBdr>
      </w:pPr>
      <w:r>
        <w:rPr>
          <w:rFonts w:ascii="Calibri" w:hAnsi="Calibri" w:cs="Calibri"/>
          <w:sz w:val="20"/>
          <w:szCs w:val="20"/>
          <w:color w:val="1C4636"/>
          <w:b/>
          <w:bCs/>
          <w:caps/>
          <w:spacing w:val="160"/>
        </w:rPr>
        <w:t xml:space="preserve">05. COST ESTIMATE</w:t>
      </w:r>
    </w:p>
    <w:p>
      <w:pPr>
        <w:spacing w:before="0" w:after="120"/>
      </w:pPr>
      <w:r>
        <w:rPr>
          <w:rFonts w:ascii="Calibri" w:hAnsi="Calibri" w:cs="Calibri"/>
          <w:sz w:val="24"/>
          <w:szCs w:val="24"/>
          <w:color w:val="3A3A3A"/>
        </w:rPr>
        <w:t xml:space="preserve">All rates are installed rates (material and labour) measured on one-side surface area. Cement is taken at ₦12,500 per bag. Sand and granite under Item 2 serve all concrete works including the altar steps.</w:t>
      </w:r>
    </w:p>
    <w:p>
      <w:pPr>
        <w:spacing w:before="0" w:after="60"/>
      </w:pPr>
      <w:r>
        <w:rPr>
          <w:rFonts w:ascii="Calibri" w:hAnsi="Calibri" w:cs="Calibri"/>
          <w:sz w:val="22"/>
          <w:szCs w:val="22"/>
          <w:color w:val="B85C38"/>
          <w:b/>
          <w:bCs/>
        </w:rPr>
        <w:t xml:space="preserve">Table 1 — Altar Works (steps correction, door and window relocation)</w:t>
      </w:r>
    </w:p>
    <w:tbl>
      <w:tblPr>
        <w:tblW w:w="10466" w:type="dxa"/>
        <w:tblBorders>
          <w:top w:val="single" w:sz="4" w:space="0" w:color="D1CBC6"/>
          <w:left w:val="single" w:sz="4" w:space="0" w:color="D1CBC6"/>
          <w:bottom w:val="single" w:sz="4" w:space="0" w:color="D1CBC6"/>
          <w:right w:val="single" w:sz="4" w:space="0" w:color="D1CBC6"/>
          <w:insideH w:val="single" w:sz="4" w:space="0" w:color="D1CBC6"/>
          <w:insideV w:val="single" w:sz="4" w:space="0" w:color="D1CBC6"/>
        </w:tblBorders>
      </w:tblPr>
      <w:tblGrid>
        <w:gridCol w:w="900"/>
        <w:gridCol w:w="7100"/>
        <w:gridCol w:w="2466"/>
      </w:tblGrid>
      <w:tr>
        <w:tc>
          <w:tcPr>
            <w:tcW w:w="9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w:t>
            </w:r>
          </w:p>
        </w:tc>
        <w:tc>
          <w:tcPr>
            <w:tcW w:w="71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Description</w:t>
            </w:r>
          </w:p>
        </w:tc>
        <w:tc>
          <w:tcPr>
            <w:tcW w:w="2466" w:type="dxa"/>
            <w:shd w:val="clear" w:color="auto" w:fill="1C4636"/>
            <w:tcBorders>
              <w:bottom w:val="single" w:sz="4" w:space="0" w:color="D1CBC6"/>
            </w:tcBorders>
          </w:tcPr>
          <w:p>
            <w:pPr>
              <w:spacing w:before="60" w:after="60"/>
              <w:jc w:val="right"/>
            </w:pPr>
            <w:r>
              <w:rPr>
                <w:rFonts w:ascii="Calibri" w:hAnsi="Calibri" w:cs="Calibri"/>
                <w:sz w:val="20"/>
                <w:szCs w:val="20"/>
                <w:color w:val="FFFFFF"/>
                <w:b/>
                <w:bCs/>
              </w:rPr>
              <w:t xml:space="preserve">Amount (₦)</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1.1</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Demolition of the existing five altar steps, then casting, filling, rendering and finishing of the new corrected steps — labour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150,000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1.2</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DPC membrane (black nylon) laid under the new steps before casting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25,000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1.3</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Cement for the new steps — 20 bags @ ₦12,500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250,000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1.4</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Formwork — boards, bracing and carpenter workmanship for casting the steps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1.5</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Removal and relocation of doors and windows: the altar-side door moves approximately 0.9 m — one window cell is removed and the door relocates into the window position. Covers all 4 affected doors and 8 windows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200,000</w:t>
            </w:r>
          </w:p>
        </w:tc>
      </w:tr>
      <w:tr>
        <w:tc>
          <w:tcPr>
            <w:tcW w:w="9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
            </w:r>
          </w:p>
        </w:tc>
        <w:tc>
          <w:tcPr>
            <w:tcW w:w="71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Subtotal — Altar works</w:t>
            </w:r>
          </w:p>
        </w:tc>
        <w:tc>
          <w:tcPr>
            <w:tcW w:w="2466" w:type="dxa"/>
            <w:shd w:val="clear" w:color="auto" w:fill="AECFC0"/>
            <w:tcBorders>
              <w:bottom w:val="single" w:sz="4" w:space="0" w:color="D1CBC6"/>
            </w:tcBorders>
          </w:tcPr>
          <w:p>
            <w:pPr>
              <w:spacing w:before="60" w:after="60"/>
              <w:jc w:val="right"/>
            </w:pPr>
            <w:r>
              <w:rPr>
                <w:rFonts w:ascii="Calibri" w:hAnsi="Calibri" w:cs="Calibri"/>
                <w:sz w:val="20"/>
                <w:szCs w:val="20"/>
                <w:color w:val="3A3A3A"/>
                <w:b/>
                <w:bCs/>
              </w:rPr>
              <w:t xml:space="preserve">725,000</w:t>
            </w:r>
          </w:p>
        </w:tc>
      </w:tr>
    </w:tbl>
    <w:p>
      <w:pPr>
        <w:spacing w:before="0" w:after="160"/>
      </w:pPr>
      <w:r>
        <w:rPr>
          <w:rFonts w:ascii="Calibri" w:hAnsi="Calibri" w:cs="Calibri"/>
          <w:sz w:val="24"/>
          <w:szCs w:val="24"/>
          <w:color w:val="3A3A3A"/>
        </w:rPr>
        <w:t xml:space="preserve">Concrete aggregate (sand and granite) for the steps is carried once under Table 2 (items 2.10–2.11) and serves all concrete works on the project.</w:t>
      </w:r>
    </w:p>
    <w:p>
      <w:pPr>
        <w:spacing w:before="0" w:after="60"/>
      </w:pPr>
      <w:r>
        <w:rPr>
          <w:rFonts w:ascii="Calibri" w:hAnsi="Calibri" w:cs="Calibri"/>
          <w:sz w:val="22"/>
          <w:szCs w:val="22"/>
          <w:color w:val="B85C38"/>
          <w:b/>
          <w:bCs/>
        </w:rPr>
        <w:t xml:space="preserve">Table 2 — Side Wall Jobs (outer wall expansion, Ante-Room + Flower Room)</w:t>
      </w:r>
    </w:p>
    <w:tbl>
      <w:tblPr>
        <w:tblW w:w="10466" w:type="dxa"/>
        <w:tblBorders>
          <w:top w:val="single" w:sz="4" w:space="0" w:color="D1CBC6"/>
          <w:left w:val="single" w:sz="4" w:space="0" w:color="D1CBC6"/>
          <w:bottom w:val="single" w:sz="4" w:space="0" w:color="D1CBC6"/>
          <w:right w:val="single" w:sz="4" w:space="0" w:color="D1CBC6"/>
          <w:insideH w:val="single" w:sz="4" w:space="0" w:color="D1CBC6"/>
          <w:insideV w:val="single" w:sz="4" w:space="0" w:color="D1CBC6"/>
        </w:tblBorders>
      </w:tblPr>
      <w:tblGrid>
        <w:gridCol w:w="900"/>
        <w:gridCol w:w="7100"/>
        <w:gridCol w:w="2466"/>
      </w:tblGrid>
      <w:tr>
        <w:tc>
          <w:tcPr>
            <w:tcW w:w="9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w:t>
            </w:r>
          </w:p>
        </w:tc>
        <w:tc>
          <w:tcPr>
            <w:tcW w:w="71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Description</w:t>
            </w:r>
          </w:p>
        </w:tc>
        <w:tc>
          <w:tcPr>
            <w:tcW w:w="2466" w:type="dxa"/>
            <w:shd w:val="clear" w:color="auto" w:fill="1C4636"/>
            <w:tcBorders>
              <w:bottom w:val="single" w:sz="4" w:space="0" w:color="D1CBC6"/>
            </w:tcBorders>
          </w:tcPr>
          <w:p>
            <w:pPr>
              <w:spacing w:before="60" w:after="60"/>
              <w:jc w:val="right"/>
            </w:pPr>
            <w:r>
              <w:rPr>
                <w:rFonts w:ascii="Calibri" w:hAnsi="Calibri" w:cs="Calibri"/>
                <w:sz w:val="20"/>
                <w:szCs w:val="20"/>
                <w:color w:val="FFFFFF"/>
                <w:b/>
                <w:bCs/>
              </w:rPr>
              <w:t xml:space="preserve">Amount (₦)</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2.1</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Excavation and blinding for the new foundation of the expanded outer wall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2.2</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Blockwork in foundation — 300 blocks</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600,000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2.3</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Reinforcement from foundation to superstructure — rebar and labour for the two new columns (with pad footings at the building edge), beams and lintels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2,500,000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2.4</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Backfilling of the new foundation space — the excavated foundation area will be backfilled using rubble obtained from the demolished existing walls together with sharp sand. Sharp sand is preferred to laterite because it compacts more effectively and reduces the likelihood of voids or settlement; excess sharp sand will already be available from the materials supplied to site, making it the most practical and economical option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2.5</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Demolition of existing walls and columns — to be carried out professionally to prevent damage to the remaining structure during the alteration works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150,000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2.6</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Formwork for columns and beams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1,000,000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2.7</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Concrete works in beams, columns and lintels — cement, 60 bags @ ₦12,500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750,000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2.8</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Cement for plastering, dressing and block laying — 40 bags @ ₦12,500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500,000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2.9</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Mason — dressing, plastering, rendering and reinstalling all doors and windows in the new wall (lump sum)</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200,000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2.10</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General materials — sharp sand: 1 trip of a 30-ton truck, or 2 trips of 20-ton trucks (serves all concrete works on the project, including the altar steps)</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350,000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2.11</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General materials — granite: 30 tons</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860,000</w:t>
            </w:r>
          </w:p>
        </w:tc>
      </w:tr>
      <w:tr>
        <w:tc>
          <w:tcPr>
            <w:tcW w:w="9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
            </w:r>
          </w:p>
        </w:tc>
        <w:tc>
          <w:tcPr>
            <w:tcW w:w="71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Subtotal — Side wall jobs</w:t>
            </w:r>
          </w:p>
        </w:tc>
        <w:tc>
          <w:tcPr>
            <w:tcW w:w="2466" w:type="dxa"/>
            <w:shd w:val="clear" w:color="auto" w:fill="AECFC0"/>
            <w:tcBorders>
              <w:bottom w:val="single" w:sz="4" w:space="0" w:color="D1CBC6"/>
            </w:tcBorders>
          </w:tcPr>
          <w:p>
            <w:pPr>
              <w:spacing w:before="60" w:after="60"/>
              <w:jc w:val="right"/>
            </w:pPr>
            <w:r>
              <w:rPr>
                <w:rFonts w:ascii="Calibri" w:hAnsi="Calibri" w:cs="Calibri"/>
                <w:sz w:val="20"/>
                <w:szCs w:val="20"/>
                <w:color w:val="3A3A3A"/>
                <w:b/>
                <w:bCs/>
              </w:rPr>
              <w:t xml:space="preserve">7,110,000</w:t>
            </w:r>
          </w:p>
        </w:tc>
      </w:tr>
    </w:tbl>
    <w:p>
      <w:pPr>
        <w:spacing w:before="0" w:after="160"/>
      </w:pPr>
      <w:r>
        <w:rPr>
          <w:rFonts w:ascii="Calibri" w:hAnsi="Calibri" w:cs="Calibri"/>
          <w:sz w:val="24"/>
          <w:szCs w:val="24"/>
          <w:color w:val="3A3A3A"/>
        </w:rPr>
        <w:t xml:space="preserve">Sequence note: the new foundation is cast and cured first; the existing wall is then broken out, and the existing structural columns are not cut until temporary beam support is in place (carried under Allowance A1 in the summary).</w:t>
      </w:r>
    </w:p>
    <w:p>
      <w:pPr>
        <w:spacing w:before="0" w:after="60"/>
      </w:pPr>
      <w:r>
        <w:rPr>
          <w:rFonts w:ascii="Calibri" w:hAnsi="Calibri" w:cs="Calibri"/>
          <w:sz w:val="22"/>
          <w:szCs w:val="22"/>
          <w:color w:val="B85C38"/>
          <w:b/>
          <w:bCs/>
        </w:rPr>
        <w:t xml:space="preserve">Table 3 — Ceiling, Dry Wall and Curve Wall</w:t>
      </w:r>
    </w:p>
    <w:tbl>
      <w:tblPr>
        <w:tblW w:w="10466" w:type="dxa"/>
        <w:tblBorders>
          <w:top w:val="single" w:sz="4" w:space="0" w:color="D1CBC6"/>
          <w:left w:val="single" w:sz="4" w:space="0" w:color="D1CBC6"/>
          <w:bottom w:val="single" w:sz="4" w:space="0" w:color="D1CBC6"/>
          <w:right w:val="single" w:sz="4" w:space="0" w:color="D1CBC6"/>
          <w:insideH w:val="single" w:sz="4" w:space="0" w:color="D1CBC6"/>
          <w:insideV w:val="single" w:sz="4" w:space="0" w:color="D1CBC6"/>
        </w:tblBorders>
      </w:tblPr>
      <w:tblGrid>
        <w:gridCol w:w="900"/>
        <w:gridCol w:w="7100"/>
        <w:gridCol w:w="2466"/>
      </w:tblGrid>
      <w:tr>
        <w:tc>
          <w:tcPr>
            <w:tcW w:w="9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w:t>
            </w:r>
          </w:p>
        </w:tc>
        <w:tc>
          <w:tcPr>
            <w:tcW w:w="71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Description</w:t>
            </w:r>
          </w:p>
        </w:tc>
        <w:tc>
          <w:tcPr>
            <w:tcW w:w="2466" w:type="dxa"/>
            <w:shd w:val="clear" w:color="auto" w:fill="1C4636"/>
            <w:tcBorders>
              <w:bottom w:val="single" w:sz="4" w:space="0" w:color="D1CBC6"/>
            </w:tcBorders>
          </w:tcPr>
          <w:p>
            <w:pPr>
              <w:spacing w:before="60" w:after="60"/>
              <w:jc w:val="right"/>
            </w:pPr>
            <w:r>
              <w:rPr>
                <w:rFonts w:ascii="Calibri" w:hAnsi="Calibri" w:cs="Calibri"/>
                <w:sz w:val="20"/>
                <w:szCs w:val="20"/>
                <w:color w:val="FFFFFF"/>
                <w:b/>
                <w:bCs/>
              </w:rPr>
              <w:t xml:space="preserve">Amount (₦)</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3.1</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Ceiling — Main Hall + Fore Hall: 10 mm plasterboard on 60 mm stud and track with wall angles and profiles; installed first, before the partition — 117 sqm @ ₦15,000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1,755,000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3.2</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Ceiling — Altar section: same build-up, raised approximately 600 mm above the Main Hall ceiling level — 39 sqm @ ₦15,000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585,000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3.3</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New partition wall, Fore Hall / Main Hall: full-height drywall, 10 mm cement board on 75 mm stud and track, boarded both faces; rate measured on one-side surface area; built up to the new ceiling — 60 sqm @ ₦31,500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1,890,000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3.4</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Altar curve wall: single-board curved wall, 10 mm plasterboard on 60 mm stud and track, following the curved apse geometry from the Ante-Room corner to the Flower Room corner — 65 sqm @ ₦17,000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1,105,000</w:t>
            </w:r>
          </w:p>
        </w:tc>
      </w:tr>
      <w:tr>
        <w:tc>
          <w:tcPr>
            <w:tcW w:w="9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
            </w:r>
          </w:p>
        </w:tc>
        <w:tc>
          <w:tcPr>
            <w:tcW w:w="71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Subtotal — Ceiling, dry wall and curve wall</w:t>
            </w:r>
          </w:p>
        </w:tc>
        <w:tc>
          <w:tcPr>
            <w:tcW w:w="2466" w:type="dxa"/>
            <w:shd w:val="clear" w:color="auto" w:fill="AECFC0"/>
            <w:tcBorders>
              <w:bottom w:val="single" w:sz="4" w:space="0" w:color="D1CBC6"/>
            </w:tcBorders>
          </w:tcPr>
          <w:p>
            <w:pPr>
              <w:spacing w:before="60" w:after="60"/>
              <w:jc w:val="right"/>
            </w:pPr>
            <w:r>
              <w:rPr>
                <w:rFonts w:ascii="Calibri" w:hAnsi="Calibri" w:cs="Calibri"/>
                <w:sz w:val="20"/>
                <w:szCs w:val="20"/>
                <w:color w:val="3A3A3A"/>
                <w:b/>
                <w:bCs/>
              </w:rPr>
              <w:t xml:space="preserve">5,335,000</w:t>
            </w:r>
          </w:p>
        </w:tc>
      </w:tr>
    </w:tbl>
    <w:p>
      <w:pPr>
        <w:spacing w:before="0" w:after="160"/>
      </w:pPr>
      <w:r>
        <w:rPr>
          <w:rFonts w:ascii="Calibri" w:hAnsi="Calibri" w:cs="Calibri"/>
          <w:sz w:val="24"/>
          <w:szCs w:val="24"/>
          <w:color w:val="3A3A3A"/>
        </w:rPr>
        <w:t xml:space="preserve">All rates in Table 3 are installed rates — material and labour combined, measured on one-side surface area. Board alternatives for the partition (3.3): 8 mm cement board @ ₦25,000/sqm (saves ₦390,000) or 6 mm @ ₦20,000/sqm (saves ₦690,000).</w:t>
      </w:r>
    </w:p>
    <w:p>
      <w:pPr>
        <w:spacing w:before="0" w:after="60"/>
      </w:pPr>
      <w:r>
        <w:rPr>
          <w:rFonts w:ascii="Calibri" w:hAnsi="Calibri" w:cs="Calibri"/>
          <w:sz w:val="22"/>
          <w:szCs w:val="22"/>
          <w:color w:val="B85C38"/>
          <w:b/>
          <w:bCs/>
        </w:rPr>
        <w:t xml:space="preserve">Summary</w:t>
      </w:r>
    </w:p>
    <w:tbl>
      <w:tblPr>
        <w:tblW w:w="10466" w:type="dxa"/>
        <w:tblBorders>
          <w:top w:val="single" w:sz="4" w:space="0" w:color="D1CBC6"/>
          <w:left w:val="single" w:sz="4" w:space="0" w:color="D1CBC6"/>
          <w:bottom w:val="single" w:sz="4" w:space="0" w:color="D1CBC6"/>
          <w:right w:val="single" w:sz="4" w:space="0" w:color="D1CBC6"/>
          <w:insideH w:val="single" w:sz="4" w:space="0" w:color="D1CBC6"/>
          <w:insideV w:val="single" w:sz="4" w:space="0" w:color="D1CBC6"/>
        </w:tblBorders>
      </w:tblPr>
      <w:tblGrid>
        <w:gridCol w:w="900"/>
        <w:gridCol w:w="7100"/>
        <w:gridCol w:w="2466"/>
      </w:tblGrid>
      <w:tr>
        <w:tc>
          <w:tcPr>
            <w:tcW w:w="9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
            </w:r>
          </w:p>
        </w:tc>
        <w:tc>
          <w:tcPr>
            <w:tcW w:w="71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Section</w:t>
            </w:r>
          </w:p>
        </w:tc>
        <w:tc>
          <w:tcPr>
            <w:tcW w:w="2466" w:type="dxa"/>
            <w:shd w:val="clear" w:color="auto" w:fill="1C4636"/>
            <w:tcBorders>
              <w:bottom w:val="single" w:sz="4" w:space="0" w:color="D1CBC6"/>
            </w:tcBorders>
          </w:tcPr>
          <w:p>
            <w:pPr>
              <w:spacing w:before="60" w:after="60"/>
              <w:jc w:val="right"/>
            </w:pPr>
            <w:r>
              <w:rPr>
                <w:rFonts w:ascii="Calibri" w:hAnsi="Calibri" w:cs="Calibri"/>
                <w:sz w:val="20"/>
                <w:szCs w:val="20"/>
                <w:color w:val="FFFFFF"/>
                <w:b/>
                <w:bCs/>
              </w:rPr>
              <w:t xml:space="preserve">Amount (₦)</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1</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Altar works (Table 1)</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725,000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2</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Side wall jobs (Table 2)</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7,110,000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3</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Ceiling, dry wall and curve wall (Table 3)</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5,335,000</w:t>
            </w:r>
          </w:p>
        </w:tc>
      </w:tr>
      <w:tr>
        <w:tc>
          <w:tcPr>
            <w:tcW w:w="9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
            </w:r>
          </w:p>
        </w:tc>
        <w:tc>
          <w:tcPr>
            <w:tcW w:w="71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Subtotal — measured works</w:t>
            </w:r>
          </w:p>
        </w:tc>
        <w:tc>
          <w:tcPr>
            <w:tcW w:w="2466" w:type="dxa"/>
            <w:shd w:val="clear" w:color="auto" w:fill="AECFC0"/>
            <w:tcBorders>
              <w:bottom w:val="single" w:sz="4" w:space="0" w:color="D1CBC6"/>
            </w:tcBorders>
          </w:tcPr>
          <w:p>
            <w:pPr>
              <w:spacing w:before="60" w:after="60"/>
              <w:jc w:val="right"/>
            </w:pPr>
            <w:r>
              <w:rPr>
                <w:rFonts w:ascii="Calibri" w:hAnsi="Calibri" w:cs="Calibri"/>
                <w:sz w:val="20"/>
                <w:szCs w:val="20"/>
                <w:color w:val="3A3A3A"/>
                <w:b/>
                <w:bCs/>
              </w:rPr>
              <w:t xml:space="preserve">13,170,000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A1</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Allowance — scaffolding and beam support (incl. temporary support to existing columns during demolition)</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1,000,000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A2</w:t>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Allowance — electrical reruns (rerouting services disturbed by wall, ceiling and partition works)</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500,000</w:t>
            </w:r>
          </w:p>
        </w:tc>
      </w:tr>
      <w:tr>
        <w:tc>
          <w:tcPr>
            <w:tcW w:w="9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
            </w:r>
          </w:p>
        </w:tc>
        <w:tc>
          <w:tcPr>
            <w:tcW w:w="7100" w:type="dxa"/>
            <w:shd w:val="clear" w:color="auto" w:fill="AECFC0"/>
            <w:tcBorders>
              <w:bottom w:val="single" w:sz="4" w:space="0" w:color="D1CBC6"/>
            </w:tcBorders>
          </w:tcPr>
          <w:p>
            <w:pPr>
              <w:spacing w:before="60" w:after="60"/>
            </w:pPr>
            <w:r>
              <w:rPr>
                <w:rFonts w:ascii="Calibri" w:hAnsi="Calibri" w:cs="Calibri"/>
                <w:sz w:val="20"/>
                <w:szCs w:val="20"/>
                <w:color w:val="3A3A3A"/>
                <w:b/>
                <w:bCs/>
              </w:rPr>
              <w:t xml:space="preserve">Subtotal including allowances</w:t>
            </w:r>
          </w:p>
        </w:tc>
        <w:tc>
          <w:tcPr>
            <w:tcW w:w="2466" w:type="dxa"/>
            <w:shd w:val="clear" w:color="auto" w:fill="AECFC0"/>
            <w:tcBorders>
              <w:bottom w:val="single" w:sz="4" w:space="0" w:color="D1CBC6"/>
            </w:tcBorders>
          </w:tcPr>
          <w:p>
            <w:pPr>
              <w:spacing w:before="60" w:after="60"/>
              <w:jc w:val="right"/>
            </w:pPr>
            <w:r>
              <w:rPr>
                <w:rFonts w:ascii="Calibri" w:hAnsi="Calibri" w:cs="Calibri"/>
                <w:sz w:val="20"/>
                <w:szCs w:val="20"/>
                <w:color w:val="3A3A3A"/>
                <w:b/>
                <w:bCs/>
              </w:rPr>
              <w:t xml:space="preserve">14,670,000</w:t>
            </w:r>
          </w:p>
        </w:tc>
      </w:tr>
      <w:tr>
        <w:tc>
          <w:tcPr>
            <w:tcW w:w="9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
            </w:r>
          </w:p>
        </w:tc>
        <w:tc>
          <w:tcPr>
            <w:tcW w:w="7100" w:type="dxa"/>
            <w:shd w:val="clear" w:color="auto" w:fill="F5EFE8"/>
            <w:tcBorders>
              <w:bottom w:val="single" w:sz="4" w:space="0" w:color="D1CBC6"/>
            </w:tcBorders>
          </w:tcPr>
          <w:p>
            <w:pPr>
              <w:spacing w:before="60" w:after="60"/>
            </w:pPr>
            <w:r>
              <w:rPr>
                <w:rFonts w:ascii="Calibri" w:hAnsi="Calibri" w:cs="Calibri"/>
                <w:sz w:val="20"/>
                <w:szCs w:val="20"/>
                <w:color w:val="3A3A3A"/>
              </w:rPr>
              <w:t xml:space="preserve">Contingency (10%)</w:t>
            </w:r>
          </w:p>
        </w:tc>
        <w:tc>
          <w:tcPr>
            <w:tcW w:w="2466" w:type="dxa"/>
            <w:shd w:val="clear" w:color="auto" w:fill="F5EFE8"/>
            <w:tcBorders>
              <w:bottom w:val="single" w:sz="4" w:space="0" w:color="D1CBC6"/>
            </w:tcBorders>
          </w:tcPr>
          <w:p>
            <w:pPr>
              <w:spacing w:before="60" w:after="60"/>
              <w:jc w:val="right"/>
            </w:pPr>
            <w:r>
              <w:rPr>
                <w:rFonts w:ascii="Calibri" w:hAnsi="Calibri" w:cs="Calibri"/>
                <w:sz w:val="20"/>
                <w:szCs w:val="20"/>
                <w:color w:val="3A3A3A"/>
              </w:rPr>
              <w:t xml:space="preserve">1,467,000</w:t>
            </w:r>
          </w:p>
        </w:tc>
      </w:tr>
      <w:tr>
        <w:tc>
          <w:tcPr>
            <w:tcW w:w="9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
            </w:r>
          </w:p>
        </w:tc>
        <w:tc>
          <w:tcPr>
            <w:tcW w:w="7100" w:type="dxa"/>
            <w:shd w:val="clear" w:color="auto" w:fill="1C4636"/>
            <w:tcBorders>
              <w:bottom w:val="single" w:sz="4" w:space="0" w:color="D1CBC6"/>
            </w:tcBorders>
          </w:tcPr>
          <w:p>
            <w:pPr>
              <w:spacing w:before="60" w:after="60"/>
            </w:pPr>
            <w:r>
              <w:rPr>
                <w:rFonts w:ascii="Calibri" w:hAnsi="Calibri" w:cs="Calibri"/>
                <w:sz w:val="20"/>
                <w:szCs w:val="20"/>
                <w:color w:val="FFFFFF"/>
                <w:b/>
                <w:bCs/>
              </w:rPr>
              <w:t xml:space="preserve">ESTIMATED PROJECT TOTAL</w:t>
            </w:r>
          </w:p>
        </w:tc>
        <w:tc>
          <w:tcPr>
            <w:tcW w:w="2466" w:type="dxa"/>
            <w:shd w:val="clear" w:color="auto" w:fill="1C4636"/>
            <w:tcBorders>
              <w:bottom w:val="single" w:sz="4" w:space="0" w:color="D1CBC6"/>
            </w:tcBorders>
          </w:tcPr>
          <w:p>
            <w:pPr>
              <w:spacing w:before="60" w:after="60"/>
              <w:jc w:val="right"/>
            </w:pPr>
            <w:r>
              <w:rPr>
                <w:rFonts w:ascii="Calibri" w:hAnsi="Calibri" w:cs="Calibri"/>
                <w:sz w:val="20"/>
                <w:szCs w:val="20"/>
                <w:color w:val="FFFFFF"/>
                <w:b/>
                <w:bCs/>
              </w:rPr>
              <w:t xml:space="preserve">₦16,137,000</w:t>
            </w:r>
          </w:p>
        </w:tc>
      </w:tr>
    </w:tbl>
    <w:p>
      <w:pPr>
        <w:spacing w:before="0" w:after="160"/>
      </w:pPr>
      <w:r>
        <w:rPr>
          <w:rFonts w:ascii="Calibri" w:hAnsi="Calibri" w:cs="Calibri"/>
          <w:sz w:val="24"/>
          <w:szCs w:val="24"/>
          <w:color w:val="B85C38"/>
          <w:b/>
          <w:bCs/>
        </w:rPr>
        <w:t xml:space="preserve">NOTE: This is a rough estimate prepared for planning purposes only. It excludes VAT and professional fees and is not a tender or contract sum. Figures should be confirmed against the contractor’s firm quotation before commitment.</w:t>
      </w:r>
    </w:p>
    <w:p>
      <w:pPr>
        <w:spacing w:before="240" w:after="100"/>
        <w:pBdr>
          <w:bottom w:val="single" w:sz="4" w:space="1" w:color="D1CBC6"/>
        </w:pBdr>
      </w:pPr>
      <w:r>
        <w:rPr>
          <w:rFonts w:ascii="Calibri" w:hAnsi="Calibri" w:cs="Calibri"/>
          <w:sz w:val="20"/>
          <w:szCs w:val="20"/>
          <w:color w:val="1C4636"/>
          <w:b/>
          <w:bCs/>
          <w:caps/>
          <w:spacing w:val="160"/>
        </w:rPr>
        <w:t xml:space="preserve">06. RECOMMENDATIONS</w:t>
      </w:r>
    </w:p>
    <w:p>
      <w:pPr>
        <w:spacing w:before="0" w:after="160"/>
      </w:pPr>
      <w:r>
        <w:rPr>
          <w:rFonts w:ascii="Calibri" w:hAnsi="Calibri" w:cs="Calibri"/>
          <w:sz w:val="24"/>
          <w:szCs w:val="24"/>
          <w:color w:val="3A3A3A"/>
        </w:rPr>
        <w:t xml:space="preserve">1. Before demolition of any column, ensure that the temporary beam supports are ready and in place — this is safety-critical. 2. A re-survey of the altar zone should be carried out before any work commences, due to the 0.6 m discrepancy between the plan and on-site measurements. 3. The rates for the drywall and ceiling works are general contractor rates. The best approach to save cost is to purchase the materials directly and invite the contractor to install only — from experience this saves 15–20% of the cost. 4. Before commencement of any work, this estimate should be converted to a Bill of Quantities with actual costs from all vendors and the contractor.</w:t>
      </w:r>
    </w:p>
    <w:p>
      <w:pPr>
        <w:spacing w:before="240" w:after="100"/>
        <w:pBdr>
          <w:bottom w:val="single" w:sz="4" w:space="1" w:color="D1CBC6"/>
        </w:pBdr>
      </w:pPr>
      <w:r>
        <w:rPr>
          <w:rFonts w:ascii="Calibri" w:hAnsi="Calibri" w:cs="Calibri"/>
          <w:sz w:val="20"/>
          <w:szCs w:val="20"/>
          <w:color w:val="1C4636"/>
          <w:b/>
          <w:bCs/>
          <w:caps/>
          <w:spacing w:val="160"/>
        </w:rPr>
        <w:t xml:space="preserve">07. CONCLUSION</w:t>
      </w:r>
    </w:p>
    <w:p>
      <w:pPr>
        <w:spacing w:before="0" w:after="160"/>
      </w:pPr>
      <w:r>
        <w:rPr>
          <w:rFonts w:ascii="Calibri" w:hAnsi="Calibri" w:cs="Calibri"/>
          <w:sz w:val="24"/>
          <w:szCs w:val="24"/>
          <w:color w:val="3A3A3A"/>
        </w:rPr>
        <w:t xml:space="preserve">The scope is well defined and sequenced, and the estimate is built from project-specific installed rates and measured areas. At this level of definition, the recommended planning budget is ₦16,137,000 including the 10% contingency, excluding VAT and professional fees. The next step is to complete the site confirmations listed under Recommendations and obtain the contractor's firm quotation against this scope.</w:t>
      </w:r>
    </w:p>
    <w:p>
      <w:pPr>
        <w:spacing w:before="320" w:after="160"/>
        <w:pBdr>
          <w:top w:val="single" w:sz="4" w:space="1" w:color="D1CBC6"/>
        </w:pBdr>
      </w:pPr>
      <w:r>
        <w:rPr>
          <w:rFonts w:ascii="Calibri" w:hAnsi="Calibri" w:cs="Calibri"/>
          <w:sz w:val="20"/>
          <w:szCs w:val="20"/>
          <w:color w:val="1C4636"/>
          <w:b/>
          <w:bCs/>
          <w:caps/>
          <w:spacing w:val="200"/>
        </w:rPr>
        <w:t xml:space="preserve">AUTHORISATION</w:t>
      </w: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3488"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Prepared By</w:t>
            </w:r>
          </w:p>
          <w:p>
            <w:pPr>
              <w:spacing w:before="0" w:after="160"/>
            </w:pPr>
            <w:r>
              <w:rPr>
                <w:rFonts w:ascii="Calibri" w:hAnsi="Calibri" w:cs="Calibri"/>
                <w:sz w:val="20"/>
                <w:szCs w:val="20"/>
                <w:color w:val="9E4F30"/>
                <w:i/>
              </w:rPr>
              <w:t xml:space="preserve">Vollmann Akarakiri</w:t>
            </w:r>
          </w:p>
        </w:tc>
        <w:tc>
          <w:tcPr>
            <w:tcW w:w="3488"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Reviewed By</w:t>
            </w:r>
          </w:p>
          <w:p>
            <w:pPr>
              <w:spacing w:before="0" w:after="160"/>
            </w:pPr>
            <w:r>
              <w:rPr>
                <w:rFonts w:ascii="Calibri" w:hAnsi="Calibri" w:cs="Calibri"/>
                <w:sz w:val="20"/>
                <w:szCs w:val="20"/>
                <w:color w:val="9E4F30"/>
                <w:i/>
              </w:rPr>
              <w:t xml:space="preserve">Jenyo Akarakiri</w:t>
            </w:r>
          </w:p>
        </w:tc>
        <w:tc>
          <w:tcPr>
            <w:tcW w:w="3490"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Approved By</w:t>
            </w:r>
          </w:p>
          <w:p>
            <w:pPr>
              <w:spacing w:before="0" w:after="160"/>
            </w:pPr>
            <w:r>
              <w:rPr>
                <w:rFonts w:ascii="Calibri" w:hAnsi="Calibri" w:cs="Calibri"/>
                <w:sz w:val="20"/>
                <w:szCs w:val="20"/>
                <w:color w:val="9E4F30"/>
                <w:i/>
              </w:rPr>
              <w:t xml:space="preserve">[Name &amp; Title]</w:t>
            </w:r>
          </w:p>
        </w:tc>
      </w:tr>
    </w:tbl>
    <w:p>
      <w:pPr>
        <w:spacing w:before="0" w:after="20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4710" w:type="dxa"/>
          </w:tcPr>
          <w:p>
            <w:pPr>
              <w:spacing w:before="80" w:after="80"/>
            </w:pPr>
            <w:r>
              <w:rPr>
                <w:rFonts w:ascii="Calibri" w:hAnsi="Calibri" w:cs="Calibri"/>
                <w:sz w:val="18"/>
                <w:szCs w:val="18"/>
                <w:color w:val="6B7280"/>
              </w:rPr>
              <w:t xml:space="preserve">Grail Movement · Hall of Worship, Osogbo</w:t>
            </w:r>
          </w:p>
        </w:tc>
        <w:tc>
          <w:tcPr>
            <w:tcW w:w="1046" w:type="dxa"/>
          </w:tcPr>
          <w:p>
            <w:pPr>
              <w:jc w:val="center"/>
              <w:spacing w:before="80" w:after="80"/>
            </w:pPr>
            <w:r>
              <w:rPr>
                <w:rFonts w:ascii="Arial Narrow" w:hAnsi="Arial Narrow" w:cs="Arial Narrow"/>
                <w:sz w:val="20"/>
                <w:szCs w:val="20"/>
                <w:color w:val="1C4636"/>
                <w:b/>
                <w:bCs/>
                <w:caps/>
                <w:spacing w:val="120"/>
              </w:rPr>
              <w:t xml:space="preserve"> </w:t>
            </w:r>
          </w:p>
        </w:tc>
        <w:tc>
          <w:tcPr>
            <w:tcW w:w="4710" w:type="dxa"/>
          </w:tcPr>
          <w:p>
            <w:pPr>
              <w:jc w:val="right"/>
              <w:spacing w:before="80" w:after="80"/>
            </w:pPr>
            <w:r>
              <w:rPr>
                <w:rFonts w:ascii="Calibri" w:hAnsi="Calibri" w:cs="Calibri"/>
                <w:sz w:val="18"/>
                <w:szCs w:val="18"/>
                <w:color w:val="6B7280"/>
              </w:rPr>
              <w:t xml:space="preserve">Page 1 of 1</w:t>
            </w:r>
          </w:p>
        </w:tc>
      </w:tr>
    </w:tbl>
    <w:sectPr>
      <w:pgSz w:w="11906" w:h="16838"/>
      <w:pgMar w:top="720" w:right="720" w:bottom="720" w:left="720" w:header="720" w:footer="720" w:gutter="0"/>
    </w:sectPr>
  </w:body>
</w:document>
</file>

<file path=word/_rels/document.xml.rels><?xml version="1.0" encoding="UTF-8" standalone="yes"?><Relationships xmlns="http://schemas.openxmlformats.org/package/2006/relationships"></Relationships>
</file>