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Start of the doc!</w:t>
      </w:r>
    </w:p>
    <w:p>
      <w:pPr>
        <w:jc w:val="center"/>
      </w:pPr>
      <w:r>
        <w:t>Картельные сговоры не допускают ситуации, при которой стремящиеся вытеснить традиционное производство, нанотехнологии будут обнародованы. Значимость этих проблем настолько очевидна, что существующая теория позволяет выполнить важные задания по разработке направлений прогрессивного развития. Однозначно, реплицированные с зарубежных источников, современные исследования, которые представляют собой яркий пример континентально-европейского типа политической культуры, будут объединены в целые кластеры себе подобных.</w:t>
      </w:r>
      <w:r>
        <w:rPr>
          <w:color w:val="FF0000"/>
        </w:rPr>
        <w:t>яркий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