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B0E" w:rsidRPr="009C0F4A" w:rsidRDefault="002E3B0E" w:rsidP="00441B9F">
      <w:pPr>
        <w:pStyle w:val="MainHeading"/>
        <w:jc w:val="center"/>
        <w:rPr>
          <w:rFonts w:cs="Arial"/>
          <w:sz w:val="24"/>
          <w:szCs w:val="24"/>
          <w:lang w:val="af-ZA"/>
        </w:rPr>
      </w:pPr>
      <w:r w:rsidRPr="009C0F4A">
        <w:rPr>
          <w:rFonts w:cs="Arial"/>
          <w:sz w:val="24"/>
          <w:szCs w:val="24"/>
          <w:lang w:val="af-ZA"/>
        </w:rPr>
        <w:t>BELANGRIKE STUDIES</w:t>
      </w:r>
    </w:p>
    <w:p w:rsidR="002E3B0E" w:rsidRPr="009C0F4A" w:rsidRDefault="002E3B0E" w:rsidP="00C36CA5">
      <w:pPr>
        <w:jc w:val="center"/>
        <w:rPr>
          <w:rFonts w:ascii="Arial" w:hAnsi="Arial" w:cs="Arial"/>
          <w:sz w:val="24"/>
          <w:szCs w:val="24"/>
          <w:lang w:val="af-ZA"/>
        </w:rPr>
      </w:pPr>
      <w:r w:rsidRPr="009C0F4A">
        <w:rPr>
          <w:rFonts w:ascii="Arial" w:hAnsi="Arial" w:cs="Arial"/>
          <w:sz w:val="24"/>
          <w:szCs w:val="24"/>
          <w:lang w:val="af-ZA"/>
        </w:rPr>
        <w:t xml:space="preserve">Gebasseer op die </w:t>
      </w:r>
      <w:r w:rsidR="003A1DE9" w:rsidRPr="009C0F4A">
        <w:rPr>
          <w:rFonts w:ascii="Arial" w:hAnsi="Arial" w:cs="Arial"/>
          <w:sz w:val="24"/>
          <w:szCs w:val="24"/>
          <w:lang w:val="af-ZA"/>
        </w:rPr>
        <w:t>Staatswerknemers Pensioenfonds (</w:t>
      </w:r>
      <w:r w:rsidRPr="009C0F4A">
        <w:rPr>
          <w:rFonts w:ascii="Arial" w:hAnsi="Arial" w:cs="Arial"/>
          <w:sz w:val="24"/>
          <w:szCs w:val="24"/>
          <w:lang w:val="af-ZA"/>
        </w:rPr>
        <w:t>GEPF</w:t>
      </w:r>
      <w:r w:rsidR="003A1DE9" w:rsidRPr="009C0F4A">
        <w:rPr>
          <w:rFonts w:ascii="Arial" w:hAnsi="Arial" w:cs="Arial"/>
          <w:sz w:val="24"/>
          <w:szCs w:val="24"/>
          <w:lang w:val="af-ZA"/>
        </w:rPr>
        <w:t>)</w:t>
      </w:r>
      <w:r w:rsidRPr="009C0F4A">
        <w:rPr>
          <w:rFonts w:ascii="Arial" w:hAnsi="Arial" w:cs="Arial"/>
          <w:sz w:val="24"/>
          <w:szCs w:val="24"/>
          <w:lang w:val="af-ZA"/>
        </w:rPr>
        <w:t xml:space="preserve"> se jaarverslae asook ander data, is etlike studies deur kundiges by die </w:t>
      </w:r>
      <w:r w:rsidR="003A1DE9" w:rsidRPr="009C0F4A">
        <w:rPr>
          <w:rFonts w:ascii="Arial" w:hAnsi="Arial" w:cs="Arial"/>
          <w:sz w:val="24"/>
          <w:szCs w:val="24"/>
          <w:lang w:val="af-ZA"/>
        </w:rPr>
        <w:t xml:space="preserve">Vereniging vir Monitering en Voorspraak van Staatswerknemers Pensioene (AMAGP) oor die stand van die GEPF, </w:t>
      </w:r>
      <w:r w:rsidRPr="009C0F4A">
        <w:rPr>
          <w:rFonts w:ascii="Arial" w:hAnsi="Arial" w:cs="Arial"/>
          <w:sz w:val="24"/>
          <w:szCs w:val="24"/>
          <w:lang w:val="af-ZA"/>
        </w:rPr>
        <w:t>voltooi. Die gevolgtrekkings waartoe die AMAGP gekom het, tov die studies, word hierna getoon. Die studies speel ‘n belangrike rol in ons verdere optredes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2409"/>
        <w:gridCol w:w="5732"/>
      </w:tblGrid>
      <w:tr w:rsidR="00441B9F" w:rsidRPr="009C0F4A" w:rsidTr="004D180F">
        <w:tc>
          <w:tcPr>
            <w:tcW w:w="962" w:type="dxa"/>
          </w:tcPr>
          <w:p w:rsidR="00441B9F" w:rsidRPr="009C0F4A" w:rsidRDefault="00441B9F" w:rsidP="004D180F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Reeks</w:t>
            </w:r>
          </w:p>
        </w:tc>
        <w:tc>
          <w:tcPr>
            <w:tcW w:w="2409" w:type="dxa"/>
          </w:tcPr>
          <w:p w:rsidR="00441B9F" w:rsidRPr="009C0F4A" w:rsidRDefault="00441B9F" w:rsidP="004D180F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Studie</w:t>
            </w:r>
          </w:p>
        </w:tc>
        <w:tc>
          <w:tcPr>
            <w:tcW w:w="5732" w:type="dxa"/>
          </w:tcPr>
          <w:p w:rsidR="00441B9F" w:rsidRPr="009C0F4A" w:rsidRDefault="00C36CA5" w:rsidP="004D180F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Primere Gevolgtrekk</w:t>
            </w:r>
            <w:r w:rsidR="00441B9F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ing</w:t>
            </w:r>
          </w:p>
        </w:tc>
      </w:tr>
      <w:tr w:rsidR="00441B9F" w:rsidRPr="009C0F4A" w:rsidTr="004D180F">
        <w:tc>
          <w:tcPr>
            <w:tcW w:w="962" w:type="dxa"/>
          </w:tcPr>
          <w:p w:rsidR="00441B9F" w:rsidRPr="009C0F4A" w:rsidRDefault="00441B9F" w:rsidP="004D180F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1</w:t>
            </w:r>
          </w:p>
        </w:tc>
        <w:tc>
          <w:tcPr>
            <w:tcW w:w="2409" w:type="dxa"/>
          </w:tcPr>
          <w:p w:rsidR="00441B9F" w:rsidRPr="009C0F4A" w:rsidRDefault="00441B9F" w:rsidP="00441B9F">
            <w:pPr>
              <w:spacing w:before="20" w:after="20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Kontant Vloei</w:t>
            </w:r>
          </w:p>
        </w:tc>
        <w:tc>
          <w:tcPr>
            <w:tcW w:w="5732" w:type="dxa"/>
          </w:tcPr>
          <w:p w:rsidR="00441B9F" w:rsidRPr="009C0F4A" w:rsidRDefault="00441B9F" w:rsidP="00CB7234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af-ZA"/>
              </w:rPr>
              <w:t>2007/14</w:t>
            </w:r>
            <w:r w:rsidR="00C36CA5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.</w:t>
            </w: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 Was RB 33,7 Positief</w:t>
            </w:r>
            <w:r w:rsidR="00312FE7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.</w:t>
            </w:r>
          </w:p>
          <w:p w:rsidR="00441B9F" w:rsidRPr="009C0F4A" w:rsidRDefault="00F86C2A" w:rsidP="00CB7234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af-ZA"/>
              </w:rPr>
              <w:t>20</w:t>
            </w:r>
            <w:r w:rsidR="00441B9F" w:rsidRPr="009C0F4A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af-ZA"/>
              </w:rPr>
              <w:t>15/17</w:t>
            </w:r>
            <w:r w:rsidR="00441B9F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. Was </w:t>
            </w:r>
            <w:r w:rsidR="00C36CA5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RB 89,3 Negat</w:t>
            </w:r>
            <w:r w:rsidR="00441B9F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ief</w:t>
            </w:r>
            <w:r w:rsidR="00312FE7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.</w:t>
            </w:r>
          </w:p>
          <w:p w:rsidR="00441B9F" w:rsidRPr="009C0F4A" w:rsidRDefault="00441B9F" w:rsidP="00CB7234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af-ZA"/>
              </w:rPr>
              <w:t>Redes</w:t>
            </w: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.  Bydraes was minder as die uitbetalings.</w:t>
            </w:r>
          </w:p>
        </w:tc>
      </w:tr>
      <w:tr w:rsidR="00441B9F" w:rsidRPr="009C0F4A" w:rsidTr="004D180F">
        <w:tc>
          <w:tcPr>
            <w:tcW w:w="962" w:type="dxa"/>
          </w:tcPr>
          <w:p w:rsidR="00441B9F" w:rsidRPr="009C0F4A" w:rsidRDefault="00441B9F" w:rsidP="004D180F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2</w:t>
            </w:r>
          </w:p>
        </w:tc>
        <w:tc>
          <w:tcPr>
            <w:tcW w:w="2409" w:type="dxa"/>
          </w:tcPr>
          <w:p w:rsidR="00441B9F" w:rsidRPr="009C0F4A" w:rsidRDefault="00441B9F" w:rsidP="00441B9F">
            <w:pPr>
              <w:spacing w:before="20" w:after="20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Fonds Volhoubaarheid</w:t>
            </w:r>
          </w:p>
        </w:tc>
        <w:tc>
          <w:tcPr>
            <w:tcW w:w="5732" w:type="dxa"/>
          </w:tcPr>
          <w:p w:rsidR="00441B9F" w:rsidRPr="009C0F4A" w:rsidRDefault="00441B9F" w:rsidP="00DD4EF9">
            <w:pPr>
              <w:spacing w:before="20" w:after="20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Nie voldoende nie. </w:t>
            </w:r>
            <w:r w:rsidR="00DD4EF9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I</w:t>
            </w: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s tans 115% terwyl dit 146% behoort te wees.</w:t>
            </w:r>
          </w:p>
        </w:tc>
      </w:tr>
      <w:tr w:rsidR="00441B9F" w:rsidRPr="009C0F4A" w:rsidTr="004D180F">
        <w:tc>
          <w:tcPr>
            <w:tcW w:w="962" w:type="dxa"/>
          </w:tcPr>
          <w:p w:rsidR="00441B9F" w:rsidRPr="009C0F4A" w:rsidRDefault="00441B9F" w:rsidP="004D180F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3</w:t>
            </w:r>
          </w:p>
        </w:tc>
        <w:tc>
          <w:tcPr>
            <w:tcW w:w="2409" w:type="dxa"/>
          </w:tcPr>
          <w:p w:rsidR="00441B9F" w:rsidRPr="009C0F4A" w:rsidRDefault="00441B9F" w:rsidP="00441B9F">
            <w:pPr>
              <w:spacing w:before="20" w:after="20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Beleggings se Rendement</w:t>
            </w:r>
          </w:p>
        </w:tc>
        <w:tc>
          <w:tcPr>
            <w:tcW w:w="5732" w:type="dxa"/>
          </w:tcPr>
          <w:p w:rsidR="00441B9F" w:rsidRPr="009C0F4A" w:rsidRDefault="00441B9F" w:rsidP="00441B9F">
            <w:pPr>
              <w:spacing w:before="20" w:after="20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Oor laaste 10 jr is die agteruitgang tussen 9 &amp; 11%.</w:t>
            </w:r>
          </w:p>
        </w:tc>
      </w:tr>
      <w:tr w:rsidR="00441B9F" w:rsidRPr="009C0F4A" w:rsidTr="004D180F">
        <w:tc>
          <w:tcPr>
            <w:tcW w:w="962" w:type="dxa"/>
          </w:tcPr>
          <w:p w:rsidR="00441B9F" w:rsidRPr="009C0F4A" w:rsidRDefault="00441B9F" w:rsidP="004D180F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4</w:t>
            </w:r>
          </w:p>
        </w:tc>
        <w:tc>
          <w:tcPr>
            <w:tcW w:w="2409" w:type="dxa"/>
          </w:tcPr>
          <w:p w:rsidR="00441B9F" w:rsidRPr="009C0F4A" w:rsidRDefault="00441B9F" w:rsidP="00441B9F">
            <w:pPr>
              <w:spacing w:before="20" w:after="20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Belegging Verliese</w:t>
            </w:r>
          </w:p>
        </w:tc>
        <w:tc>
          <w:tcPr>
            <w:tcW w:w="5732" w:type="dxa"/>
          </w:tcPr>
          <w:p w:rsidR="00441B9F" w:rsidRPr="009C0F4A" w:rsidRDefault="00441B9F" w:rsidP="00441B9F">
            <w:pPr>
              <w:spacing w:before="20" w:after="20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Beleggings verliese oor die afgelop</w:t>
            </w:r>
            <w:r w:rsidR="000579D7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e 10jr is in die orde van RB 15</w:t>
            </w:r>
            <w:r w:rsidR="0089460C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5</w:t>
            </w: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.</w:t>
            </w:r>
          </w:p>
        </w:tc>
      </w:tr>
      <w:tr w:rsidR="00441B9F" w:rsidRPr="009C0F4A" w:rsidTr="004D180F">
        <w:tc>
          <w:tcPr>
            <w:tcW w:w="962" w:type="dxa"/>
          </w:tcPr>
          <w:p w:rsidR="00441B9F" w:rsidRPr="009C0F4A" w:rsidRDefault="00441B9F" w:rsidP="004D180F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5</w:t>
            </w:r>
          </w:p>
        </w:tc>
        <w:tc>
          <w:tcPr>
            <w:tcW w:w="2409" w:type="dxa"/>
          </w:tcPr>
          <w:p w:rsidR="00441B9F" w:rsidRPr="009C0F4A" w:rsidRDefault="00441B9F" w:rsidP="00441B9F">
            <w:pPr>
              <w:spacing w:before="20" w:after="20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Fonds se Groei</w:t>
            </w:r>
          </w:p>
        </w:tc>
        <w:tc>
          <w:tcPr>
            <w:tcW w:w="5732" w:type="dxa"/>
          </w:tcPr>
          <w:p w:rsidR="004D180F" w:rsidRPr="009C0F4A" w:rsidRDefault="004D180F" w:rsidP="00CB7234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Die Fonds het oor tydperk 2010 tot 2015 tussen 12 en 23,7% pj gegroei.</w:t>
            </w:r>
          </w:p>
          <w:p w:rsidR="004D180F" w:rsidRPr="009C0F4A" w:rsidRDefault="004D180F" w:rsidP="00CB7234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Maar in 2016 tot 2017 het groei gekrimp  na 2,5% pj.</w:t>
            </w:r>
          </w:p>
          <w:p w:rsidR="00441B9F" w:rsidRPr="009C0F4A" w:rsidRDefault="004D180F" w:rsidP="00CB7234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Die norm wat deur die GEPF nagestreef word, is inflasie plus 4,5%.</w:t>
            </w:r>
          </w:p>
        </w:tc>
      </w:tr>
      <w:tr w:rsidR="004D180F" w:rsidRPr="009C0F4A" w:rsidTr="004D180F">
        <w:tc>
          <w:tcPr>
            <w:tcW w:w="962" w:type="dxa"/>
          </w:tcPr>
          <w:p w:rsidR="004D180F" w:rsidRPr="009C0F4A" w:rsidRDefault="004D180F" w:rsidP="004D180F">
            <w:pPr>
              <w:spacing w:before="20" w:after="20"/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6</w:t>
            </w:r>
          </w:p>
        </w:tc>
        <w:tc>
          <w:tcPr>
            <w:tcW w:w="2409" w:type="dxa"/>
          </w:tcPr>
          <w:p w:rsidR="004D180F" w:rsidRPr="009C0F4A" w:rsidRDefault="004D180F" w:rsidP="00441B9F">
            <w:pPr>
              <w:spacing w:before="20" w:after="20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Wet van d</w:t>
            </w:r>
            <w:r w:rsidR="00312FE7" w:rsidRPr="009C0F4A">
              <w:rPr>
                <w:rFonts w:ascii="Arial" w:hAnsi="Arial" w:cs="Arial"/>
                <w:sz w:val="24"/>
                <w:szCs w:val="24"/>
                <w:lang w:val="af-ZA"/>
              </w:rPr>
              <w:t>ie GEPF e</w:t>
            </w: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n Regulasies tov Goeie Beheer/Bestuur</w:t>
            </w:r>
          </w:p>
        </w:tc>
        <w:tc>
          <w:tcPr>
            <w:tcW w:w="5732" w:type="dxa"/>
          </w:tcPr>
          <w:p w:rsidR="004D180F" w:rsidRPr="009C0F4A" w:rsidRDefault="004D180F" w:rsidP="00441B9F">
            <w:pPr>
              <w:spacing w:before="20" w:after="20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Nie alle aspekte word behoorlik deur die GEPF nagekom nie.</w:t>
            </w:r>
          </w:p>
        </w:tc>
      </w:tr>
    </w:tbl>
    <w:p w:rsidR="003A1DE9" w:rsidRPr="009C0F4A" w:rsidRDefault="003A1DE9" w:rsidP="004D180F">
      <w:pPr>
        <w:pStyle w:val="MainHeading"/>
        <w:jc w:val="center"/>
        <w:rPr>
          <w:rFonts w:cs="Arial"/>
          <w:sz w:val="24"/>
          <w:szCs w:val="24"/>
          <w:lang w:val="af-ZA"/>
        </w:rPr>
      </w:pPr>
    </w:p>
    <w:p w:rsidR="004D180F" w:rsidRPr="009C0F4A" w:rsidRDefault="004D180F" w:rsidP="004D180F">
      <w:pPr>
        <w:pStyle w:val="MainHeading"/>
        <w:jc w:val="center"/>
        <w:rPr>
          <w:rFonts w:cs="Arial"/>
          <w:sz w:val="24"/>
          <w:szCs w:val="24"/>
          <w:lang w:val="af-ZA"/>
        </w:rPr>
      </w:pPr>
      <w:r w:rsidRPr="009C0F4A">
        <w:rPr>
          <w:rFonts w:cs="Arial"/>
          <w:sz w:val="24"/>
          <w:szCs w:val="24"/>
          <w:lang w:val="af-ZA"/>
        </w:rPr>
        <w:t>Optredes</w:t>
      </w:r>
    </w:p>
    <w:p w:rsidR="004D180F" w:rsidRPr="009C0F4A" w:rsidRDefault="004D180F" w:rsidP="00C36CA5">
      <w:pPr>
        <w:jc w:val="center"/>
        <w:rPr>
          <w:rFonts w:ascii="Arial" w:hAnsi="Arial" w:cs="Arial"/>
          <w:sz w:val="24"/>
          <w:szCs w:val="24"/>
          <w:lang w:val="af-ZA"/>
        </w:rPr>
      </w:pPr>
      <w:r w:rsidRPr="009C0F4A">
        <w:rPr>
          <w:rFonts w:ascii="Arial" w:hAnsi="Arial" w:cs="Arial"/>
          <w:sz w:val="24"/>
          <w:szCs w:val="24"/>
          <w:lang w:val="af-ZA"/>
        </w:rPr>
        <w:t xml:space="preserve">Die AMAGP bestaan uit ‘n aantal vrywilligers wat begaan is oor die toestand van ons pensioene. Die organisasie is jonk en onder ontwikkeld (veral as dit met </w:t>
      </w:r>
      <w:r w:rsidR="003A1DE9" w:rsidRPr="009C0F4A">
        <w:rPr>
          <w:rFonts w:ascii="Arial" w:hAnsi="Arial" w:cs="Arial"/>
          <w:sz w:val="24"/>
          <w:szCs w:val="24"/>
          <w:lang w:val="af-ZA"/>
        </w:rPr>
        <w:t>Organisation Undoing Tax Abuse (</w:t>
      </w:r>
      <w:r w:rsidRPr="009C0F4A">
        <w:rPr>
          <w:rFonts w:ascii="Arial" w:hAnsi="Arial" w:cs="Arial"/>
          <w:sz w:val="24"/>
          <w:szCs w:val="24"/>
          <w:lang w:val="af-ZA"/>
        </w:rPr>
        <w:t>OUTA</w:t>
      </w:r>
      <w:r w:rsidR="003A1DE9" w:rsidRPr="009C0F4A">
        <w:rPr>
          <w:rFonts w:ascii="Arial" w:hAnsi="Arial" w:cs="Arial"/>
          <w:sz w:val="24"/>
          <w:szCs w:val="24"/>
          <w:lang w:val="af-ZA"/>
        </w:rPr>
        <w:t>)</w:t>
      </w:r>
      <w:r w:rsidRPr="009C0F4A">
        <w:rPr>
          <w:rFonts w:ascii="Arial" w:hAnsi="Arial" w:cs="Arial"/>
          <w:sz w:val="24"/>
          <w:szCs w:val="24"/>
          <w:lang w:val="af-ZA"/>
        </w:rPr>
        <w:t xml:space="preserve"> vergelyk word wat al 8 jr bestaan) itv vermoens soos finansies en mannekrag.  Die GEPF en </w:t>
      </w:r>
      <w:r w:rsidR="00116A3C" w:rsidRPr="009C0F4A">
        <w:rPr>
          <w:rFonts w:ascii="Arial" w:hAnsi="Arial" w:cs="Arial"/>
          <w:sz w:val="24"/>
          <w:szCs w:val="24"/>
          <w:lang w:val="af-ZA"/>
        </w:rPr>
        <w:t xml:space="preserve">die </w:t>
      </w:r>
      <w:r w:rsidR="003A1DE9" w:rsidRPr="009C0F4A">
        <w:rPr>
          <w:rFonts w:ascii="Arial" w:hAnsi="Arial" w:cs="Arial"/>
          <w:sz w:val="24"/>
          <w:szCs w:val="24"/>
          <w:lang w:val="af-ZA"/>
        </w:rPr>
        <w:t>Openba</w:t>
      </w:r>
      <w:r w:rsidR="0089460C">
        <w:rPr>
          <w:rFonts w:ascii="Arial" w:hAnsi="Arial" w:cs="Arial"/>
          <w:sz w:val="24"/>
          <w:szCs w:val="24"/>
          <w:lang w:val="af-ZA"/>
        </w:rPr>
        <w:t>re</w:t>
      </w:r>
      <w:r w:rsidR="00116A3C" w:rsidRPr="009C0F4A">
        <w:rPr>
          <w:rFonts w:ascii="Arial" w:hAnsi="Arial" w:cs="Arial"/>
          <w:sz w:val="24"/>
          <w:szCs w:val="24"/>
          <w:lang w:val="af-ZA"/>
        </w:rPr>
        <w:t xml:space="preserve"> Belegings Korporasie (</w:t>
      </w:r>
      <w:r w:rsidRPr="009C0F4A">
        <w:rPr>
          <w:rFonts w:ascii="Arial" w:hAnsi="Arial" w:cs="Arial"/>
          <w:sz w:val="24"/>
          <w:szCs w:val="24"/>
          <w:lang w:val="af-ZA"/>
        </w:rPr>
        <w:t>OBK</w:t>
      </w:r>
      <w:r w:rsidR="00116A3C" w:rsidRPr="009C0F4A">
        <w:rPr>
          <w:rFonts w:ascii="Arial" w:hAnsi="Arial" w:cs="Arial"/>
          <w:sz w:val="24"/>
          <w:szCs w:val="24"/>
          <w:lang w:val="af-ZA"/>
        </w:rPr>
        <w:t>)</w:t>
      </w:r>
      <w:r w:rsidRPr="009C0F4A">
        <w:rPr>
          <w:rFonts w:ascii="Arial" w:hAnsi="Arial" w:cs="Arial"/>
          <w:sz w:val="24"/>
          <w:szCs w:val="24"/>
          <w:lang w:val="af-ZA"/>
        </w:rPr>
        <w:t xml:space="preserve"> verskans hulself agter geheim houding en is geensins begerig om onder die “vergrootglas” van die lede v</w:t>
      </w:r>
      <w:r w:rsidR="00C36CA5" w:rsidRPr="009C0F4A">
        <w:rPr>
          <w:rFonts w:ascii="Arial" w:hAnsi="Arial" w:cs="Arial"/>
          <w:sz w:val="24"/>
          <w:szCs w:val="24"/>
          <w:lang w:val="af-ZA"/>
        </w:rPr>
        <w:t xml:space="preserve">an </w:t>
      </w:r>
      <w:r w:rsidRPr="009C0F4A">
        <w:rPr>
          <w:rFonts w:ascii="Arial" w:hAnsi="Arial" w:cs="Arial"/>
          <w:sz w:val="24"/>
          <w:szCs w:val="24"/>
          <w:lang w:val="af-ZA"/>
        </w:rPr>
        <w:t>d</w:t>
      </w:r>
      <w:r w:rsidR="00C36CA5" w:rsidRPr="009C0F4A">
        <w:rPr>
          <w:rFonts w:ascii="Arial" w:hAnsi="Arial" w:cs="Arial"/>
          <w:sz w:val="24"/>
          <w:szCs w:val="24"/>
          <w:lang w:val="af-ZA"/>
        </w:rPr>
        <w:t>ie</w:t>
      </w:r>
      <w:r w:rsidRPr="009C0F4A">
        <w:rPr>
          <w:rFonts w:ascii="Arial" w:hAnsi="Arial" w:cs="Arial"/>
          <w:sz w:val="24"/>
          <w:szCs w:val="24"/>
          <w:lang w:val="af-ZA"/>
        </w:rPr>
        <w:t xml:space="preserve"> Fonds te verskyn nie.  Dit alles veroorsaak dat op</w:t>
      </w:r>
      <w:r w:rsidR="0089460C">
        <w:rPr>
          <w:rFonts w:ascii="Arial" w:hAnsi="Arial" w:cs="Arial"/>
          <w:sz w:val="24"/>
          <w:szCs w:val="24"/>
          <w:lang w:val="af-ZA"/>
        </w:rPr>
        <w:t>t</w:t>
      </w:r>
      <w:r w:rsidRPr="009C0F4A">
        <w:rPr>
          <w:rFonts w:ascii="Arial" w:hAnsi="Arial" w:cs="Arial"/>
          <w:sz w:val="24"/>
          <w:szCs w:val="24"/>
          <w:lang w:val="af-ZA"/>
        </w:rPr>
        <w:t>rede deur die AMAGP bemoeilik 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598"/>
      </w:tblGrid>
      <w:tr w:rsidR="004D180F" w:rsidRPr="009C0F4A" w:rsidTr="004D180F">
        <w:tc>
          <w:tcPr>
            <w:tcW w:w="1101" w:type="dxa"/>
          </w:tcPr>
          <w:p w:rsidR="004D180F" w:rsidRPr="009C0F4A" w:rsidRDefault="004D180F" w:rsidP="003A1DE9">
            <w:pPr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Reeks</w:t>
            </w:r>
          </w:p>
        </w:tc>
        <w:tc>
          <w:tcPr>
            <w:tcW w:w="3543" w:type="dxa"/>
          </w:tcPr>
          <w:p w:rsidR="004D180F" w:rsidRPr="009C0F4A" w:rsidRDefault="004D180F" w:rsidP="003A1DE9">
            <w:pPr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Optrede</w:t>
            </w:r>
          </w:p>
        </w:tc>
        <w:tc>
          <w:tcPr>
            <w:tcW w:w="4598" w:type="dxa"/>
          </w:tcPr>
          <w:p w:rsidR="004D180F" w:rsidRPr="009C0F4A" w:rsidRDefault="004D180F" w:rsidP="003A1DE9">
            <w:pPr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Gevolge</w:t>
            </w:r>
          </w:p>
        </w:tc>
      </w:tr>
      <w:tr w:rsidR="004D180F" w:rsidRPr="009C0F4A" w:rsidTr="004D180F">
        <w:tc>
          <w:tcPr>
            <w:tcW w:w="1101" w:type="dxa"/>
          </w:tcPr>
          <w:p w:rsidR="004D180F" w:rsidRPr="009C0F4A" w:rsidRDefault="004D180F" w:rsidP="003A1DE9">
            <w:pPr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1</w:t>
            </w:r>
          </w:p>
        </w:tc>
        <w:tc>
          <w:tcPr>
            <w:tcW w:w="3543" w:type="dxa"/>
          </w:tcPr>
          <w:p w:rsidR="004D180F" w:rsidRPr="009C0F4A" w:rsidRDefault="004D180F" w:rsidP="004D180F">
            <w:pPr>
              <w:pStyle w:val="TableContents"/>
              <w:rPr>
                <w:rFonts w:ascii="Arial" w:hAnsi="Arial" w:cs="Arial"/>
                <w:color w:val="000000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lang w:val="af-ZA"/>
              </w:rPr>
              <w:t>Deurlopende skrywes aan die GEPF oor aspekte wat bevraagteken word.</w:t>
            </w:r>
          </w:p>
          <w:p w:rsidR="004D180F" w:rsidRPr="009C0F4A" w:rsidRDefault="004D180F" w:rsidP="0089460C">
            <w:pPr>
              <w:pStyle w:val="TableContents"/>
              <w:rPr>
                <w:rFonts w:ascii="Arial" w:hAnsi="Arial" w:cs="Arial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lang w:val="af-ZA"/>
              </w:rPr>
              <w:t>‘</w:t>
            </w:r>
            <w:r w:rsidR="00C36CA5" w:rsidRPr="009C0F4A">
              <w:rPr>
                <w:rFonts w:ascii="Arial" w:hAnsi="Arial" w:cs="Arial"/>
                <w:color w:val="000000"/>
                <w:lang w:val="af-ZA"/>
              </w:rPr>
              <w:t>n O</w:t>
            </w:r>
            <w:r w:rsidRPr="009C0F4A">
              <w:rPr>
                <w:rFonts w:ascii="Arial" w:hAnsi="Arial" w:cs="Arial"/>
                <w:color w:val="000000"/>
                <w:lang w:val="af-ZA"/>
              </w:rPr>
              <w:t xml:space="preserve">psomming van al die skrywes vanaf </w:t>
            </w:r>
            <w:r w:rsidR="0089460C">
              <w:rPr>
                <w:rFonts w:ascii="Arial" w:hAnsi="Arial" w:cs="Arial"/>
                <w:color w:val="000000"/>
                <w:lang w:val="af-ZA"/>
              </w:rPr>
              <w:t>16 Feb 16 tot 28 Apr 18</w:t>
            </w:r>
            <w:r w:rsidRPr="009C0F4A">
              <w:rPr>
                <w:rFonts w:ascii="Arial" w:hAnsi="Arial" w:cs="Arial"/>
                <w:color w:val="FF0000"/>
                <w:lang w:val="af-ZA"/>
              </w:rPr>
              <w:t xml:space="preserve"> </w:t>
            </w:r>
            <w:r w:rsidRPr="009C0F4A">
              <w:rPr>
                <w:rFonts w:ascii="Arial" w:hAnsi="Arial" w:cs="Arial"/>
                <w:color w:val="000000"/>
                <w:lang w:val="af-ZA"/>
              </w:rPr>
              <w:t xml:space="preserve">is aan die </w:t>
            </w:r>
            <w:r w:rsidR="00116A3C" w:rsidRPr="009C0F4A">
              <w:rPr>
                <w:rFonts w:ascii="Arial" w:hAnsi="Arial" w:cs="Arial"/>
                <w:color w:val="000000"/>
                <w:lang w:val="af-ZA"/>
              </w:rPr>
              <w:t xml:space="preserve">GEPF </w:t>
            </w:r>
            <w:r w:rsidRPr="009C0F4A">
              <w:rPr>
                <w:rFonts w:ascii="Arial" w:hAnsi="Arial" w:cs="Arial"/>
                <w:color w:val="000000"/>
                <w:lang w:val="af-ZA"/>
              </w:rPr>
              <w:lastRenderedPageBreak/>
              <w:t>gerig.</w:t>
            </w:r>
          </w:p>
        </w:tc>
        <w:tc>
          <w:tcPr>
            <w:tcW w:w="4598" w:type="dxa"/>
          </w:tcPr>
          <w:p w:rsidR="004D180F" w:rsidRPr="009C0F4A" w:rsidRDefault="004D180F" w:rsidP="0089460C">
            <w:pPr>
              <w:pStyle w:val="TableContents"/>
              <w:rPr>
                <w:rFonts w:ascii="Arial" w:hAnsi="Arial" w:cs="Arial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lang w:val="af-ZA"/>
              </w:rPr>
              <w:lastRenderedPageBreak/>
              <w:t>Deurlopend is ons deur die GEPF met niks seggende briewe beantwoord.  Ook die opgesomde weergawe van Mei 18 is op die wyse beantwoord.  Die gevolg hierv</w:t>
            </w:r>
            <w:r w:rsidR="009A7784" w:rsidRPr="009C0F4A">
              <w:rPr>
                <w:rFonts w:ascii="Arial" w:hAnsi="Arial" w:cs="Arial"/>
                <w:color w:val="000000"/>
                <w:lang w:val="af-ZA"/>
              </w:rPr>
              <w:t>an is dat dit lede v</w:t>
            </w:r>
            <w:r w:rsidR="00C36CA5" w:rsidRPr="009C0F4A">
              <w:rPr>
                <w:rFonts w:ascii="Arial" w:hAnsi="Arial" w:cs="Arial"/>
                <w:color w:val="000000"/>
                <w:lang w:val="af-ZA"/>
              </w:rPr>
              <w:t xml:space="preserve">an </w:t>
            </w:r>
            <w:r w:rsidR="009A7784" w:rsidRPr="009C0F4A">
              <w:rPr>
                <w:rFonts w:ascii="Arial" w:hAnsi="Arial" w:cs="Arial"/>
                <w:color w:val="000000"/>
                <w:lang w:val="af-ZA"/>
              </w:rPr>
              <w:t>d</w:t>
            </w:r>
            <w:r w:rsidR="00C36CA5" w:rsidRPr="009C0F4A">
              <w:rPr>
                <w:rFonts w:ascii="Arial" w:hAnsi="Arial" w:cs="Arial"/>
                <w:color w:val="000000"/>
                <w:lang w:val="af-ZA"/>
              </w:rPr>
              <w:t>ie</w:t>
            </w:r>
            <w:r w:rsidR="009A7784" w:rsidRPr="009C0F4A">
              <w:rPr>
                <w:rFonts w:ascii="Arial" w:hAnsi="Arial" w:cs="Arial"/>
                <w:color w:val="000000"/>
                <w:lang w:val="af-ZA"/>
              </w:rPr>
              <w:t xml:space="preserve"> AMAGP baie</w:t>
            </w:r>
            <w:r w:rsidRPr="009C0F4A">
              <w:rPr>
                <w:rFonts w:ascii="Arial" w:hAnsi="Arial" w:cs="Arial"/>
                <w:color w:val="000000"/>
                <w:lang w:val="af-ZA"/>
              </w:rPr>
              <w:t xml:space="preserve"> agterdogtig maak.</w:t>
            </w:r>
          </w:p>
        </w:tc>
      </w:tr>
      <w:tr w:rsidR="004D180F" w:rsidRPr="009C0F4A" w:rsidTr="004D180F">
        <w:tc>
          <w:tcPr>
            <w:tcW w:w="1101" w:type="dxa"/>
          </w:tcPr>
          <w:p w:rsidR="004D180F" w:rsidRPr="009C0F4A" w:rsidRDefault="004D180F" w:rsidP="003A1DE9">
            <w:pPr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lastRenderedPageBreak/>
              <w:t>2</w:t>
            </w:r>
          </w:p>
        </w:tc>
        <w:tc>
          <w:tcPr>
            <w:tcW w:w="3543" w:type="dxa"/>
          </w:tcPr>
          <w:p w:rsidR="004D180F" w:rsidRPr="009C0F4A" w:rsidRDefault="004D180F" w:rsidP="009A7784">
            <w:pPr>
              <w:pStyle w:val="TableContents"/>
              <w:rPr>
                <w:rFonts w:ascii="Arial" w:hAnsi="Arial" w:cs="Arial"/>
                <w:color w:val="000000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lang w:val="af-ZA"/>
              </w:rPr>
              <w:t>I</w:t>
            </w:r>
            <w:r w:rsidR="009A7784" w:rsidRPr="009C0F4A">
              <w:rPr>
                <w:rFonts w:ascii="Arial" w:hAnsi="Arial" w:cs="Arial"/>
                <w:color w:val="000000"/>
                <w:lang w:val="af-ZA"/>
              </w:rPr>
              <w:t>nformasie verskaffing aan S</w:t>
            </w:r>
            <w:r w:rsidRPr="009C0F4A">
              <w:rPr>
                <w:rFonts w:ascii="Arial" w:hAnsi="Arial" w:cs="Arial"/>
                <w:color w:val="000000"/>
                <w:lang w:val="af-ZA"/>
              </w:rPr>
              <w:t>olidariteit van die toepassing van die PAIA Wet (Openbaarmaking van Informasie)</w:t>
            </w:r>
            <w:r w:rsidR="002033B3" w:rsidRPr="009C0F4A">
              <w:rPr>
                <w:rFonts w:ascii="Arial" w:hAnsi="Arial" w:cs="Arial"/>
                <w:color w:val="000000"/>
                <w:lang w:val="af-ZA"/>
              </w:rPr>
              <w:t>.</w:t>
            </w:r>
          </w:p>
        </w:tc>
        <w:tc>
          <w:tcPr>
            <w:tcW w:w="4598" w:type="dxa"/>
          </w:tcPr>
          <w:p w:rsidR="001B725B" w:rsidRPr="009C0F4A" w:rsidRDefault="004D180F" w:rsidP="001B725B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GEPF antwoord na sperty</w:t>
            </w:r>
            <w:r w:rsidR="001B725B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d.</w:t>
            </w:r>
          </w:p>
          <w:p w:rsidR="001B725B" w:rsidRPr="009C0F4A" w:rsidRDefault="001B725B" w:rsidP="001B725B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Hulle weier enige toegewings.</w:t>
            </w:r>
          </w:p>
          <w:p w:rsidR="004D180F" w:rsidRPr="009C0F4A" w:rsidRDefault="004D180F" w:rsidP="001B725B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Solidariteit beplan verdere optrede op ‘n later datum.</w:t>
            </w:r>
          </w:p>
        </w:tc>
      </w:tr>
      <w:tr w:rsidR="004D180F" w:rsidRPr="009C0F4A" w:rsidTr="004D180F">
        <w:tc>
          <w:tcPr>
            <w:tcW w:w="1101" w:type="dxa"/>
          </w:tcPr>
          <w:p w:rsidR="004D180F" w:rsidRPr="009C0F4A" w:rsidRDefault="004D180F" w:rsidP="003A1DE9">
            <w:pPr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3</w:t>
            </w:r>
          </w:p>
        </w:tc>
        <w:tc>
          <w:tcPr>
            <w:tcW w:w="3543" w:type="dxa"/>
          </w:tcPr>
          <w:p w:rsidR="004D180F" w:rsidRPr="009C0F4A" w:rsidRDefault="004D180F" w:rsidP="00891B35">
            <w:pPr>
              <w:pStyle w:val="TableContents"/>
              <w:rPr>
                <w:rFonts w:ascii="Arial" w:hAnsi="Arial" w:cs="Arial"/>
                <w:color w:val="000000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lang w:val="af-ZA"/>
              </w:rPr>
              <w:t>Skakeling met ander organisasies met soortgelyke behoeftes;</w:t>
            </w:r>
          </w:p>
          <w:p w:rsidR="004D180F" w:rsidRPr="009C0F4A" w:rsidRDefault="004D180F" w:rsidP="001B725B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O</w:t>
            </w:r>
            <w:r w:rsidR="00116A3C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UTA</w:t>
            </w: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,</w:t>
            </w:r>
          </w:p>
          <w:p w:rsidR="004D180F" w:rsidRDefault="004D180F" w:rsidP="001B725B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Helen S</w:t>
            </w:r>
            <w:r w:rsidR="0008697F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uz</w:t>
            </w: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man Foundation,</w:t>
            </w:r>
          </w:p>
          <w:p w:rsidR="00DD4EF9" w:rsidRPr="009C0F4A" w:rsidRDefault="00DD4EF9" w:rsidP="001B725B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FW de Klerk Foundation,</w:t>
            </w:r>
          </w:p>
          <w:p w:rsidR="004D180F" w:rsidRPr="009C0F4A" w:rsidRDefault="004D180F" w:rsidP="001B725B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Vereniging van Staats </w:t>
            </w:r>
            <w:r w:rsidR="001B725B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A</w:t>
            </w: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mptenare</w:t>
            </w:r>
            <w:r w:rsidR="001B725B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 (PSA)</w:t>
            </w: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 en,</w:t>
            </w:r>
          </w:p>
          <w:p w:rsidR="004D180F" w:rsidRPr="009C0F4A" w:rsidRDefault="004D180F" w:rsidP="001B725B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Solidariteit.</w:t>
            </w:r>
          </w:p>
        </w:tc>
        <w:tc>
          <w:tcPr>
            <w:tcW w:w="4598" w:type="dxa"/>
          </w:tcPr>
          <w:p w:rsidR="004D180F" w:rsidRPr="009C0F4A" w:rsidRDefault="001B725B" w:rsidP="00CB7234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A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Hierdie skakeling</w:t>
            </w:r>
            <w:r w:rsidR="004D180F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 het daartoe gelei dat informasie en studies met mekaar uitgeruil word.</w:t>
            </w:r>
          </w:p>
          <w:p w:rsidR="003A1DE9" w:rsidRPr="009C0F4A" w:rsidRDefault="004D180F" w:rsidP="00CB7234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Soortgelyk is pogings tov ‘n aantal vakbonde aangewend</w:t>
            </w:r>
            <w:r w:rsidR="001B725B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;</w:t>
            </w:r>
            <w:r w:rsidR="003A1DE9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 maar </w:t>
            </w:r>
            <w:r w:rsidR="001B725B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hu</w:t>
            </w:r>
            <w:r w:rsidR="0089460C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i</w:t>
            </w:r>
            <w:r w:rsidR="001B725B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dig </w:t>
            </w:r>
            <w:r w:rsidR="003A1DE9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met geen resultate nie.</w:t>
            </w:r>
          </w:p>
          <w:p w:rsidR="004D180F" w:rsidRPr="009C0F4A" w:rsidRDefault="004D180F" w:rsidP="00CB7234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A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Veral tov die </w:t>
            </w:r>
            <w:r w:rsidR="00116A3C" w:rsidRPr="0089460C">
              <w:rPr>
                <w:rFonts w:ascii="Arial" w:hAnsi="Arial" w:cs="Arial"/>
                <w:color w:val="000000" w:themeColor="text1"/>
                <w:sz w:val="24"/>
                <w:szCs w:val="24"/>
                <w:lang w:val="af-ZA"/>
              </w:rPr>
              <w:t>Suid Afri</w:t>
            </w:r>
            <w:r w:rsidR="002033B3" w:rsidRPr="0089460C">
              <w:rPr>
                <w:rFonts w:ascii="Arial" w:hAnsi="Arial" w:cs="Arial"/>
                <w:color w:val="000000" w:themeColor="text1"/>
                <w:sz w:val="24"/>
                <w:szCs w:val="24"/>
                <w:lang w:val="af-ZA"/>
              </w:rPr>
              <w:t>kaanse Onderwys Unie (</w:t>
            </w:r>
            <w:r w:rsidRPr="0089460C">
              <w:rPr>
                <w:rFonts w:ascii="Arial" w:hAnsi="Arial" w:cs="Arial"/>
                <w:color w:val="000000" w:themeColor="text1"/>
                <w:sz w:val="24"/>
                <w:szCs w:val="24"/>
                <w:lang w:val="af-ZA"/>
              </w:rPr>
              <w:t>SAOU</w:t>
            </w:r>
            <w:r w:rsidR="002033B3" w:rsidRPr="0089460C">
              <w:rPr>
                <w:rFonts w:ascii="Arial" w:hAnsi="Arial" w:cs="Arial"/>
                <w:color w:val="000000" w:themeColor="text1"/>
                <w:sz w:val="24"/>
                <w:szCs w:val="24"/>
                <w:lang w:val="af-ZA"/>
              </w:rPr>
              <w:t>)</w:t>
            </w:r>
            <w:r w:rsidRPr="0089460C">
              <w:rPr>
                <w:rFonts w:ascii="Arial" w:hAnsi="Arial" w:cs="Arial"/>
                <w:color w:val="000000" w:themeColor="text1"/>
                <w:sz w:val="24"/>
                <w:szCs w:val="24"/>
                <w:lang w:val="af-ZA"/>
              </w:rPr>
              <w:t xml:space="preserve"> </w:t>
            </w: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is herhaalde pogings aangewend, sonder resultate.</w:t>
            </w:r>
          </w:p>
        </w:tc>
      </w:tr>
      <w:tr w:rsidR="004D180F" w:rsidRPr="009C0F4A" w:rsidTr="004D180F">
        <w:tc>
          <w:tcPr>
            <w:tcW w:w="1101" w:type="dxa"/>
          </w:tcPr>
          <w:p w:rsidR="004D180F" w:rsidRPr="009C0F4A" w:rsidRDefault="004D180F" w:rsidP="003A1DE9">
            <w:pPr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4</w:t>
            </w:r>
          </w:p>
        </w:tc>
        <w:tc>
          <w:tcPr>
            <w:tcW w:w="3543" w:type="dxa"/>
          </w:tcPr>
          <w:p w:rsidR="004D180F" w:rsidRPr="009C0F4A" w:rsidRDefault="003A1DE9" w:rsidP="00891B35">
            <w:pPr>
              <w:pStyle w:val="TableContents"/>
              <w:rPr>
                <w:rFonts w:ascii="Arial" w:hAnsi="Arial" w:cs="Arial"/>
                <w:color w:val="000000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lang w:val="af-ZA"/>
              </w:rPr>
              <w:t>Media S</w:t>
            </w:r>
            <w:r w:rsidR="002033B3" w:rsidRPr="009C0F4A">
              <w:rPr>
                <w:rFonts w:ascii="Arial" w:hAnsi="Arial" w:cs="Arial"/>
                <w:color w:val="000000"/>
                <w:lang w:val="af-ZA"/>
              </w:rPr>
              <w:t>kakeling.</w:t>
            </w:r>
          </w:p>
        </w:tc>
        <w:tc>
          <w:tcPr>
            <w:tcW w:w="4598" w:type="dxa"/>
          </w:tcPr>
          <w:p w:rsidR="004D180F" w:rsidRPr="009C0F4A" w:rsidRDefault="004D180F" w:rsidP="00CB7234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Periodieke pers verklarings word gedoen na behoefte.</w:t>
            </w:r>
          </w:p>
          <w:p w:rsidR="004D180F" w:rsidRPr="009C0F4A" w:rsidRDefault="004D180F" w:rsidP="00CB7234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Skakeling met pers kontakte het ten gevolge dat AMAGP se bevindings en menings dikwels onder ander instansies se name plaasvind.</w:t>
            </w:r>
          </w:p>
        </w:tc>
      </w:tr>
      <w:tr w:rsidR="004D180F" w:rsidRPr="009C0F4A" w:rsidTr="004D180F">
        <w:tc>
          <w:tcPr>
            <w:tcW w:w="1101" w:type="dxa"/>
          </w:tcPr>
          <w:p w:rsidR="004D180F" w:rsidRPr="009C0F4A" w:rsidRDefault="004D180F" w:rsidP="003A1DE9">
            <w:pPr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5</w:t>
            </w:r>
          </w:p>
        </w:tc>
        <w:tc>
          <w:tcPr>
            <w:tcW w:w="3543" w:type="dxa"/>
          </w:tcPr>
          <w:p w:rsidR="004D180F" w:rsidRPr="009C0F4A" w:rsidRDefault="003A1DE9" w:rsidP="003A1DE9">
            <w:pPr>
              <w:pStyle w:val="TableContents"/>
              <w:rPr>
                <w:rFonts w:ascii="Arial" w:hAnsi="Arial" w:cs="Arial"/>
                <w:color w:val="000000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lang w:val="af-ZA"/>
              </w:rPr>
              <w:t>S</w:t>
            </w:r>
            <w:r w:rsidR="004D180F" w:rsidRPr="009C0F4A">
              <w:rPr>
                <w:rFonts w:ascii="Arial" w:hAnsi="Arial" w:cs="Arial"/>
                <w:color w:val="000000"/>
                <w:lang w:val="af-ZA"/>
              </w:rPr>
              <w:t xml:space="preserve">osiale </w:t>
            </w:r>
            <w:r w:rsidRPr="009C0F4A">
              <w:rPr>
                <w:rFonts w:ascii="Arial" w:hAnsi="Arial" w:cs="Arial"/>
                <w:color w:val="000000"/>
                <w:lang w:val="af-ZA"/>
              </w:rPr>
              <w:t>M</w:t>
            </w:r>
            <w:r w:rsidR="004D180F" w:rsidRPr="009C0F4A">
              <w:rPr>
                <w:rFonts w:ascii="Arial" w:hAnsi="Arial" w:cs="Arial"/>
                <w:color w:val="000000"/>
                <w:lang w:val="af-ZA"/>
              </w:rPr>
              <w:t>edia</w:t>
            </w:r>
            <w:r w:rsidR="002033B3" w:rsidRPr="009C0F4A">
              <w:rPr>
                <w:rFonts w:ascii="Arial" w:hAnsi="Arial" w:cs="Arial"/>
                <w:color w:val="000000"/>
                <w:lang w:val="af-ZA"/>
              </w:rPr>
              <w:t>.</w:t>
            </w:r>
          </w:p>
        </w:tc>
        <w:tc>
          <w:tcPr>
            <w:tcW w:w="4598" w:type="dxa"/>
          </w:tcPr>
          <w:p w:rsidR="003A1DE9" w:rsidRPr="009C0F4A" w:rsidRDefault="00C36CA5" w:rsidP="00CB7234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‘n </w:t>
            </w:r>
            <w:r w:rsidR="003A1DE9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Webwerf </w:t>
            </w: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(www.amagp.co.za) en ‘n</w:t>
            </w:r>
            <w:r w:rsidR="003A1DE9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 </w:t>
            </w:r>
            <w:r w:rsidR="007505C1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Faceb</w:t>
            </w:r>
            <w:r w:rsidR="002033B3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ook </w:t>
            </w:r>
            <w:r w:rsidR="007505C1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(FB) blad (</w:t>
            </w:r>
            <w:r w:rsidR="007505C1" w:rsidRPr="009C0F4A">
              <w:rPr>
                <w:rFonts w:ascii="Arial" w:hAnsi="Arial" w:cs="Arial"/>
                <w:lang w:val="af-ZA"/>
              </w:rPr>
              <w:t xml:space="preserve">Association for Monitoring and Advocacy of Government Pensions) </w:t>
            </w:r>
            <w:r w:rsidR="003A1DE9"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is geopen.</w:t>
            </w:r>
          </w:p>
          <w:p w:rsidR="004D180F" w:rsidRPr="009C0F4A" w:rsidRDefault="004D180F" w:rsidP="00CB7234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FB is besonder aktief met verbasend baie ondersteuners wat aan gesprekke deelneem en lede word.</w:t>
            </w:r>
          </w:p>
        </w:tc>
      </w:tr>
      <w:tr w:rsidR="004D180F" w:rsidRPr="009C0F4A" w:rsidTr="004D180F">
        <w:tc>
          <w:tcPr>
            <w:tcW w:w="1101" w:type="dxa"/>
          </w:tcPr>
          <w:p w:rsidR="004D180F" w:rsidRPr="009C0F4A" w:rsidRDefault="004D180F" w:rsidP="003A1DE9">
            <w:pPr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6</w:t>
            </w:r>
          </w:p>
        </w:tc>
        <w:tc>
          <w:tcPr>
            <w:tcW w:w="3543" w:type="dxa"/>
          </w:tcPr>
          <w:p w:rsidR="004D180F" w:rsidRPr="009C0F4A" w:rsidRDefault="003A1DE9" w:rsidP="003A1DE9">
            <w:pPr>
              <w:pStyle w:val="TableContents"/>
              <w:rPr>
                <w:rFonts w:ascii="Arial" w:hAnsi="Arial" w:cs="Arial"/>
                <w:color w:val="000000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lang w:val="af-ZA"/>
              </w:rPr>
              <w:t>Brief aan die M</w:t>
            </w:r>
            <w:r w:rsidR="004D180F" w:rsidRPr="009C0F4A">
              <w:rPr>
                <w:rFonts w:ascii="Arial" w:hAnsi="Arial" w:cs="Arial"/>
                <w:color w:val="000000"/>
                <w:lang w:val="af-ZA"/>
              </w:rPr>
              <w:t xml:space="preserve">inister van </w:t>
            </w:r>
            <w:r w:rsidRPr="009C0F4A">
              <w:rPr>
                <w:rFonts w:ascii="Arial" w:hAnsi="Arial" w:cs="Arial"/>
                <w:color w:val="000000"/>
                <w:lang w:val="af-ZA"/>
              </w:rPr>
              <w:t>F</w:t>
            </w:r>
            <w:r w:rsidR="004D180F" w:rsidRPr="009C0F4A">
              <w:rPr>
                <w:rFonts w:ascii="Arial" w:hAnsi="Arial" w:cs="Arial"/>
                <w:color w:val="000000"/>
                <w:lang w:val="af-ZA"/>
              </w:rPr>
              <w:t>inansies</w:t>
            </w:r>
            <w:r w:rsidR="002033B3" w:rsidRPr="009C0F4A">
              <w:rPr>
                <w:rFonts w:ascii="Arial" w:hAnsi="Arial" w:cs="Arial"/>
                <w:color w:val="000000"/>
                <w:lang w:val="af-ZA"/>
              </w:rPr>
              <w:t>.</w:t>
            </w:r>
          </w:p>
        </w:tc>
        <w:tc>
          <w:tcPr>
            <w:tcW w:w="4598" w:type="dxa"/>
          </w:tcPr>
          <w:p w:rsidR="004D180F" w:rsidRPr="0089460C" w:rsidRDefault="0089460C" w:rsidP="0089460C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</w:pPr>
            <w:r w:rsidRPr="0089460C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Grootse GEPF verliese word uitgewys.</w:t>
            </w:r>
          </w:p>
          <w:p w:rsidR="0089460C" w:rsidRPr="009C0F4A" w:rsidRDefault="0089460C" w:rsidP="0089460C">
            <w:pPr>
              <w:pStyle w:val="ListParagraph"/>
              <w:numPr>
                <w:ilvl w:val="0"/>
                <w:numId w:val="17"/>
              </w:numPr>
              <w:spacing w:before="20" w:after="20"/>
              <w:ind w:left="318" w:hanging="318"/>
              <w:rPr>
                <w:rFonts w:ascii="Arial" w:hAnsi="Arial" w:cs="Arial"/>
                <w:color w:val="000000"/>
                <w:lang w:val="af-ZA"/>
              </w:rPr>
            </w:pPr>
            <w:r w:rsidRPr="0089460C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Di</w:t>
            </w:r>
            <w:r w:rsidR="000579D7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>e</w:t>
            </w:r>
            <w:bookmarkStart w:id="0" w:name="_GoBack"/>
            <w:bookmarkEnd w:id="0"/>
            <w:r w:rsidRPr="0089460C">
              <w:rPr>
                <w:rFonts w:ascii="Arial" w:hAnsi="Arial" w:cs="Arial"/>
                <w:color w:val="000000"/>
                <w:sz w:val="24"/>
                <w:szCs w:val="24"/>
                <w:lang w:val="af-ZA"/>
              </w:rPr>
              <w:t xml:space="preserve"> Minister word versoek om ‘n Ministerële ondersoek met betrekking</w:t>
            </w:r>
            <w:r>
              <w:rPr>
                <w:rFonts w:ascii="Arial" w:hAnsi="Arial" w:cs="Arial"/>
                <w:color w:val="000000"/>
                <w:lang w:val="af-ZA"/>
              </w:rPr>
              <w:t xml:space="preserve"> tot die GEPF the inisiëer.</w:t>
            </w:r>
          </w:p>
        </w:tc>
      </w:tr>
      <w:tr w:rsidR="004D180F" w:rsidRPr="009C0F4A" w:rsidTr="004D180F">
        <w:tc>
          <w:tcPr>
            <w:tcW w:w="1101" w:type="dxa"/>
          </w:tcPr>
          <w:p w:rsidR="004D180F" w:rsidRPr="009C0F4A" w:rsidRDefault="004D180F" w:rsidP="003A1DE9">
            <w:pPr>
              <w:jc w:val="center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9C0F4A">
              <w:rPr>
                <w:rFonts w:ascii="Arial" w:hAnsi="Arial" w:cs="Arial"/>
                <w:sz w:val="24"/>
                <w:szCs w:val="24"/>
                <w:lang w:val="af-ZA"/>
              </w:rPr>
              <w:t>7</w:t>
            </w:r>
          </w:p>
        </w:tc>
        <w:tc>
          <w:tcPr>
            <w:tcW w:w="3543" w:type="dxa"/>
          </w:tcPr>
          <w:p w:rsidR="004D180F" w:rsidRPr="009C0F4A" w:rsidRDefault="003A1DE9" w:rsidP="00891B35">
            <w:pPr>
              <w:pStyle w:val="TableContents"/>
              <w:rPr>
                <w:rFonts w:ascii="Arial" w:hAnsi="Arial" w:cs="Arial"/>
                <w:color w:val="000000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lang w:val="af-ZA"/>
              </w:rPr>
              <w:t>Data vir die Openbare B</w:t>
            </w:r>
            <w:r w:rsidR="004D180F" w:rsidRPr="009C0F4A">
              <w:rPr>
                <w:rFonts w:ascii="Arial" w:hAnsi="Arial" w:cs="Arial"/>
                <w:color w:val="000000"/>
                <w:lang w:val="af-ZA"/>
              </w:rPr>
              <w:t>eskermer</w:t>
            </w:r>
            <w:r w:rsidR="002033B3" w:rsidRPr="009C0F4A">
              <w:rPr>
                <w:rFonts w:ascii="Arial" w:hAnsi="Arial" w:cs="Arial"/>
                <w:color w:val="000000"/>
                <w:lang w:val="af-ZA"/>
              </w:rPr>
              <w:t xml:space="preserve"> (OB).</w:t>
            </w:r>
          </w:p>
        </w:tc>
        <w:tc>
          <w:tcPr>
            <w:tcW w:w="4598" w:type="dxa"/>
          </w:tcPr>
          <w:p w:rsidR="004D180F" w:rsidRPr="009C0F4A" w:rsidRDefault="004D180F" w:rsidP="00891B35">
            <w:pPr>
              <w:pStyle w:val="TableContents"/>
              <w:rPr>
                <w:rFonts w:ascii="Arial" w:hAnsi="Arial" w:cs="Arial"/>
                <w:color w:val="000000"/>
                <w:lang w:val="af-ZA"/>
              </w:rPr>
            </w:pPr>
            <w:r w:rsidRPr="009C0F4A">
              <w:rPr>
                <w:rFonts w:ascii="Arial" w:hAnsi="Arial" w:cs="Arial"/>
                <w:color w:val="000000"/>
                <w:lang w:val="af-ZA"/>
              </w:rPr>
              <w:t>Daar</w:t>
            </w:r>
            <w:r w:rsidR="003A1DE9" w:rsidRPr="009C0F4A">
              <w:rPr>
                <w:rFonts w:ascii="Arial" w:hAnsi="Arial" w:cs="Arial"/>
                <w:color w:val="000000"/>
                <w:lang w:val="af-ZA"/>
              </w:rPr>
              <w:t xml:space="preserve"> </w:t>
            </w:r>
            <w:r w:rsidRPr="009C0F4A">
              <w:rPr>
                <w:rFonts w:ascii="Arial" w:hAnsi="Arial" w:cs="Arial"/>
                <w:color w:val="000000"/>
                <w:lang w:val="af-ZA"/>
              </w:rPr>
              <w:t xml:space="preserve">is al meer as ‘n jaar gelede versoek aan die OB gerig vir ‘n ondersoek by die GEPF. </w:t>
            </w:r>
            <w:r w:rsidR="00CD67B4">
              <w:rPr>
                <w:rFonts w:ascii="Arial" w:hAnsi="Arial" w:cs="Arial"/>
                <w:color w:val="000000"/>
                <w:lang w:val="af-ZA"/>
              </w:rPr>
              <w:t xml:space="preserve"> </w:t>
            </w:r>
            <w:r w:rsidRPr="009C0F4A">
              <w:rPr>
                <w:rFonts w:ascii="Arial" w:hAnsi="Arial" w:cs="Arial"/>
                <w:color w:val="000000"/>
                <w:lang w:val="af-ZA"/>
              </w:rPr>
              <w:t>Nou is ons versoek om data te verskaf.</w:t>
            </w:r>
          </w:p>
        </w:tc>
      </w:tr>
    </w:tbl>
    <w:p w:rsidR="004D180F" w:rsidRPr="009C0F4A" w:rsidRDefault="004D180F" w:rsidP="002E3B0E">
      <w:pPr>
        <w:rPr>
          <w:rFonts w:ascii="Arial" w:hAnsi="Arial" w:cs="Arial"/>
          <w:sz w:val="24"/>
          <w:szCs w:val="24"/>
          <w:lang w:val="af-ZA"/>
        </w:rPr>
      </w:pPr>
    </w:p>
    <w:sectPr w:rsidR="004D180F" w:rsidRPr="009C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866"/>
    <w:multiLevelType w:val="multilevel"/>
    <w:tmpl w:val="17AC738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pStyle w:val="Heading3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6480" w:hanging="720"/>
      </w:pPr>
      <w:rPr>
        <w:rFonts w:hint="default"/>
      </w:rPr>
    </w:lvl>
  </w:abstractNum>
  <w:abstractNum w:abstractNumId="1">
    <w:nsid w:val="3B252D89"/>
    <w:multiLevelType w:val="hybridMultilevel"/>
    <w:tmpl w:val="16B473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75892"/>
    <w:multiLevelType w:val="hybridMultilevel"/>
    <w:tmpl w:val="202C9E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760EA"/>
    <w:multiLevelType w:val="hybridMultilevel"/>
    <w:tmpl w:val="6E2894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0E"/>
    <w:rsid w:val="00031718"/>
    <w:rsid w:val="000579D7"/>
    <w:rsid w:val="0008697F"/>
    <w:rsid w:val="000B017F"/>
    <w:rsid w:val="00116A3C"/>
    <w:rsid w:val="00160F40"/>
    <w:rsid w:val="001B725B"/>
    <w:rsid w:val="002033B3"/>
    <w:rsid w:val="0023482A"/>
    <w:rsid w:val="002E3B0E"/>
    <w:rsid w:val="00312FE7"/>
    <w:rsid w:val="003A1DE9"/>
    <w:rsid w:val="00441B9F"/>
    <w:rsid w:val="004849C5"/>
    <w:rsid w:val="004D180F"/>
    <w:rsid w:val="007505C1"/>
    <w:rsid w:val="0078344C"/>
    <w:rsid w:val="00837554"/>
    <w:rsid w:val="0089460C"/>
    <w:rsid w:val="008A208E"/>
    <w:rsid w:val="009A7784"/>
    <w:rsid w:val="009C0F4A"/>
    <w:rsid w:val="00C36CA5"/>
    <w:rsid w:val="00CB7234"/>
    <w:rsid w:val="00CD67B4"/>
    <w:rsid w:val="00D72B7F"/>
    <w:rsid w:val="00DD4EF9"/>
    <w:rsid w:val="00F8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17F"/>
    <w:pPr>
      <w:numPr>
        <w:numId w:val="16"/>
      </w:numPr>
      <w:spacing w:after="220"/>
      <w:outlineLvl w:val="0"/>
    </w:pPr>
    <w:rPr>
      <w:rFonts w:ascii="Arial" w:eastAsiaTheme="majorEastAsia" w:hAnsi="Arial" w:cstheme="majorBidi"/>
      <w:bCs/>
      <w:color w:val="000000" w:themeColor="text1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B017F"/>
    <w:pPr>
      <w:numPr>
        <w:ilvl w:val="1"/>
        <w:numId w:val="16"/>
      </w:numPr>
      <w:spacing w:after="220"/>
      <w:outlineLvl w:val="1"/>
    </w:pPr>
    <w:rPr>
      <w:rFonts w:ascii="Arial" w:eastAsiaTheme="majorEastAsia" w:hAnsi="Arial" w:cstheme="majorBidi"/>
      <w:bC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B017F"/>
    <w:pPr>
      <w:numPr>
        <w:ilvl w:val="2"/>
        <w:numId w:val="16"/>
      </w:numPr>
      <w:spacing w:after="220"/>
      <w:outlineLvl w:val="2"/>
    </w:pPr>
    <w:rPr>
      <w:rFonts w:ascii="Arial" w:eastAsiaTheme="majorEastAsia" w:hAnsi="Arial" w:cstheme="majorBidi"/>
      <w:bCs/>
      <w:color w:val="000000" w:themeColor="text1"/>
    </w:rPr>
  </w:style>
  <w:style w:type="paragraph" w:styleId="Heading4">
    <w:name w:val="heading 4"/>
    <w:basedOn w:val="Normal"/>
    <w:link w:val="Heading4Char"/>
    <w:uiPriority w:val="9"/>
    <w:unhideWhenUsed/>
    <w:qFormat/>
    <w:rsid w:val="000B017F"/>
    <w:pPr>
      <w:numPr>
        <w:ilvl w:val="3"/>
        <w:numId w:val="16"/>
      </w:numPr>
      <w:spacing w:after="220"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Heading5">
    <w:name w:val="heading 5"/>
    <w:basedOn w:val="Heading1"/>
    <w:link w:val="Heading5Char"/>
    <w:uiPriority w:val="9"/>
    <w:unhideWhenUsed/>
    <w:qFormat/>
    <w:rsid w:val="004849C5"/>
    <w:pPr>
      <w:numPr>
        <w:ilvl w:val="4"/>
      </w:numPr>
      <w:outlineLvl w:val="4"/>
    </w:pPr>
  </w:style>
  <w:style w:type="paragraph" w:styleId="Heading6">
    <w:name w:val="heading 6"/>
    <w:basedOn w:val="Heading5"/>
    <w:link w:val="Heading6Char"/>
    <w:uiPriority w:val="9"/>
    <w:unhideWhenUsed/>
    <w:qFormat/>
    <w:rsid w:val="004849C5"/>
    <w:pPr>
      <w:numPr>
        <w:ilvl w:val="5"/>
      </w:numPr>
      <w:outlineLvl w:val="5"/>
    </w:pPr>
  </w:style>
  <w:style w:type="paragraph" w:styleId="Heading7">
    <w:name w:val="heading 7"/>
    <w:basedOn w:val="Heading6"/>
    <w:link w:val="Heading7Char"/>
    <w:uiPriority w:val="9"/>
    <w:unhideWhenUsed/>
    <w:qFormat/>
    <w:rsid w:val="004849C5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4849C5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4849C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upHeading">
    <w:name w:val="Group Heading"/>
    <w:basedOn w:val="Normal"/>
    <w:qFormat/>
    <w:rsid w:val="004849C5"/>
    <w:rPr>
      <w:rFonts w:ascii="Arial" w:hAnsi="Arial"/>
      <w:b/>
      <w: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017F"/>
    <w:rPr>
      <w:rFonts w:ascii="Arial" w:eastAsiaTheme="majorEastAsia" w:hAnsi="Arial" w:cstheme="majorBidi"/>
      <w:bCs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17F"/>
    <w:rPr>
      <w:rFonts w:ascii="Arial" w:eastAsiaTheme="majorEastAsia" w:hAnsi="Arial" w:cstheme="majorBidi"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17F"/>
    <w:rPr>
      <w:rFonts w:ascii="Arial" w:eastAsiaTheme="majorEastAsia" w:hAnsi="Arial" w:cstheme="majorBidi"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B017F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849C5"/>
    <w:rPr>
      <w:rFonts w:ascii="Arial" w:eastAsiaTheme="majorEastAsia" w:hAnsi="Arial" w:cstheme="majorBidi"/>
      <w:bCs/>
      <w:color w:val="000000" w:themeColor="text1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849C5"/>
    <w:rPr>
      <w:rFonts w:ascii="Arial" w:eastAsiaTheme="majorEastAsia" w:hAnsi="Arial" w:cstheme="majorBidi"/>
      <w:bCs/>
      <w:color w:val="000000" w:themeColor="text1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4849C5"/>
    <w:rPr>
      <w:rFonts w:ascii="Arial" w:eastAsiaTheme="majorEastAsia" w:hAnsi="Arial" w:cstheme="majorBidi"/>
      <w:bCs/>
      <w:color w:val="000000" w:themeColor="text1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4849C5"/>
    <w:rPr>
      <w:rFonts w:ascii="Arial" w:eastAsiaTheme="majorEastAsia" w:hAnsi="Arial" w:cstheme="majorBidi"/>
      <w:bCs/>
      <w:color w:val="000000" w:themeColor="text1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4849C5"/>
    <w:rPr>
      <w:rFonts w:ascii="Arial" w:eastAsiaTheme="majorEastAsia" w:hAnsi="Arial" w:cstheme="majorBidi"/>
      <w:bCs/>
      <w:color w:val="000000" w:themeColor="text1"/>
      <w:szCs w:val="28"/>
    </w:rPr>
  </w:style>
  <w:style w:type="paragraph" w:customStyle="1" w:styleId="MainHeading">
    <w:name w:val="Main Heading"/>
    <w:basedOn w:val="Normal"/>
    <w:next w:val="Normal"/>
    <w:qFormat/>
    <w:rsid w:val="004849C5"/>
    <w:rPr>
      <w:rFonts w:ascii="Arial" w:hAnsi="Arial"/>
      <w:b/>
      <w:caps/>
    </w:rPr>
  </w:style>
  <w:style w:type="table" w:styleId="TableGrid">
    <w:name w:val="Table Grid"/>
    <w:basedOn w:val="TableNormal"/>
    <w:uiPriority w:val="59"/>
    <w:rsid w:val="0044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1B9F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4D180F"/>
    <w:pPr>
      <w:suppressLineNumbers/>
      <w:spacing w:after="0" w:line="240" w:lineRule="auto"/>
    </w:pPr>
    <w:rPr>
      <w:rFonts w:ascii="Liberation Serif" w:eastAsia="SimSun" w:hAnsi="Liberation Serif" w:cs="Lucida Sans"/>
      <w:color w:val="00000A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17F"/>
    <w:pPr>
      <w:numPr>
        <w:numId w:val="16"/>
      </w:numPr>
      <w:spacing w:after="220"/>
      <w:outlineLvl w:val="0"/>
    </w:pPr>
    <w:rPr>
      <w:rFonts w:ascii="Arial" w:eastAsiaTheme="majorEastAsia" w:hAnsi="Arial" w:cstheme="majorBidi"/>
      <w:bCs/>
      <w:color w:val="000000" w:themeColor="text1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B017F"/>
    <w:pPr>
      <w:numPr>
        <w:ilvl w:val="1"/>
        <w:numId w:val="16"/>
      </w:numPr>
      <w:spacing w:after="220"/>
      <w:outlineLvl w:val="1"/>
    </w:pPr>
    <w:rPr>
      <w:rFonts w:ascii="Arial" w:eastAsiaTheme="majorEastAsia" w:hAnsi="Arial" w:cstheme="majorBidi"/>
      <w:bC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B017F"/>
    <w:pPr>
      <w:numPr>
        <w:ilvl w:val="2"/>
        <w:numId w:val="16"/>
      </w:numPr>
      <w:spacing w:after="220"/>
      <w:outlineLvl w:val="2"/>
    </w:pPr>
    <w:rPr>
      <w:rFonts w:ascii="Arial" w:eastAsiaTheme="majorEastAsia" w:hAnsi="Arial" w:cstheme="majorBidi"/>
      <w:bCs/>
      <w:color w:val="000000" w:themeColor="text1"/>
    </w:rPr>
  </w:style>
  <w:style w:type="paragraph" w:styleId="Heading4">
    <w:name w:val="heading 4"/>
    <w:basedOn w:val="Normal"/>
    <w:link w:val="Heading4Char"/>
    <w:uiPriority w:val="9"/>
    <w:unhideWhenUsed/>
    <w:qFormat/>
    <w:rsid w:val="000B017F"/>
    <w:pPr>
      <w:numPr>
        <w:ilvl w:val="3"/>
        <w:numId w:val="16"/>
      </w:numPr>
      <w:spacing w:after="220"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Heading5">
    <w:name w:val="heading 5"/>
    <w:basedOn w:val="Heading1"/>
    <w:link w:val="Heading5Char"/>
    <w:uiPriority w:val="9"/>
    <w:unhideWhenUsed/>
    <w:qFormat/>
    <w:rsid w:val="004849C5"/>
    <w:pPr>
      <w:numPr>
        <w:ilvl w:val="4"/>
      </w:numPr>
      <w:outlineLvl w:val="4"/>
    </w:pPr>
  </w:style>
  <w:style w:type="paragraph" w:styleId="Heading6">
    <w:name w:val="heading 6"/>
    <w:basedOn w:val="Heading5"/>
    <w:link w:val="Heading6Char"/>
    <w:uiPriority w:val="9"/>
    <w:unhideWhenUsed/>
    <w:qFormat/>
    <w:rsid w:val="004849C5"/>
    <w:pPr>
      <w:numPr>
        <w:ilvl w:val="5"/>
      </w:numPr>
      <w:outlineLvl w:val="5"/>
    </w:pPr>
  </w:style>
  <w:style w:type="paragraph" w:styleId="Heading7">
    <w:name w:val="heading 7"/>
    <w:basedOn w:val="Heading6"/>
    <w:link w:val="Heading7Char"/>
    <w:uiPriority w:val="9"/>
    <w:unhideWhenUsed/>
    <w:qFormat/>
    <w:rsid w:val="004849C5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4849C5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4849C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upHeading">
    <w:name w:val="Group Heading"/>
    <w:basedOn w:val="Normal"/>
    <w:qFormat/>
    <w:rsid w:val="004849C5"/>
    <w:rPr>
      <w:rFonts w:ascii="Arial" w:hAnsi="Arial"/>
      <w:b/>
      <w: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017F"/>
    <w:rPr>
      <w:rFonts w:ascii="Arial" w:eastAsiaTheme="majorEastAsia" w:hAnsi="Arial" w:cstheme="majorBidi"/>
      <w:bCs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17F"/>
    <w:rPr>
      <w:rFonts w:ascii="Arial" w:eastAsiaTheme="majorEastAsia" w:hAnsi="Arial" w:cstheme="majorBidi"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17F"/>
    <w:rPr>
      <w:rFonts w:ascii="Arial" w:eastAsiaTheme="majorEastAsia" w:hAnsi="Arial" w:cstheme="majorBidi"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B017F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849C5"/>
    <w:rPr>
      <w:rFonts w:ascii="Arial" w:eastAsiaTheme="majorEastAsia" w:hAnsi="Arial" w:cstheme="majorBidi"/>
      <w:bCs/>
      <w:color w:val="000000" w:themeColor="text1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849C5"/>
    <w:rPr>
      <w:rFonts w:ascii="Arial" w:eastAsiaTheme="majorEastAsia" w:hAnsi="Arial" w:cstheme="majorBidi"/>
      <w:bCs/>
      <w:color w:val="000000" w:themeColor="text1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4849C5"/>
    <w:rPr>
      <w:rFonts w:ascii="Arial" w:eastAsiaTheme="majorEastAsia" w:hAnsi="Arial" w:cstheme="majorBidi"/>
      <w:bCs/>
      <w:color w:val="000000" w:themeColor="text1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4849C5"/>
    <w:rPr>
      <w:rFonts w:ascii="Arial" w:eastAsiaTheme="majorEastAsia" w:hAnsi="Arial" w:cstheme="majorBidi"/>
      <w:bCs/>
      <w:color w:val="000000" w:themeColor="text1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4849C5"/>
    <w:rPr>
      <w:rFonts w:ascii="Arial" w:eastAsiaTheme="majorEastAsia" w:hAnsi="Arial" w:cstheme="majorBidi"/>
      <w:bCs/>
      <w:color w:val="000000" w:themeColor="text1"/>
      <w:szCs w:val="28"/>
    </w:rPr>
  </w:style>
  <w:style w:type="paragraph" w:customStyle="1" w:styleId="MainHeading">
    <w:name w:val="Main Heading"/>
    <w:basedOn w:val="Normal"/>
    <w:next w:val="Normal"/>
    <w:qFormat/>
    <w:rsid w:val="004849C5"/>
    <w:rPr>
      <w:rFonts w:ascii="Arial" w:hAnsi="Arial"/>
      <w:b/>
      <w:caps/>
    </w:rPr>
  </w:style>
  <w:style w:type="table" w:styleId="TableGrid">
    <w:name w:val="Table Grid"/>
    <w:basedOn w:val="TableNormal"/>
    <w:uiPriority w:val="59"/>
    <w:rsid w:val="0044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1B9F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4D180F"/>
    <w:pPr>
      <w:suppressLineNumbers/>
      <w:spacing w:after="0" w:line="240" w:lineRule="auto"/>
    </w:pPr>
    <w:rPr>
      <w:rFonts w:ascii="Liberation Serif" w:eastAsia="SimSun" w:hAnsi="Liberation Serif" w:cs="Lucida Sans"/>
      <w:color w:val="00000A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ABE97-70AC-4605-9A43-4D12700C4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Assink</dc:creator>
  <cp:lastModifiedBy>Gerard Assink</cp:lastModifiedBy>
  <cp:revision>3</cp:revision>
  <cp:lastPrinted>2018-05-27T13:11:00Z</cp:lastPrinted>
  <dcterms:created xsi:type="dcterms:W3CDTF">2018-06-04T08:52:00Z</dcterms:created>
  <dcterms:modified xsi:type="dcterms:W3CDTF">2018-06-04T19:09:00Z</dcterms:modified>
</cp:coreProperties>
</file>