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007A87"/>
          <w:sz w:val="40"/>
        </w:rPr>
        <w:t>ITSG GROWTH ARR FORECASTING</w:t>
      </w:r>
    </w:p>
    <w:p>
      <w:pPr>
        <w:jc w:val="center"/>
      </w:pPr>
      <w:r>
        <w:rPr>
          <w:color w:val="2C3E50"/>
          <w:sz w:val="28"/>
        </w:rPr>
        <w:t>Version 3  —  Expert Review</w:t>
      </w:r>
    </w:p>
    <w:p>
      <w:pPr>
        <w:jc w:val="center"/>
      </w:pPr>
      <w:r>
        <w:rPr>
          <w:i/>
          <w:color w:val="5D6D7E"/>
          <w:sz w:val="21"/>
        </w:rPr>
        <w:t>July 2026  |  GoTo Technologies ITSG Product Line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07A87"/>
          </w:tcPr>
          <w:p>
            <w:pPr>
              <w:spacing w:before="120" w:after="40"/>
              <w:jc w:val="center"/>
            </w:pPr>
            <w:r>
              <w:rPr>
                <w:b/>
                <w:color w:val="FFFFFF"/>
                <w:sz w:val="44"/>
              </w:rPr>
              <w:t>95</w:t>
            </w:r>
          </w:p>
          <w:p>
            <w:pPr>
              <w:spacing w:after="120"/>
              <w:jc w:val="center"/>
            </w:pPr>
            <w:r>
              <w:rPr>
                <w:color w:val="FFFFFF"/>
                <w:sz w:val="17"/>
              </w:rPr>
              <w:t>Overall Score / 100</w:t>
            </w:r>
          </w:p>
        </w:tc>
        <w:tc>
          <w:tcPr>
            <w:tcW w:type="dxa" w:w="3024"/>
            <w:shd w:val="clear" w:color="auto" w:fill="2C3E50"/>
          </w:tcPr>
          <w:p>
            <w:pPr>
              <w:spacing w:before="120" w:after="40"/>
              <w:jc w:val="center"/>
            </w:pPr>
            <w:r>
              <w:rPr>
                <w:b/>
                <w:color w:val="FFFFFF"/>
                <w:sz w:val="44"/>
              </w:rPr>
              <w:t>V3</w:t>
            </w:r>
          </w:p>
          <w:p>
            <w:pPr>
              <w:spacing w:after="120"/>
              <w:jc w:val="center"/>
            </w:pPr>
            <w:r>
              <w:rPr>
                <w:color w:val="FFFFFF"/>
                <w:sz w:val="17"/>
              </w:rPr>
              <w:t>Notebook Version</w:t>
            </w:r>
          </w:p>
        </w:tc>
        <w:tc>
          <w:tcPr>
            <w:tcW w:type="dxa" w:w="3024"/>
            <w:shd w:val="clear" w:color="auto" w:fill="5D6D7E"/>
          </w:tcPr>
          <w:p>
            <w:pPr>
              <w:spacing w:before="120" w:after="40"/>
              <w:jc w:val="center"/>
            </w:pPr>
            <w:r>
              <w:rPr>
                <w:b/>
                <w:color w:val="FFFFFF"/>
                <w:sz w:val="44"/>
              </w:rPr>
              <w:t>July 2026</w:t>
            </w:r>
          </w:p>
          <w:p>
            <w:pPr>
              <w:spacing w:after="120"/>
              <w:jc w:val="center"/>
            </w:pPr>
            <w:r>
              <w:rPr>
                <w:color w:val="FFFFFF"/>
                <w:sz w:val="17"/>
              </w:rPr>
              <w:t>Review Date</w:t>
            </w:r>
          </w:p>
        </w:tc>
      </w:tr>
    </w:tbl>
    <w:p/>
    <w:p>
      <w:pPr>
        <w:jc w:val="center"/>
      </w:pPr>
      <w:r>
        <w:rPr>
          <w:b/>
          <w:color w:val="1E8855"/>
          <w:sz w:val="22"/>
        </w:rPr>
        <w:t>Production-Grade  ·  Elite-Approaching</w:t>
      </w:r>
    </w:p>
    <w:p>
      <w:pPr>
        <w:jc w:val="center"/>
      </w:pPr>
      <w:r>
        <w:rPr>
          <w:i/>
          <w:color w:val="5D6D7E"/>
          <w:sz w:val="20"/>
        </w:rPr>
        <w:t>Score progression:  V1: 73  →  V2: 88  →  V3: 95  (+7 pts from V2)</w:t>
      </w:r>
    </w:p>
    <w:p>
      <w:r>
        <w:br w:type="page"/>
      </w:r>
    </w:p>
    <w:p>
      <w:pPr>
        <w:spacing w:before="280" w:after="80"/>
        <w:pBdr>
          <w:bottom w:val="single" w:sz="6" w:space="1" w:color="007A87"/>
        </w:pBdr>
      </w:pPr>
      <w:r>
        <w:rPr>
          <w:b/>
          <w:color w:val="007A87"/>
          <w:sz w:val="26"/>
        </w:rPr>
        <w:t>1. EXECUTIVE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5F5E3"/>
            <w:tcBorders>
              <w:top w:val="single" w:sz="12" w:space="0" w:color="1E8855"/>
              <w:left w:val="single" w:sz="12" w:space="0" w:color="1E8855"/>
              <w:bottom w:val="single" w:sz="12" w:space="0" w:color="1E8855"/>
              <w:right w:val="single" w:sz="12" w:space="0" w:color="1E8855"/>
            </w:tcBorders>
          </w:tcPr>
          <w:p>
            <w:pPr>
              <w:spacing w:before="80" w:after="80"/>
              <w:ind w:left="144"/>
            </w:pPr>
            <w:r>
              <w:rPr>
                <w:b/>
                <w:color w:val="2C3E50"/>
                <w:sz w:val="20"/>
              </w:rPr>
              <w:t xml:space="preserve">V3 Classification:  </w:t>
            </w:r>
            <w:r>
              <w:rPr>
                <w:color w:val="2C3E50"/>
                <w:sz w:val="20"/>
              </w:rPr>
              <w:t>Production-Grade, Elite-Approaching — 95/100. All P0 and P1 gaps from V2 are resolved. Remaining items are operational hardening, not correctness issues.</w:t>
            </w:r>
          </w:p>
        </w:tc>
      </w:tr>
    </w:tbl>
    <w:p/>
    <w:p>
      <w:pPr>
        <w:spacing w:before="0" w:after="80"/>
      </w:pPr>
      <w:r>
        <w:rPr>
          <w:color w:val="2C3E50"/>
          <w:sz w:val="21"/>
        </w:rPr>
        <w:t>ITSG Growth ARR Forecasting V3 is a major step forward from V2 (88/100). Every critical gap identified in the V2 review has been addressed: the history-destroying overwrite bug is fixed, MinT hierarchical reconciliation is fully implemented with covariance-optimal market allocation, the MC calibration layer (_add_monthly_mc_scale) is active for Prophet_trend, and MLflow now covers all five models including benchmark models and ensemble weights. V3 also self-documents its improvements via a new Cell 8 executive summary markdown — a production-maturity signal.</w:t>
      </w:r>
    </w:p>
    <w:p>
      <w:pPr>
        <w:spacing w:before="0" w:after="80"/>
      </w:pPr>
      <w:r>
        <w:rPr>
          <w:color w:val="2C3E50"/>
          <w:sz w:val="21"/>
        </w:rPr>
        <w:t>The notebook correctly characterises ITSG's fundamental data challenge: with a theoretical WAPE floor of 94.8% (quarterly-mean baseline), DHR-ARIMA's 40.5% holdout WAPE is genuinely excellent. The wide prediction intervals reflect real enterprise deal-timing uncertainty. Quarterly accuracy is the appropriate evaluation grain for board-level ITSG guidance.</w:t>
      </w:r>
    </w:p>
    <w:p>
      <w:pPr>
        <w:spacing w:before="200" w:after="60"/>
      </w:pPr>
      <w:r>
        <w:rPr>
          <w:b/>
          <w:color w:val="2C3E50"/>
          <w:sz w:val="22"/>
        </w:rPr>
        <w:t>1.1 V3 vs V2 — What Changed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168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Enhancement</w:t>
            </w:r>
          </w:p>
        </w:tc>
        <w:tc>
          <w:tcPr>
            <w:tcW w:type="dxa" w:w="230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V2 Status</w:t>
            </w:r>
          </w:p>
        </w:tc>
        <w:tc>
          <w:tcPr>
            <w:tcW w:type="dxa" w:w="288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V3 Status</w:t>
            </w:r>
          </w:p>
        </w:tc>
        <w:tc>
          <w:tcPr>
            <w:tcW w:type="dxa" w:w="1296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Impact</w:t>
            </w:r>
          </w:p>
        </w:tc>
      </w:tr>
      <w:tr>
        <w:tc>
          <w:tcPr>
            <w:tcW w:type="dxa" w:w="316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P0: Production overwrite bug</w:t>
            </w:r>
          </w:p>
        </w:tc>
        <w:tc>
          <w:tcPr>
            <w:tcW w:type="dxa" w:w="2304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mode(overwrite) — history destroyed</w:t>
            </w:r>
          </w:p>
        </w:tc>
        <w:tc>
          <w:tcPr>
            <w:tcW w:type="dxa" w:w="288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mode(append) + mergeSchema</w:t>
            </w:r>
          </w:p>
        </w:tc>
        <w:tc>
          <w:tcPr>
            <w:tcW w:type="dxa" w:w="1296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Critical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MinT hierarchical reconciliation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Missing (-3 pts)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Fully implemented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High</w:t>
            </w:r>
          </w:p>
        </w:tc>
      </w:tr>
      <w:tr>
        <w:tc>
          <w:tcPr>
            <w:tcW w:type="dxa" w:w="316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MC calibration layer</w:t>
            </w:r>
          </w:p>
        </w:tc>
        <w:tc>
          <w:tcPr>
            <w:tcW w:type="dxa" w:w="2304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Missing (-2 pts)</w:t>
            </w:r>
          </w:p>
        </w:tc>
        <w:tc>
          <w:tcPr>
            <w:tcW w:type="dxa" w:w="288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_add_monthly_mc_scale() active</w:t>
            </w:r>
          </w:p>
        </w:tc>
        <w:tc>
          <w:tcPr>
            <w:tcW w:type="dxa" w:w="1296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High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MLflow for benchmark models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LGB only (-1 pt)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All 5 models + ensemble weights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Medium</w:t>
            </w:r>
          </w:p>
        </w:tc>
      </w:tr>
      <w:tr>
        <w:tc>
          <w:tcPr>
            <w:tcW w:type="dxa" w:w="316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region_holiday feature</w:t>
            </w:r>
          </w:p>
        </w:tc>
        <w:tc>
          <w:tcPr>
            <w:tcW w:type="dxa" w:w="2304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us_holiday_binary (US only)</w:t>
            </w:r>
          </w:p>
        </w:tc>
        <w:tc>
          <w:tcPr>
            <w:tcW w:type="dxa" w:w="288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UK/DE/IN/BR per market</w:t>
            </w:r>
          </w:p>
        </w:tc>
        <w:tc>
          <w:tcPr>
            <w:tcW w:type="dxa" w:w="1296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Medium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win_rate_woq in DHR x_cols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Missing from DHR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14 regressors (was 13)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Medium</w:t>
            </w:r>
          </w:p>
        </w:tc>
      </w:tr>
      <w:tr>
        <w:tc>
          <w:tcPr>
            <w:tcW w:type="dxa" w:w="316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y_lag52 in LGB features</w:t>
            </w:r>
          </w:p>
        </w:tc>
        <w:tc>
          <w:tcPr>
            <w:tcW w:type="dxa" w:w="2304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Missing</w:t>
            </w:r>
          </w:p>
        </w:tc>
        <w:tc>
          <w:tcPr>
            <w:tcW w:type="dxa" w:w="288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Added — IT budget cycle signal</w:t>
            </w:r>
          </w:p>
        </w:tc>
        <w:tc>
          <w:tcPr>
            <w:tcW w:type="dxa" w:w="1296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Medium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Monitoring hardening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Basic write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Alert thresholds + recommended_for_production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Medium</w:t>
            </w:r>
          </w:p>
        </w:tc>
      </w:tr>
      <w:tr>
        <w:tc>
          <w:tcPr>
            <w:tcW w:type="dxa" w:w="316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NOTEBOOK_VERSION</w:t>
            </w:r>
          </w:p>
        </w:tc>
        <w:tc>
          <w:tcPr>
            <w:tcW w:type="dxa" w:w="2304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Not set</w:t>
            </w:r>
          </w:p>
        </w:tc>
        <w:tc>
          <w:tcPr>
            <w:tcW w:type="dxa" w:w="288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'V3' — correct versioning</w:t>
            </w:r>
          </w:p>
        </w:tc>
        <w:tc>
          <w:tcPr>
            <w:tcW w:type="dxa" w:w="1296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Low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Executive summary cell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None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Cell 8 — self-documented changelog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Low</w:t>
            </w:r>
          </w:p>
        </w:tc>
      </w:tr>
    </w:tbl>
    <w:p/>
    <w:p>
      <w:pPr>
        <w:spacing w:before="200" w:after="60"/>
      </w:pPr>
      <w:r>
        <w:rPr>
          <w:b/>
          <w:color w:val="2C3E50"/>
          <w:sz w:val="22"/>
        </w:rPr>
        <w:t>1.2 Remaining Gaps (5 pts)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6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3888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Gap</w:t>
            </w:r>
          </w:p>
        </w:tc>
        <w:tc>
          <w:tcPr>
            <w:tcW w:type="dxa" w:w="1008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Pts Lost</w:t>
            </w:r>
          </w:p>
        </w:tc>
        <w:tc>
          <w:tcPr>
            <w:tcW w:type="dxa" w:w="3888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Fix</w:t>
            </w:r>
          </w:p>
        </w:tc>
      </w:tr>
      <w:tr>
        <w:tc>
          <w:tcPr>
            <w:tcW w:type="dxa" w:w="864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P2</w:t>
            </w:r>
          </w:p>
        </w:tc>
        <w:tc>
          <w:tcPr>
            <w:tcW w:type="dxa" w:w="388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No partitionBy(run_date_utc) on production writes</w:t>
            </w:r>
          </w:p>
        </w:tc>
        <w:tc>
          <w:tcPr>
            <w:tcW w:type="dxa" w:w="100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-1</w:t>
            </w:r>
          </w:p>
        </w:tc>
        <w:tc>
          <w:tcPr>
            <w:tcW w:type="dxa" w:w="388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Add .partitionBy() to both saveAsTable() calls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P2</w:t>
            </w:r>
          </w:p>
        </w:tc>
        <w:tc>
          <w:tcPr>
            <w:tcW w:type="dxa" w:w="388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GR ensemble falls back to equal weights (0.2 each)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-1</w:t>
            </w:r>
          </w:p>
        </w:tc>
        <w:tc>
          <w:tcPr>
            <w:tcW w:type="dxa" w:w="388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Extend holdout or use CV residuals for GR covariance</w:t>
            </w:r>
          </w:p>
        </w:tc>
      </w:tr>
      <w:tr>
        <w:tc>
          <w:tcPr>
            <w:tcW w:type="dxa" w:w="864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P2</w:t>
            </w:r>
          </w:p>
        </w:tc>
        <w:tc>
          <w:tcPr>
            <w:tcW w:type="dxa" w:w="388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No Databricks Job / scheduled runner</w:t>
            </w:r>
          </w:p>
        </w:tc>
        <w:tc>
          <w:tcPr>
            <w:tcW w:type="dxa" w:w="100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-1</w:t>
            </w:r>
          </w:p>
        </w:tc>
        <w:tc>
          <w:tcPr>
            <w:tcW w:type="dxa" w:w="388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Register as weekly Databricks Workflow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P3</w:t>
            </w:r>
          </w:p>
        </w:tc>
        <w:tc>
          <w:tcPr>
            <w:tcW w:type="dxa" w:w="388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Dual-table write (v4 + v5) without dedup guard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-0.5</w:t>
            </w:r>
          </w:p>
        </w:tc>
        <w:tc>
          <w:tcPr>
            <w:tcW w:type="dxa" w:w="388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Add deprecation timeline; document consumer migration</w:t>
            </w:r>
          </w:p>
        </w:tc>
      </w:tr>
      <w:tr>
        <w:tc>
          <w:tcPr>
            <w:tcW w:type="dxa" w:w="864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P3</w:t>
            </w:r>
          </w:p>
        </w:tc>
        <w:tc>
          <w:tcPr>
            <w:tcW w:type="dxa" w:w="388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No build_profile_lookup for future panel imputation</w:t>
            </w:r>
          </w:p>
        </w:tc>
        <w:tc>
          <w:tcPr>
            <w:tcW w:type="dxa" w:w="100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-0.5</w:t>
            </w:r>
          </w:p>
        </w:tc>
        <w:tc>
          <w:tcPr>
            <w:tcW w:type="dxa" w:w="388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Add WoQ median profile fallback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007A87"/>
        </w:pBdr>
      </w:pPr>
      <w:r>
        <w:rPr>
          <w:b/>
          <w:color w:val="007A87"/>
          <w:sz w:val="26"/>
        </w:rPr>
        <w:t>2. DATA PIPELINE &amp; FEATURE ENGINEERING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84"/>
        <w:gridCol w:w="7200"/>
      </w:tblGrid>
      <w:tr>
        <w:tc>
          <w:tcPr>
            <w:tcW w:type="dxa" w:w="4536"/>
            <w:shd w:val="clear" w:color="auto" w:fill="1E8855"/>
            <w:tcBorders>
              <w:top w:val="single" w:sz="4" w:space="0" w:color="1E8855"/>
              <w:left w:val="single" w:sz="4" w:space="0" w:color="1E8855"/>
              <w:bottom w:val="single" w:sz="4" w:space="0" w:color="1E8855"/>
              <w:right w:val="single" w:sz="4" w:space="0" w:color="1E88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19/20</w:t>
            </w:r>
          </w:p>
        </w:tc>
        <w:tc>
          <w:tcPr>
            <w:tcW w:type="dxa" w:w="4536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ind w:left="144"/>
            </w:pPr>
            <w:r>
              <w:rPr>
                <w:color w:val="2C3E50"/>
                <w:sz w:val="21"/>
              </w:rPr>
              <w:t>Data Pipeline &amp; Feature Engineering  (19/20)</w:t>
            </w:r>
          </w:p>
        </w:tc>
      </w:tr>
    </w:tbl>
    <w:p/>
    <w:p>
      <w:pPr>
        <w:spacing w:before="200" w:after="60"/>
      </w:pPr>
      <w:r>
        <w:rPr>
          <w:b/>
          <w:color w:val="2C3E50"/>
          <w:sz w:val="22"/>
        </w:rPr>
        <w:t>2.1 Source Tables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68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3168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331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 Constraint</w:t>
            </w:r>
          </w:p>
        </w:tc>
      </w:tr>
      <w:tr>
        <w:tc>
          <w:tcPr>
            <w:tcW w:type="dxa" w:w="316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cds_sfdc_opp_products_latest</w:t>
            </w:r>
          </w:p>
        </w:tc>
        <w:tc>
          <w:tcPr>
            <w:tcW w:type="dxa" w:w="316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Weekly ITSG ARR (total + by market)</w:t>
            </w:r>
          </w:p>
        </w:tc>
        <w:tc>
          <w:tcPr>
            <w:tcW w:type="dxa" w:w="3312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PRODUCT_SCOPE = 'ITSG'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forecast_prophet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Headcount, pipeline, deal metrics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READ-ONLY — no writes</w:t>
            </w:r>
          </w:p>
        </w:tc>
      </w:tr>
      <w:tr>
        <w:tc>
          <w:tcPr>
            <w:tcW w:type="dxa" w:w="316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uc_forecast.actuals</w:t>
            </w:r>
          </w:p>
        </w:tc>
        <w:tc>
          <w:tcPr>
            <w:tcW w:type="dxa" w:w="316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Authoritative MC actuals (RSG-IT)</w:t>
            </w:r>
          </w:p>
        </w:tc>
        <w:tc>
          <w:tcPr>
            <w:tcW w:type="dxa" w:w="3312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WHERE version='ACTUALS', product_genus='RSG-IT'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feature_source_future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Forward-looking signals for production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Used in recursive LGB inference</w:t>
            </w:r>
          </w:p>
        </w:tc>
      </w:tr>
    </w:tbl>
    <w:p/>
    <w:p>
      <w:pPr>
        <w:spacing w:before="200" w:after="60"/>
      </w:pPr>
      <w:r>
        <w:rPr>
          <w:b/>
          <w:color w:val="2C3E50"/>
          <w:sz w:val="22"/>
        </w:rPr>
        <w:t>2.2 LGB Feature Set — 39 Features (up from V2's 36)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448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4896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Features</w:t>
            </w:r>
          </w:p>
        </w:tc>
        <w:tc>
          <w:tcPr>
            <w:tcW w:type="dxa" w:w="86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Count</w:t>
            </w:r>
          </w:p>
        </w:tc>
        <w:tc>
          <w:tcPr>
            <w:tcW w:type="dxa" w:w="1296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New in V3</w:t>
            </w:r>
          </w:p>
        </w:tc>
      </w:tr>
      <w:tr>
        <w:tc>
          <w:tcPr>
            <w:tcW w:type="dxa" w:w="244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Calendar / Fourier</w:t>
            </w:r>
          </w:p>
        </w:tc>
        <w:tc>
          <w:tcPr>
            <w:tcW w:type="dxa" w:w="4896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week_of_qtr, quarter_end_flag, is_q4, q4_week_countdown, woq_sin, woq_cos, qtr_sin, qtr_cos</w:t>
            </w:r>
          </w:p>
        </w:tc>
        <w:tc>
          <w:tcPr>
            <w:tcW w:type="dxa" w:w="864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8</w:t>
            </w:r>
          </w:p>
        </w:tc>
        <w:tc>
          <w:tcPr>
            <w:tcW w:type="dxa" w:w="1296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—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Market (categorical)</w:t>
            </w:r>
          </w:p>
        </w:tc>
        <w:tc>
          <w:tcPr>
            <w:tcW w:type="dxa" w:w="4896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sales_market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1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—</w:t>
            </w:r>
          </w:p>
        </w:tc>
      </w:tr>
      <w:tr>
        <w:tc>
          <w:tcPr>
            <w:tcW w:type="dxa" w:w="244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Pipeline signals</w:t>
            </w:r>
          </w:p>
        </w:tc>
        <w:tc>
          <w:tcPr>
            <w:tcW w:type="dxa" w:w="4896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created_lag4, created_lag5, pipeline_velocity_lag4, win_rate_woq, partner_pipe_lag4</w:t>
            </w:r>
          </w:p>
        </w:tc>
        <w:tc>
          <w:tcPr>
            <w:tcW w:type="dxa" w:w="864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5</w:t>
            </w:r>
          </w:p>
        </w:tc>
        <w:tc>
          <w:tcPr>
            <w:tcW w:type="dxa" w:w="1296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win_rate_woq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Headcount / rep ramp</w:t>
            </w:r>
          </w:p>
        </w:tc>
        <w:tc>
          <w:tcPr>
            <w:tcW w:type="dxa" w:w="4896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headcount_lag4, sales_rep_ramp_ratio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2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—</w:t>
            </w:r>
          </w:p>
        </w:tc>
      </w:tr>
      <w:tr>
        <w:tc>
          <w:tcPr>
            <w:tcW w:type="dxa" w:w="244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Deal quality</w:t>
            </w:r>
          </w:p>
        </w:tc>
        <w:tc>
          <w:tcPr>
            <w:tcW w:type="dxa" w:w="4896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deal_size_lag1, sales_cycle_lag1, push_ctr_lag1, avg_opportunity_age, avg_dials_lag4, avg_touches_lag4</w:t>
            </w:r>
          </w:p>
        </w:tc>
        <w:tc>
          <w:tcPr>
            <w:tcW w:type="dxa" w:w="864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6</w:t>
            </w:r>
          </w:p>
        </w:tc>
        <w:tc>
          <w:tcPr>
            <w:tcW w:type="dxa" w:w="1296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—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MC / Quota signals</w:t>
            </w:r>
          </w:p>
        </w:tc>
        <w:tc>
          <w:tcPr>
            <w:tcW w:type="dxa" w:w="4896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mc_actuals_lag4, mkt_opened_lag4, miradore_lag4, plan_gap_lag1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—</w:t>
            </w:r>
          </w:p>
        </w:tc>
      </w:tr>
      <w:tr>
        <w:tc>
          <w:tcPr>
            <w:tcW w:type="dxa" w:w="244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Auto-regressive lags</w:t>
            </w:r>
          </w:p>
        </w:tc>
        <w:tc>
          <w:tcPr>
            <w:tcW w:type="dxa" w:w="4896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y_lag1, y_lag4, y_lag8, y_lag13, y_lag26, y_lag52</w:t>
            </w:r>
          </w:p>
        </w:tc>
        <w:tc>
          <w:tcPr>
            <w:tcW w:type="dxa" w:w="864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6</w:t>
            </w:r>
          </w:p>
        </w:tc>
        <w:tc>
          <w:tcPr>
            <w:tcW w:type="dxa" w:w="1296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y_lag52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Rolling statistics</w:t>
            </w:r>
          </w:p>
        </w:tc>
        <w:tc>
          <w:tcPr>
            <w:tcW w:type="dxa" w:w="4896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r4w, rolling_vol_4w, rolling_vol_13w, yoy_growth, qoq_momentum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5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—</w:t>
            </w:r>
          </w:p>
        </w:tc>
      </w:tr>
      <w:tr>
        <w:tc>
          <w:tcPr>
            <w:tcW w:type="dxa" w:w="244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Holiday signals</w:t>
            </w:r>
          </w:p>
        </w:tc>
        <w:tc>
          <w:tcPr>
            <w:tcW w:type="dxa" w:w="4896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us_holiday_binary, region_holiday</w:t>
            </w:r>
          </w:p>
        </w:tc>
        <w:tc>
          <w:tcPr>
            <w:tcW w:type="dxa" w:w="864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2</w:t>
            </w:r>
          </w:p>
        </w:tc>
        <w:tc>
          <w:tcPr>
            <w:tcW w:type="dxa" w:w="1296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region_holiday</w:t>
            </w:r>
          </w:p>
        </w:tc>
      </w:tr>
    </w:tbl>
    <w:p/>
    <w:p>
      <w:pPr>
        <w:spacing w:before="200" w:after="60"/>
      </w:pPr>
      <w:r>
        <w:rPr>
          <w:b/>
          <w:color w:val="2C3E50"/>
          <w:sz w:val="22"/>
        </w:rPr>
        <w:t>2.3 New Feature: region_holiday</w:t>
      </w:r>
    </w:p>
    <w:p>
      <w:pPr>
        <w:spacing w:before="0" w:after="80"/>
      </w:pPr>
      <w:r>
        <w:rPr>
          <w:color w:val="2C3E50"/>
          <w:sz w:val="21"/>
        </w:rPr>
        <w:t>V3 adds compute_region_holiday() using the holidays library with REGION_HOLIDAY_MAP: NA -&gt; US, EMEA -&gt; UK + Germany, APAC -&gt; India, LATAM -&gt; Brazil, Unknown -&gt; US. The function checks every calendar day in the forecast week — correct for weekly grain. This replaces V2's us_holiday_binary which introduced systematic bias for APAC and EMEA.</w:t>
      </w:r>
    </w:p>
    <w:p>
      <w:pPr>
        <w:spacing w:before="200" w:after="60"/>
      </w:pPr>
      <w:r>
        <w:rPr>
          <w:b/>
          <w:color w:val="2C3E50"/>
          <w:sz w:val="22"/>
        </w:rPr>
        <w:t>2.4 New Feature: y_lag52</w:t>
      </w:r>
    </w:p>
    <w:p>
      <w:pPr>
        <w:spacing w:before="0" w:after="80"/>
      </w:pPr>
      <w:r>
        <w:rPr>
          <w:color w:val="2C3E50"/>
          <w:sz w:val="21"/>
        </w:rPr>
        <w:t>y_lag52 captures the annual IT budget renewal pattern: enterprise IT budgets approved in Q4 of the prior year drive predictable Q1 booking spikes. Combined with yoy_growth (which uses lag_53 — correct for ITSG week alignment), this gives the model both a direct annual AR signal and a normalised growth rate signal.</w:t>
      </w:r>
    </w:p>
    <w:p>
      <w:pPr>
        <w:spacing w:before="200" w:after="60"/>
      </w:pPr>
      <w:r>
        <w:rPr>
          <w:b/>
          <w:color w:val="2C3E50"/>
          <w:sz w:val="22"/>
        </w:rPr>
        <w:t>2.5 Data Leakage Prevention</w:t>
      </w:r>
    </w:p>
    <w:p>
      <w:pPr>
        <w:spacing w:before="0" w:after="80"/>
      </w:pPr>
      <w:r>
        <w:rPr>
          <w:color w:val="2C3E50"/>
          <w:sz w:val="21"/>
        </w:rPr>
        <w:t>LEAKY_OR_UNUSABLE_COLS explicitly excludes all same-week columns from GLOBAL_FEATURE_COLS: y, all_created_arr, total_partner_pipeline, magna_carta_actuals, marketing_generated_pipeline, marketing_influenced_pipeline, miradore_plan. Only lagged versions are used as features — correct and complete.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3CD"/>
            <w:tcBorders>
              <w:top w:val="single" w:sz="12" w:space="0" w:color="E6A817"/>
              <w:left w:val="single" w:sz="12" w:space="0" w:color="E6A817"/>
              <w:bottom w:val="single" w:sz="12" w:space="0" w:color="E6A817"/>
              <w:right w:val="single" w:sz="12" w:space="0" w:color="E6A817"/>
            </w:tcBorders>
          </w:tcPr>
          <w:p>
            <w:pPr>
              <w:spacing w:before="80" w:after="80"/>
              <w:ind w:left="144"/>
            </w:pPr>
            <w:r>
              <w:rPr>
                <w:b/>
                <w:color w:val="2C3E50"/>
                <w:sz w:val="20"/>
              </w:rPr>
              <w:t xml:space="preserve">Note — plan_gap Sign Convention:  </w:t>
            </w:r>
            <w:r>
              <w:rPr>
                <w:color w:val="2C3E50"/>
                <w:sz w:val="20"/>
              </w:rPr>
              <w:t>ITSG uses plan_gap = miradore_plan - y (positive when quota exceeds actual). This is opposite to UCC V9 (mc_actuals - miradore_plan). The sign is consistent within ITSG V3. Verify with the business that positive plan_gap = demand above quota is the intended interpretation.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007A87"/>
        </w:pBdr>
      </w:pPr>
      <w:r>
        <w:rPr>
          <w:b/>
          <w:color w:val="007A87"/>
          <w:sz w:val="26"/>
        </w:rPr>
        <w:t>3. CROSS-VALIDATION FRAMEWORK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84"/>
        <w:gridCol w:w="7200"/>
      </w:tblGrid>
      <w:tr>
        <w:tc>
          <w:tcPr>
            <w:tcW w:type="dxa" w:w="4536"/>
            <w:shd w:val="clear" w:color="auto" w:fill="1E8855"/>
            <w:tcBorders>
              <w:top w:val="single" w:sz="4" w:space="0" w:color="1E8855"/>
              <w:left w:val="single" w:sz="4" w:space="0" w:color="1E8855"/>
              <w:bottom w:val="single" w:sz="4" w:space="0" w:color="1E8855"/>
              <w:right w:val="single" w:sz="4" w:space="0" w:color="1E88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10/10</w:t>
            </w:r>
          </w:p>
        </w:tc>
        <w:tc>
          <w:tcPr>
            <w:tcW w:type="dxa" w:w="4536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ind w:left="144"/>
            </w:pPr>
            <w:r>
              <w:rPr>
                <w:color w:val="2C3E50"/>
                <w:sz w:val="21"/>
              </w:rPr>
              <w:t>Cross-Validation Framework  (10/10)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68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259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3888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Assessment</w:t>
            </w:r>
          </w:p>
        </w:tc>
      </w:tr>
      <w:tr>
        <w:tc>
          <w:tcPr>
            <w:tcW w:type="dxa" w:w="316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CV folds</w:t>
            </w:r>
          </w:p>
        </w:tc>
        <w:tc>
          <w:tcPr>
            <w:tcW w:type="dxa" w:w="2592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8</w:t>
            </w:r>
          </w:p>
        </w:tc>
        <w:tc>
          <w:tcPr>
            <w:tcW w:type="dxa" w:w="388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Sufficient for stable WAPE estimates at weekly grain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Forecast horizon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13 weeks (1 quarter)</w:t>
            </w:r>
          </w:p>
        </w:tc>
        <w:tc>
          <w:tcPr>
            <w:tcW w:type="dxa" w:w="388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Matches production use case</w:t>
            </w:r>
          </w:p>
        </w:tc>
      </w:tr>
      <w:tr>
        <w:tc>
          <w:tcPr>
            <w:tcW w:type="dxa" w:w="316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Validation strategy</w:t>
            </w:r>
          </w:p>
        </w:tc>
        <w:tc>
          <w:tcPr>
            <w:tcW w:type="dxa" w:w="2592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Walk-forward (strictly no lookahead)</w:t>
            </w:r>
          </w:p>
        </w:tc>
        <w:tc>
          <w:tcPr>
            <w:tcW w:type="dxa" w:w="388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Correct — temporal integrity preserved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Evaluation metrics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WAPE, MAPE, MPE, sMAPE, RMSE per fold</w:t>
            </w:r>
          </w:p>
        </w:tc>
        <w:tc>
          <w:tcPr>
            <w:tcW w:type="dxa" w:w="388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Comprehensive; WAPE is primary for skewed data</w:t>
            </w:r>
          </w:p>
        </w:tc>
      </w:tr>
      <w:tr>
        <w:tc>
          <w:tcPr>
            <w:tcW w:type="dxa" w:w="316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CI coverage metric</w:t>
            </w:r>
          </w:p>
        </w:tc>
        <w:tc>
          <w:tcPr>
            <w:tcW w:type="dxa" w:w="2592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ci_coverage(actual, p10, p90)</w:t>
            </w:r>
          </w:p>
        </w:tc>
        <w:tc>
          <w:tcPr>
            <w:tcW w:type="dxa" w:w="388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Correct implementation with finite-value guard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Quantile crossing guard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enforce_quantile_order(P10 &lt;= P50 &lt;= P90)</w:t>
            </w:r>
          </w:p>
        </w:tc>
        <w:tc>
          <w:tcPr>
            <w:tcW w:type="dxa" w:w="388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Applied at all output stages</w:t>
            </w:r>
          </w:p>
        </w:tc>
      </w:tr>
      <w:tr>
        <w:tc>
          <w:tcPr>
            <w:tcW w:type="dxa" w:w="316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Interval derivation</w:t>
            </w:r>
          </w:p>
        </w:tc>
        <w:tc>
          <w:tcPr>
            <w:tcW w:type="dxa" w:w="2592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derive_interval_adjustments() from holdout residuals</w:t>
            </w:r>
          </w:p>
        </w:tc>
        <w:tc>
          <w:tcPr>
            <w:tcW w:type="dxa" w:w="388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Data-driven; fallback (-0.15, 0.20) reasonable</w:t>
            </w:r>
          </w:p>
        </w:tc>
      </w:tr>
    </w:tbl>
    <w:p/>
    <w:p>
      <w:pPr>
        <w:spacing w:before="200" w:after="60"/>
      </w:pPr>
      <w:r>
        <w:rPr>
          <w:b/>
          <w:color w:val="2C3E50"/>
          <w:sz w:val="22"/>
        </w:rPr>
        <w:t>3.1 ITSG WAPE Context — Understanding Lumpy Enterprise Demand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6EAF8"/>
            <w:tcBorders>
              <w:top w:val="single" w:sz="12" w:space="0" w:color="2166AB"/>
              <w:left w:val="single" w:sz="12" w:space="0" w:color="2166AB"/>
              <w:bottom w:val="single" w:sz="12" w:space="0" w:color="2166AB"/>
              <w:right w:val="single" w:sz="12" w:space="0" w:color="2166AB"/>
            </w:tcBorders>
          </w:tcPr>
          <w:p>
            <w:pPr>
              <w:spacing w:before="80" w:after="80"/>
              <w:ind w:left="144"/>
            </w:pPr>
            <w:r>
              <w:rPr>
                <w:b/>
                <w:color w:val="2C3E50"/>
                <w:sz w:val="20"/>
              </w:rPr>
              <w:t xml:space="preserve">Key Insight:  </w:t>
            </w:r>
            <w:r>
              <w:rPr>
                <w:color w:val="2C3E50"/>
                <w:sz w:val="20"/>
              </w:rPr>
              <w:t>Theoretical WAPE floor for ITSG (quarterly-mean baseline) = 94.8%. DHR-ARIMA achieves 40.5% holdout WAPE — 54 percentage points better than the floor. Weekly max/min ratio: 109x ($68K min vs $7.4M max). Q2 2026: 52.5% of quarterly revenue closed in the final 2 weeks. This is a data characteristic, not a model failure. Weekly WAPE comparisons to UCC benchmarks are not meaningful for ITSG.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007A87"/>
        </w:pBdr>
      </w:pPr>
      <w:r>
        <w:rPr>
          <w:b/>
          <w:color w:val="007A87"/>
          <w:sz w:val="26"/>
        </w:rPr>
        <w:t>4. BENCHMARK MODELS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84"/>
        <w:gridCol w:w="7200"/>
      </w:tblGrid>
      <w:tr>
        <w:tc>
          <w:tcPr>
            <w:tcW w:type="dxa" w:w="4536"/>
            <w:shd w:val="clear" w:color="auto" w:fill="1E8855"/>
            <w:tcBorders>
              <w:top w:val="single" w:sz="4" w:space="0" w:color="1E8855"/>
              <w:left w:val="single" w:sz="4" w:space="0" w:color="1E8855"/>
              <w:bottom w:val="single" w:sz="4" w:space="0" w:color="1E8855"/>
              <w:right w:val="single" w:sz="4" w:space="0" w:color="1E88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19/20</w:t>
            </w:r>
          </w:p>
        </w:tc>
        <w:tc>
          <w:tcPr>
            <w:tcW w:type="dxa" w:w="4536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ind w:left="144"/>
            </w:pPr>
            <w:r>
              <w:rPr>
                <w:color w:val="2C3E50"/>
                <w:sz w:val="21"/>
              </w:rPr>
              <w:t>Benchmark Models  (19/20)</w:t>
            </w:r>
          </w:p>
        </w:tc>
      </w:tr>
    </w:tbl>
    <w:p/>
    <w:p>
      <w:pPr>
        <w:spacing w:before="200" w:after="60"/>
      </w:pPr>
      <w:r>
        <w:rPr>
          <w:b/>
          <w:color w:val="2C3E50"/>
          <w:sz w:val="22"/>
        </w:rPr>
        <w:t>4.1 Five-Model Suite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6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144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Holdout WAPE</w:t>
            </w:r>
          </w:p>
        </w:tc>
        <w:tc>
          <w:tcPr>
            <w:tcW w:type="dxa" w:w="360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 Strength</w:t>
            </w:r>
          </w:p>
        </w:tc>
        <w:tc>
          <w:tcPr>
            <w:tcW w:type="dxa" w:w="3168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V3 Changes</w:t>
            </w:r>
          </w:p>
        </w:tc>
      </w:tr>
      <w:tr>
        <w:tc>
          <w:tcPr>
            <w:tcW w:type="dxa" w:w="216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DHR_ARIMA</w:t>
            </w:r>
          </w:p>
        </w:tc>
        <w:tc>
          <w:tcPr>
            <w:tcW w:type="dxa" w:w="144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40.5%</w:t>
            </w:r>
          </w:p>
        </w:tc>
        <w:tc>
          <w:tcPr>
            <w:tcW w:type="dxa" w:w="360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Best single model; captures quarter-end timing via phase-stable Fourier + pipeline velocity</w:t>
            </w:r>
          </w:p>
        </w:tc>
        <w:tc>
          <w:tcPr>
            <w:tcW w:type="dxa" w:w="316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win_rate_woq added (14 regressors); MLflow tracking added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Global_LGB_Q50_ITSG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113.3%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Non-linear feature interactions; per-market P10/P50/P90 uncertainty bounds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39 features (+3 vs V2); region_holiday, y_lag52, win_rate_woq; MLflow FI top-10</w:t>
            </w:r>
          </w:p>
        </w:tc>
      </w:tr>
      <w:tr>
        <w:tc>
          <w:tcPr>
            <w:tcW w:type="dxa" w:w="216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Prophet_trend</w:t>
            </w:r>
          </w:p>
        </w:tc>
        <w:tc>
          <w:tcPr>
            <w:tcW w:type="dxa" w:w="144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105.8%</w:t>
            </w:r>
          </w:p>
        </w:tc>
        <w:tc>
          <w:tcPr>
            <w:tcW w:type="dxa" w:w="360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Robust to structural shifts; captures long-range growth trends</w:t>
            </w:r>
          </w:p>
        </w:tc>
        <w:tc>
          <w:tcPr>
            <w:tcW w:type="dxa" w:w="316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MLflow tracking added; MC calibration (_add_monthly_mc_scale) applied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ETS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192.6%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Conservative short-horizon extrapolation; prevents ensemble over-forecasting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MLflow tracking added</w:t>
            </w:r>
          </w:p>
        </w:tc>
      </w:tr>
      <w:tr>
        <w:tc>
          <w:tcPr>
            <w:tcW w:type="dxa" w:w="216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MSTL_v2</w:t>
            </w:r>
          </w:p>
        </w:tc>
        <w:tc>
          <w:tcPr>
            <w:tcW w:type="dxa" w:w="144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215.8%</w:t>
            </w:r>
          </w:p>
        </w:tc>
        <w:tc>
          <w:tcPr>
            <w:tcW w:type="dxa" w:w="360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Multi-seasonal decomposition isolates quarterly vs annual seasonality from deal lumpiness</w:t>
            </w:r>
          </w:p>
        </w:tc>
        <w:tc>
          <w:tcPr>
            <w:tcW w:type="dxa" w:w="316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MLflow tracking added</w:t>
            </w:r>
          </w:p>
        </w:tc>
      </w:tr>
    </w:tbl>
    <w:p/>
    <w:p>
      <w:pPr>
        <w:spacing w:before="200" w:after="60"/>
      </w:pPr>
      <w:r>
        <w:rPr>
          <w:b/>
          <w:color w:val="2C3E50"/>
          <w:sz w:val="22"/>
        </w:rPr>
        <w:t>4.2 DHR-ARIMA — Phase-Stable Fourier + 14 Regressors</w:t>
      </w:r>
    </w:p>
    <w:p>
      <w:pPr>
        <w:spacing w:before="0" w:after="80"/>
      </w:pPr>
      <w:r>
        <w:rPr>
          <w:color w:val="2C3E50"/>
          <w:sz w:val="21"/>
        </w:rPr>
        <w:t>win_rate_woq is now included in DHR's x_cols, bringing it to 14 exogenous regressors. The Fourier terms use calendar-based indexing (week_of_qtr for 13-period, ISO week_of_year for 52-period) in both build_total_dhr_frame() for CV and the production forward panel construction — phase consistency across folds is guaranteed.</w:t>
      </w:r>
    </w:p>
    <w:p>
      <w:pPr>
        <w:pStyle w:val="ListBullet"/>
        <w:spacing w:before="20" w:after="40"/>
        <w:ind w:left="360"/>
      </w:pPr>
      <w:r>
        <w:rPr>
          <w:color w:val="2C3E50"/>
          <w:sz w:val="20"/>
        </w:rPr>
        <w:t>4 Fourier terms: sin/cos x periods 13 and 52, orders 1 and 2</w:t>
      </w:r>
    </w:p>
    <w:p>
      <w:pPr>
        <w:pStyle w:val="ListBullet"/>
        <w:spacing w:before="20" w:after="40"/>
        <w:ind w:left="360"/>
      </w:pPr>
      <w:r>
        <w:rPr>
          <w:color w:val="2C3E50"/>
          <w:sz w:val="20"/>
        </w:rPr>
        <w:t>Pipeline: created_lag4, headcount_lag4, pipeline_velocity_lag4</w:t>
      </w:r>
    </w:p>
    <w:p>
      <w:pPr>
        <w:pStyle w:val="ListBullet"/>
        <w:spacing w:before="20" w:after="40"/>
        <w:ind w:left="360"/>
      </w:pPr>
      <w:r>
        <w:rPr>
          <w:color w:val="2C3E50"/>
          <w:sz w:val="20"/>
        </w:rPr>
        <w:t>Behavioral: quarter_end_flag, us_holiday_binary, win_rate_woq (new)</w:t>
      </w:r>
    </w:p>
    <w:p>
      <w:pPr>
        <w:spacing w:before="0" w:after="80"/>
      </w:pPr>
      <w:r>
        <w:rPr>
          <w:color w:val="2C3E50"/>
          <w:sz w:val="21"/>
        </w:rPr>
        <w:t>Note: DHR operates at total ITSG level (not per-market), so region_holiday cannot be applied directly. Using us_holiday_binary for total-level DHR is architecturally correct.</w:t>
      </w:r>
    </w:p>
    <w:p>
      <w:pPr>
        <w:spacing w:before="200" w:after="60"/>
      </w:pPr>
      <w:r>
        <w:rPr>
          <w:b/>
          <w:color w:val="2C3E50"/>
          <w:sz w:val="22"/>
        </w:rPr>
        <w:t>4.3 MLflow Coverage — Complete in V3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168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MLflow Run Name</w:t>
            </w:r>
          </w:p>
        </w:tc>
        <w:tc>
          <w:tcPr>
            <w:tcW w:type="dxa" w:w="1728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288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 Params</w:t>
            </w:r>
          </w:p>
        </w:tc>
        <w:tc>
          <w:tcPr>
            <w:tcW w:type="dxa" w:w="2736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 Metrics</w:t>
            </w:r>
          </w:p>
        </w:tc>
      </w:tr>
      <w:tr>
        <w:tc>
          <w:tcPr>
            <w:tcW w:type="dxa" w:w="316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itsg_benchmark_prophet_trend</w:t>
            </w:r>
          </w:p>
        </w:tc>
        <w:tc>
          <w:tcPr>
            <w:tcW w:type="dxa" w:w="172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Prophet_trend</w:t>
            </w:r>
          </w:p>
        </w:tc>
        <w:tc>
          <w:tcPr>
            <w:tcW w:type="dxa" w:w="288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model_name, cv_folds, holdout dates</w:t>
            </w:r>
          </w:p>
        </w:tc>
        <w:tc>
          <w:tcPr>
            <w:tcW w:type="dxa" w:w="2736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cv_mean_wape, holdout_wape/mape/rmse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itsg_benchmark_mstl_v2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MSTL_v2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model_name, cv_folds, holdout dates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cv_mean_wape, holdout_wape/mape/rmse</w:t>
            </w:r>
          </w:p>
        </w:tc>
      </w:tr>
      <w:tr>
        <w:tc>
          <w:tcPr>
            <w:tcW w:type="dxa" w:w="316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itsg_benchmark_ets</w:t>
            </w:r>
          </w:p>
        </w:tc>
        <w:tc>
          <w:tcPr>
            <w:tcW w:type="dxa" w:w="172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ETS</w:t>
            </w:r>
          </w:p>
        </w:tc>
        <w:tc>
          <w:tcPr>
            <w:tcW w:type="dxa" w:w="288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model_name, cv_folds, holdout dates</w:t>
            </w:r>
          </w:p>
        </w:tc>
        <w:tc>
          <w:tcPr>
            <w:tcW w:type="dxa" w:w="2736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cv_mean_wape, holdout_wape/mape/rmse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itsg_benchmark_dhr_arima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DHR_ARIMA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season_length, x_cols, cv_folds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cv_mean_wape, holdout_wape/mape/rmse</w:t>
            </w:r>
          </w:p>
        </w:tc>
      </w:tr>
      <w:tr>
        <w:tc>
          <w:tcPr>
            <w:tcW w:type="dxa" w:w="316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itsg_global_lgb_quantile_cv</w:t>
            </w:r>
          </w:p>
        </w:tc>
        <w:tc>
          <w:tcPr>
            <w:tcW w:type="dxa" w:w="172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Global LGB</w:t>
            </w:r>
          </w:p>
        </w:tc>
        <w:tc>
          <w:tcPr>
            <w:tcW w:type="dxa" w:w="288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feature_cols, best_iteration_p50, early_stopping_rounds</w:t>
            </w:r>
          </w:p>
        </w:tc>
        <w:tc>
          <w:tcPr>
            <w:tcW w:type="dxa" w:w="2736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cv + holdout WAPE, CI coverage, top-10 FI gain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itsg_adaptive_ensemble_weights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Ensemble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ensemble_method, notebook_version, run_date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weight_{model} for each of 5 models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3CD"/>
            <w:tcBorders>
              <w:top w:val="single" w:sz="12" w:space="0" w:color="E6A817"/>
              <w:left w:val="single" w:sz="12" w:space="0" w:color="E6A817"/>
              <w:bottom w:val="single" w:sz="12" w:space="0" w:color="E6A817"/>
              <w:right w:val="single" w:sz="12" w:space="0" w:color="E6A817"/>
            </w:tcBorders>
          </w:tcPr>
          <w:p>
            <w:pPr>
              <w:spacing w:before="80" w:after="80"/>
              <w:ind w:left="144"/>
            </w:pPr>
            <w:r>
              <w:rPr>
                <w:b/>
                <w:color w:val="2C3E50"/>
                <w:sz w:val="20"/>
              </w:rPr>
              <w:t xml:space="preserve">P2 Gap — MLflow Model Registry:  </w:t>
            </w:r>
            <w:r>
              <w:rPr>
                <w:color w:val="2C3E50"/>
                <w:sz w:val="20"/>
              </w:rPr>
              <w:t>LGB is tracked in MLflow experiments but not registered in MLflow Model Registry. Without Registry: no model versioning across runs, no staging/production promotion, no A/B serving capability. Add mlflow.lightgbm.log_model() + mlflow.register_model().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007A87"/>
        </w:pBdr>
      </w:pPr>
      <w:r>
        <w:rPr>
          <w:b/>
          <w:color w:val="007A87"/>
          <w:sz w:val="26"/>
        </w:rPr>
        <w:t>5. ENSEMBLE METHODOLOGY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84"/>
        <w:gridCol w:w="7200"/>
      </w:tblGrid>
      <w:tr>
        <w:tc>
          <w:tcPr>
            <w:tcW w:type="dxa" w:w="4536"/>
            <w:shd w:val="clear" w:color="auto" w:fill="1E8855"/>
            <w:tcBorders>
              <w:top w:val="single" w:sz="4" w:space="0" w:color="1E8855"/>
              <w:left w:val="single" w:sz="4" w:space="0" w:color="1E8855"/>
              <w:bottom w:val="single" w:sz="4" w:space="0" w:color="1E8855"/>
              <w:right w:val="single" w:sz="4" w:space="0" w:color="1E88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9/10</w:t>
            </w:r>
          </w:p>
        </w:tc>
        <w:tc>
          <w:tcPr>
            <w:tcW w:type="dxa" w:w="4536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ind w:left="144"/>
            </w:pPr>
            <w:r>
              <w:rPr>
                <w:color w:val="2C3E50"/>
                <w:sz w:val="21"/>
              </w:rPr>
              <w:t>Ensemble Methodology  (9/10)</w:t>
            </w:r>
          </w:p>
        </w:tc>
      </w:tr>
    </w:tbl>
    <w:p/>
    <w:p>
      <w:pPr>
        <w:spacing w:before="200" w:after="60"/>
      </w:pPr>
      <w:r>
        <w:rPr>
          <w:b/>
          <w:color w:val="2C3E50"/>
          <w:sz w:val="22"/>
        </w:rPr>
        <w:t>5.1 Granger-Ramanathan Covariance-Optimal Ensemble</w:t>
      </w:r>
    </w:p>
    <w:p>
      <w:pPr>
        <w:spacing w:before="0" w:after="80"/>
      </w:pPr>
      <w:r>
        <w:rPr>
          <w:color w:val="2C3E50"/>
          <w:sz w:val="21"/>
        </w:rPr>
        <w:t>The GR ensemble implementation is architecturally correct: error covariance is estimated from holdout predictions across all 5 models, inverted via numpy.linalg.pinv for numerical stability, weights are clipped to non-negative and sum-normalised. The fallback to equal weights is triggered when the covariance matrix is ill-conditioned (checked via raw.sum() &gt; 1e-9).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3CD"/>
            <w:tcBorders>
              <w:top w:val="single" w:sz="12" w:space="0" w:color="E6A817"/>
              <w:left w:val="single" w:sz="12" w:space="0" w:color="E6A817"/>
              <w:bottom w:val="single" w:sz="12" w:space="0" w:color="E6A817"/>
              <w:right w:val="single" w:sz="12" w:space="0" w:color="E6A817"/>
            </w:tcBorders>
          </w:tcPr>
          <w:p>
            <w:pPr>
              <w:spacing w:before="80" w:after="80"/>
              <w:ind w:left="144"/>
            </w:pPr>
            <w:r>
              <w:rPr>
                <w:b/>
                <w:color w:val="2C3E50"/>
                <w:sz w:val="20"/>
              </w:rPr>
              <w:t xml:space="preserve">P2 Gap — GR Falls Back to Equal Weights:  </w:t>
            </w:r>
            <w:r>
              <w:rPr>
                <w:color w:val="2C3E50"/>
                <w:sz w:val="20"/>
              </w:rPr>
              <w:t>Cell 8 exec summary transparently documents that V3 uses equal-weight fallback (0.2 each for all 5 models). Root cause: holdout period too short relative to the 5-model covariance estimation requirement. Fix options: (1) use CV fold residuals as input to GR rather than holdout alone; (2) log np.linalg.cond(covariance) to MLflow to detect when true GR weights stabilise.</w:t>
            </w:r>
          </w:p>
        </w:tc>
      </w:tr>
    </w:tbl>
    <w:p/>
    <w:p>
      <w:pPr>
        <w:spacing w:before="200" w:after="60"/>
      </w:pPr>
      <w:r>
        <w:rPr>
          <w:b/>
          <w:color w:val="2C3E50"/>
          <w:sz w:val="22"/>
        </w:rPr>
        <w:t>5.2 Ensemble Construction Flow</w:t>
      </w:r>
    </w:p>
    <w:p>
      <w:pPr>
        <w:pStyle w:val="ListBullet"/>
        <w:spacing w:before="20" w:after="40"/>
        <w:ind w:left="360"/>
      </w:pPr>
      <w:r>
        <w:rPr>
          <w:color w:val="2C3E50"/>
          <w:sz w:val="20"/>
        </w:rPr>
        <w:t>Per-model holdout predictions collected -&gt; error covariance matrix estimated</w:t>
      </w:r>
    </w:p>
    <w:p>
      <w:pPr>
        <w:pStyle w:val="ListBullet"/>
        <w:spacing w:before="20" w:after="40"/>
        <w:ind w:left="360"/>
      </w:pPr>
      <w:r>
        <w:rPr>
          <w:color w:val="2C3E50"/>
          <w:sz w:val="20"/>
        </w:rPr>
        <w:t>GR weights computed (or equal-weight fallback if ill-conditioned)</w:t>
      </w:r>
    </w:p>
    <w:p>
      <w:pPr>
        <w:pStyle w:val="ListBullet"/>
        <w:spacing w:before="20" w:after="40"/>
        <w:ind w:left="360"/>
      </w:pPr>
      <w:r>
        <w:rPr>
          <w:color w:val="2C3E50"/>
          <w:sz w:val="20"/>
        </w:rPr>
        <w:t>MC calibration (_add_monthly_mc_scale) applied to Prophet_trend BEFORE weighting — correct order</w:t>
      </w:r>
    </w:p>
    <w:p>
      <w:pPr>
        <w:pStyle w:val="ListBullet"/>
        <w:spacing w:before="20" w:after="40"/>
        <w:ind w:left="360"/>
      </w:pPr>
      <w:r>
        <w:rPr>
          <w:color w:val="2C3E50"/>
          <w:sz w:val="20"/>
        </w:rPr>
        <w:t>Weighted ensemble total computed; intervals derived from ensemble holdout residuals</w:t>
      </w:r>
    </w:p>
    <w:p>
      <w:pPr>
        <w:pStyle w:val="ListBullet"/>
        <w:spacing w:before="20" w:after="40"/>
        <w:ind w:left="360"/>
      </w:pPr>
      <w:r>
        <w:rPr>
          <w:color w:val="2C3E50"/>
          <w:sz w:val="20"/>
        </w:rPr>
        <w:t>GR weights logged to MLflow under itsg_adaptive_ensemble_weights for drift monitoring</w:t>
      </w:r>
    </w:p>
    <w:p>
      <w:pPr>
        <w:spacing w:before="200" w:after="60"/>
      </w:pPr>
      <w:r>
        <w:rPr>
          <w:b/>
          <w:color w:val="2C3E50"/>
          <w:sz w:val="22"/>
        </w:rPr>
        <w:t>5.3 MC Calibration Layer — New in V3</w:t>
      </w:r>
    </w:p>
    <w:p>
      <w:pPr>
        <w:spacing w:before="0" w:after="80"/>
      </w:pPr>
      <w:r>
        <w:rPr>
          <w:color w:val="2C3E50"/>
          <w:sz w:val="21"/>
        </w:rPr>
        <w:t>_add_monthly_mc_scale() corrects systematic seasonal bias in Prophet's forward projections using RSG-IT authoritative actuals from uc_forecast.actuals. Key implementation details:</w:t>
      </w:r>
    </w:p>
    <w:p>
      <w:pPr>
        <w:pStyle w:val="ListBullet"/>
        <w:spacing w:before="20" w:after="40"/>
        <w:ind w:left="360"/>
      </w:pPr>
      <w:r>
        <w:rPr>
          <w:color w:val="2C3E50"/>
          <w:sz w:val="20"/>
        </w:rPr>
        <w:t>Month-of-year scaling ratio: authoritative_actuals / prophet_forecast, grouped by cal_month</w:t>
      </w:r>
    </w:p>
    <w:p>
      <w:pPr>
        <w:pStyle w:val="ListBullet"/>
        <w:spacing w:before="20" w:after="40"/>
        <w:ind w:left="360"/>
      </w:pPr>
      <w:r>
        <w:rPr>
          <w:color w:val="2C3E50"/>
          <w:sz w:val="20"/>
        </w:rPr>
        <w:t>Clipped to [0.5, 2.0] — guards against outlier months corrupting the scale factor</w:t>
      </w:r>
    </w:p>
    <w:p>
      <w:pPr>
        <w:pStyle w:val="ListBullet"/>
        <w:spacing w:before="20" w:after="40"/>
        <w:ind w:left="360"/>
      </w:pPr>
      <w:r>
        <w:rPr>
          <w:color w:val="2C3E50"/>
          <w:sz w:val="20"/>
        </w:rPr>
        <w:t>Applied per-column to forecast, p10, p50, p90 — interval structure preserved</w:t>
      </w:r>
    </w:p>
    <w:p>
      <w:pPr>
        <w:pStyle w:val="ListBullet"/>
        <w:spacing w:before="20" w:after="40"/>
        <w:ind w:left="360"/>
      </w:pPr>
      <w:r>
        <w:rPr>
          <w:color w:val="2C3E50"/>
          <w:sz w:val="20"/>
        </w:rPr>
        <w:t>Activates conditionally: skips gracefully if holdout or actuals data insufficient</w:t>
      </w:r>
    </w:p>
    <w:p>
      <w:r>
        <w:br w:type="page"/>
      </w:r>
    </w:p>
    <w:p>
      <w:pPr>
        <w:spacing w:before="280" w:after="80"/>
        <w:pBdr>
          <w:bottom w:val="single" w:sz="6" w:space="1" w:color="007A87"/>
        </w:pBdr>
      </w:pPr>
      <w:r>
        <w:rPr>
          <w:b/>
          <w:color w:val="007A87"/>
          <w:sz w:val="26"/>
        </w:rPr>
        <w:t>6. HIERARCHICAL RECONCILIATION (MINT)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84"/>
        <w:gridCol w:w="7200"/>
      </w:tblGrid>
      <w:tr>
        <w:tc>
          <w:tcPr>
            <w:tcW w:type="dxa" w:w="4536"/>
            <w:shd w:val="clear" w:color="auto" w:fill="1E8855"/>
            <w:tcBorders>
              <w:top w:val="single" w:sz="4" w:space="0" w:color="1E8855"/>
              <w:left w:val="single" w:sz="4" w:space="0" w:color="1E8855"/>
              <w:bottom w:val="single" w:sz="4" w:space="0" w:color="1E8855"/>
              <w:right w:val="single" w:sz="4" w:space="0" w:color="1E88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9/10</w:t>
            </w:r>
          </w:p>
        </w:tc>
        <w:tc>
          <w:tcPr>
            <w:tcW w:type="dxa" w:w="4536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ind w:left="144"/>
            </w:pPr>
            <w:r>
              <w:rPr>
                <w:color w:val="2C3E50"/>
                <w:sz w:val="21"/>
              </w:rPr>
              <w:t>Hierarchical Reconciliation  (9/10)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5F5E3"/>
            <w:tcBorders>
              <w:top w:val="single" w:sz="12" w:space="0" w:color="1E8855"/>
              <w:left w:val="single" w:sz="12" w:space="0" w:color="1E8855"/>
              <w:bottom w:val="single" w:sz="12" w:space="0" w:color="1E8855"/>
              <w:right w:val="single" w:sz="12" w:space="0" w:color="1E8855"/>
            </w:tcBorders>
          </w:tcPr>
          <w:p>
            <w:pPr>
              <w:spacing w:before="80" w:after="80"/>
              <w:ind w:left="144"/>
            </w:pPr>
            <w:r>
              <w:rPr>
                <w:b/>
                <w:color w:val="2C3E50"/>
                <w:sz w:val="20"/>
              </w:rPr>
              <w:t xml:space="preserve">Major V3 Achievement:  </w:t>
            </w:r>
            <w:r>
              <w:rPr>
                <w:color w:val="2C3E50"/>
                <w:sz w:val="20"/>
              </w:rPr>
              <w:t>MinT hierarchical reconciliation is fully implemented — the largest single gap in V2 (-3 pts). The implementation is mathematically correct, uses covariance-optimal reconciliation, and is applied to all benchmark models and the Adaptive Ensemble.</w:t>
            </w:r>
          </w:p>
        </w:tc>
      </w:tr>
    </w:tbl>
    <w:p/>
    <w:p>
      <w:pPr>
        <w:spacing w:before="200" w:after="60"/>
      </w:pPr>
      <w:r>
        <w:rPr>
          <w:b/>
          <w:color w:val="2C3E50"/>
          <w:sz w:val="22"/>
        </w:rPr>
        <w:t>6.1 MinT Pipeline</w:t>
      </w:r>
    </w:p>
    <w:p>
      <w:pPr>
        <w:spacing w:before="0" w:after="80"/>
      </w:pPr>
      <w:r>
        <w:rPr>
          <w:color w:val="2C3E50"/>
          <w:sz w:val="21"/>
        </w:rPr>
        <w:t>Three functions form the complete MinT pipeline:</w:t>
      </w:r>
    </w:p>
    <w:p>
      <w:pPr>
        <w:pStyle w:val="ListBullet"/>
        <w:spacing w:before="20" w:after="40"/>
        <w:ind w:left="360"/>
      </w:pPr>
      <w:r>
        <w:rPr>
          <w:color w:val="2C3E50"/>
          <w:sz w:val="20"/>
        </w:rPr>
        <w:t>_estimate_mint_covariances(cv_preds_df, history_market_df, lookback_weeks=26): Estimates per-model covariance matrices from CV fold residuals at total + market levels. Falls back to variance-diagonal covariance when fewer than 6 residual rows available.</w:t>
      </w:r>
    </w:p>
    <w:p>
      <w:pPr>
        <w:pStyle w:val="ListBullet"/>
        <w:spacing w:before="20" w:after="40"/>
        <w:ind w:left="360"/>
      </w:pPr>
      <w:r>
        <w:rPr>
          <w:color w:val="2C3E50"/>
          <w:sz w:val="20"/>
        </w:rPr>
        <w:t>_mint_reconcile(top_value, market_values, covariance): Standard MinT formula: reconciled = S(S'W^-1 S)^-1 S'W^-1 yhat. S is the summing matrix [1; I_n]. Uses pinv for stability; falls back to OLS.</w:t>
      </w:r>
    </w:p>
    <w:p>
      <w:pPr>
        <w:pStyle w:val="ListBullet"/>
        <w:spacing w:before="20" w:after="40"/>
        <w:ind w:left="360"/>
      </w:pPr>
      <w:r>
        <w:rPr>
          <w:color w:val="2C3E50"/>
          <w:sz w:val="20"/>
        </w:rPr>
        <w:t>_coherent_allocate(model_name, weekly_total_df, share_map_dict, mint_covs): Applies MinT per week per model. Values clipped to 0 (no negative market allocations).</w:t>
      </w:r>
    </w:p>
    <w:p>
      <w:pPr>
        <w:spacing w:before="200" w:after="60"/>
      </w:pPr>
      <w:r>
        <w:rPr>
          <w:b/>
          <w:color w:val="2C3E50"/>
          <w:sz w:val="22"/>
        </w:rPr>
        <w:t>6.2 Application Scope</w:t>
      </w:r>
    </w:p>
    <w:p>
      <w:pPr>
        <w:spacing w:before="0" w:after="80"/>
      </w:pPr>
      <w:r>
        <w:rPr>
          <w:color w:val="2C3E50"/>
          <w:sz w:val="21"/>
        </w:rPr>
        <w:t>MinT is applied to all 4 benchmark models (Prophet_trend, MSTL_v2, ETS, DHR_ARIMA) and the Adaptive_Ensemble for market allocation. Global LGB already produces per-market forecasts directly from its recursive per-market inference loop — MinT is not needed for LGB, which is architecturally correct.</w:t>
      </w:r>
    </w:p>
    <w:p>
      <w:pPr>
        <w:spacing w:before="200" w:after="60"/>
      </w:pPr>
      <w:r>
        <w:rPr>
          <w:b/>
          <w:color w:val="2C3E50"/>
          <w:sz w:val="22"/>
        </w:rPr>
        <w:t>6.3 Remaining Gap — Market-Level P10/P90 Intervals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3CD"/>
            <w:tcBorders>
              <w:top w:val="single" w:sz="12" w:space="0" w:color="E6A817"/>
              <w:left w:val="single" w:sz="12" w:space="0" w:color="E6A817"/>
              <w:bottom w:val="single" w:sz="12" w:space="0" w:color="E6A817"/>
              <w:right w:val="single" w:sz="12" w:space="0" w:color="E6A817"/>
            </w:tcBorders>
          </w:tcPr>
          <w:p>
            <w:pPr>
              <w:spacing w:before="80" w:after="80"/>
              <w:ind w:left="144"/>
            </w:pPr>
            <w:r>
              <w:rPr>
                <w:b/>
                <w:color w:val="2C3E50"/>
                <w:sz w:val="20"/>
              </w:rPr>
              <w:t xml:space="preserve">P3 Gap:  </w:t>
            </w:r>
            <w:r>
              <w:rPr>
                <w:color w:val="2C3E50"/>
                <w:sz w:val="20"/>
              </w:rPr>
              <w:t>_coherent_allocate() sets p10 and p90 to np.nan for benchmark model market rows. Only the point forecast (p50) is MinT-reconciled at market level. For full interval coherence: apply derive_interval_adjustments() at market level after MinT allocation, using per-market holdout residuals.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007A87"/>
        </w:pBdr>
      </w:pPr>
      <w:r>
        <w:rPr>
          <w:b/>
          <w:color w:val="007A87"/>
          <w:sz w:val="26"/>
        </w:rPr>
        <w:t>7. PRODUCTION WRITE &amp; DATA INTEGRITY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84"/>
        <w:gridCol w:w="7200"/>
      </w:tblGrid>
      <w:tr>
        <w:tc>
          <w:tcPr>
            <w:tcW w:type="dxa" w:w="4536"/>
            <w:shd w:val="clear" w:color="auto" w:fill="1E8855"/>
            <w:tcBorders>
              <w:top w:val="single" w:sz="4" w:space="0" w:color="1E8855"/>
              <w:left w:val="single" w:sz="4" w:space="0" w:color="1E8855"/>
              <w:bottom w:val="single" w:sz="4" w:space="0" w:color="1E8855"/>
              <w:right w:val="single" w:sz="4" w:space="0" w:color="1E8855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9/10</w:t>
            </w:r>
          </w:p>
        </w:tc>
        <w:tc>
          <w:tcPr>
            <w:tcW w:type="dxa" w:w="4536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ind w:left="144"/>
            </w:pPr>
            <w:r>
              <w:rPr>
                <w:color w:val="2C3E50"/>
                <w:sz w:val="21"/>
              </w:rPr>
              <w:t>Production Write &amp; Data Integrity  (9/10)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5F5E3"/>
            <w:tcBorders>
              <w:top w:val="single" w:sz="12" w:space="0" w:color="1E8855"/>
              <w:left w:val="single" w:sz="12" w:space="0" w:color="1E8855"/>
              <w:bottom w:val="single" w:sz="12" w:space="0" w:color="1E8855"/>
              <w:right w:val="single" w:sz="12" w:space="0" w:color="1E8855"/>
            </w:tcBorders>
          </w:tcPr>
          <w:p>
            <w:pPr>
              <w:spacing w:before="80" w:after="80"/>
              <w:ind w:left="144"/>
            </w:pPr>
            <w:r>
              <w:rPr>
                <w:b/>
                <w:color w:val="2C3E50"/>
                <w:sz w:val="20"/>
              </w:rPr>
              <w:t xml:space="preserve">P0 Bug Fixed:  </w:t>
            </w:r>
            <w:r>
              <w:rPr>
                <w:color w:val="2C3E50"/>
                <w:sz w:val="20"/>
              </w:rPr>
              <w:t>V2's mode(overwrite) — destroying all forecast history on every notebook run — is fixed in V3. Both primary (itsg_forecast_v5) and legacy (itsg_forecast_v4) tables now use mode(append).option(mergeSchema, true). This was the most critical correctness issue in the entire V2 notebook.</w:t>
            </w:r>
          </w:p>
        </w:tc>
      </w:tr>
    </w:tbl>
    <w:p/>
    <w:p>
      <w:pPr>
        <w:spacing w:before="200" w:after="60"/>
      </w:pPr>
      <w:r>
        <w:rPr>
          <w:b/>
          <w:color w:val="2C3E50"/>
          <w:sz w:val="22"/>
        </w:rPr>
        <w:t>7.1 Production Write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8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Attribute</w:t>
            </w:r>
          </w:p>
        </w:tc>
        <w:tc>
          <w:tcPr>
            <w:tcW w:type="dxa" w:w="230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V2</w:t>
            </w:r>
          </w:p>
        </w:tc>
        <w:tc>
          <w:tcPr>
            <w:tcW w:type="dxa" w:w="288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V3</w:t>
            </w:r>
          </w:p>
        </w:tc>
        <w:tc>
          <w:tcPr>
            <w:tcW w:type="dxa" w:w="158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88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Write mode</w:t>
            </w:r>
          </w:p>
        </w:tc>
        <w:tc>
          <w:tcPr>
            <w:tcW w:type="dxa" w:w="2304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overwrite (destroys history)</w:t>
            </w:r>
          </w:p>
        </w:tc>
        <w:tc>
          <w:tcPr>
            <w:tcW w:type="dxa" w:w="288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append</w:t>
            </w:r>
          </w:p>
        </w:tc>
        <w:tc>
          <w:tcPr>
            <w:tcW w:type="dxa" w:w="1584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Fixed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Schema evolution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Not set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mergeSchema=true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Fixed</w:t>
            </w:r>
          </w:p>
        </w:tc>
      </w:tr>
      <w:tr>
        <w:tc>
          <w:tcPr>
            <w:tcW w:type="dxa" w:w="288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Partition strategy</w:t>
            </w:r>
          </w:p>
        </w:tc>
        <w:tc>
          <w:tcPr>
            <w:tcW w:type="dxa" w:w="2304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None</w:t>
            </w:r>
          </w:p>
        </w:tc>
        <w:tc>
          <w:tcPr>
            <w:tcW w:type="dxa" w:w="288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None — still missing</w:t>
            </w:r>
          </w:p>
        </w:tc>
        <w:tc>
          <w:tcPr>
            <w:tcW w:type="dxa" w:w="1584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P2 Gap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run_date_utc column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Missing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RUN_DATE_UTC added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Fixed</w:t>
            </w:r>
          </w:p>
        </w:tc>
      </w:tr>
      <w:tr>
        <w:tc>
          <w:tcPr>
            <w:tcW w:type="dxa" w:w="288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notebook_version</w:t>
            </w:r>
          </w:p>
        </w:tc>
        <w:tc>
          <w:tcPr>
            <w:tcW w:type="dxa" w:w="2304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Not set</w:t>
            </w:r>
          </w:p>
        </w:tc>
        <w:tc>
          <w:tcPr>
            <w:tcW w:type="dxa" w:w="288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'V3'</w:t>
            </w:r>
          </w:p>
        </w:tc>
        <w:tc>
          <w:tcPr>
            <w:tcW w:type="dxa" w:w="1584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Fixed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Primary output table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itsg_forecast_v4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itsg_forecast_v5 (new)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Versioned</w:t>
            </w:r>
          </w:p>
        </w:tc>
      </w:tr>
      <w:tr>
        <w:tc>
          <w:tcPr>
            <w:tcW w:type="dxa" w:w="288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Legacy table write</w:t>
            </w:r>
          </w:p>
        </w:tc>
        <w:tc>
          <w:tcPr>
            <w:tcW w:type="dxa" w:w="2304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—</w:t>
            </w:r>
          </w:p>
        </w:tc>
        <w:tc>
          <w:tcPr>
            <w:tcW w:type="dxa" w:w="288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itsg_forecast_v4 (backward compat)</w:t>
            </w:r>
          </w:p>
        </w:tc>
        <w:tc>
          <w:tcPr>
            <w:tcW w:type="dxa" w:w="1584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Intentional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Monitoring write mode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Missing entirely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append + mergeSchema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Fixed</w:t>
            </w:r>
          </w:p>
        </w:tc>
      </w:tr>
      <w:tr>
        <w:tc>
          <w:tcPr>
            <w:tcW w:type="dxa" w:w="288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Alert threshold column</w:t>
            </w:r>
          </w:p>
        </w:tc>
        <w:tc>
          <w:tcPr>
            <w:tcW w:type="dxa" w:w="2304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Missing</w:t>
            </w:r>
          </w:p>
        </w:tc>
        <w:tc>
          <w:tcPr>
            <w:tcW w:type="dxa" w:w="288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rolling_4w_wape_alert_threshold</w:t>
            </w:r>
          </w:p>
        </w:tc>
        <w:tc>
          <w:tcPr>
            <w:tcW w:type="dxa" w:w="1584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New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recommended_for_production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Missing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DHR + Ensemble flagged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New</w:t>
            </w:r>
          </w:p>
        </w:tc>
      </w:tr>
    </w:tbl>
    <w:p/>
    <w:p>
      <w:pPr>
        <w:spacing w:before="200" w:after="60"/>
      </w:pPr>
      <w:r>
        <w:rPr>
          <w:b/>
          <w:color w:val="2C3E50"/>
          <w:sz w:val="22"/>
        </w:rPr>
        <w:t>7.2 partitionBy Gap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3CD"/>
            <w:tcBorders>
              <w:top w:val="single" w:sz="12" w:space="0" w:color="E6A817"/>
              <w:left w:val="single" w:sz="12" w:space="0" w:color="E6A817"/>
              <w:bottom w:val="single" w:sz="12" w:space="0" w:color="E6A817"/>
              <w:right w:val="single" w:sz="12" w:space="0" w:color="E6A817"/>
            </w:tcBorders>
          </w:tcPr>
          <w:p>
            <w:pPr>
              <w:spacing w:before="80" w:after="80"/>
              <w:ind w:left="144"/>
            </w:pPr>
            <w:r>
              <w:rPr>
                <w:b/>
                <w:color w:val="2C3E50"/>
                <w:sz w:val="20"/>
              </w:rPr>
              <w:t xml:space="preserve">P2 Gap:  </w:t>
            </w:r>
            <w:r>
              <w:rPr>
                <w:color w:val="2C3E50"/>
                <w:sz w:val="20"/>
              </w:rPr>
              <w:t>Neither the primary nor legacy production table writes use .partitionBy(run_date_utc). As forecast history accumulates over months, Atlas app queries will degrade to full-table scans. Fix: spark.createDataFrame(production_output).write.mode("append").option("mergeSchema","true").partitionBy("run_date_utc").saveAsTable(table)</w:t>
            </w:r>
          </w:p>
        </w:tc>
      </w:tr>
    </w:tbl>
    <w:p/>
    <w:p>
      <w:pPr>
        <w:spacing w:before="200" w:after="60"/>
      </w:pPr>
      <w:r>
        <w:rPr>
          <w:b/>
          <w:color w:val="2C3E50"/>
          <w:sz w:val="22"/>
        </w:rPr>
        <w:t>7.3 Dual-Table Write</w:t>
      </w:r>
    </w:p>
    <w:p>
      <w:pPr>
        <w:spacing w:before="0" w:after="80"/>
      </w:pPr>
      <w:r>
        <w:rPr>
          <w:color w:val="2C3E50"/>
          <w:sz w:val="21"/>
        </w:rPr>
        <w:t>V3 writes to both itsg_forecast_v5 (new primary) and itsg_forecast_v4 (legacy). This is likely intentional for backward compatibility with Atlas app consumers. Risk: both tables grow indefinitely with identical data. Recommendation: document the deprecation timeline for v4 and create a consumer migration ticket.</w:t>
      </w:r>
    </w:p>
    <w:p>
      <w:r>
        <w:br w:type="page"/>
      </w:r>
    </w:p>
    <w:p>
      <w:pPr>
        <w:spacing w:before="280" w:after="80"/>
        <w:pBdr>
          <w:bottom w:val="single" w:sz="6" w:space="1" w:color="007A87"/>
        </w:pBdr>
      </w:pPr>
      <w:r>
        <w:rPr>
          <w:b/>
          <w:color w:val="007A87"/>
          <w:sz w:val="26"/>
        </w:rPr>
        <w:t>8. ORCHESTRATION &amp; MLOPS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84"/>
        <w:gridCol w:w="7200"/>
      </w:tblGrid>
      <w:tr>
        <w:tc>
          <w:tcPr>
            <w:tcW w:type="dxa" w:w="4536"/>
            <w:shd w:val="clear" w:color="auto" w:fill="E67E22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8/10</w:t>
            </w:r>
          </w:p>
        </w:tc>
        <w:tc>
          <w:tcPr>
            <w:tcW w:type="dxa" w:w="4536"/>
            <w:tcBorders>
              <w:top w:val="single" w:sz="4" w:space="0" w:color="EEEEEE"/>
              <w:left w:val="single" w:sz="4" w:space="0" w:color="EEEEEE"/>
              <w:bottom w:val="single" w:sz="4" w:space="0" w:color="EEEEEE"/>
              <w:right w:val="single" w:sz="4" w:space="0" w:color="EEEEEE"/>
            </w:tcBorders>
          </w:tcPr>
          <w:p>
            <w:pPr>
              <w:ind w:left="144"/>
            </w:pPr>
            <w:r>
              <w:rPr>
                <w:color w:val="2C3E50"/>
                <w:sz w:val="21"/>
              </w:rPr>
              <w:t>Orchestration &amp; MLOps  (8/10)</w:t>
            </w:r>
          </w:p>
        </w:tc>
      </w:tr>
    </w:tbl>
    <w:p/>
    <w:p>
      <w:pPr>
        <w:spacing w:before="200" w:after="60"/>
      </w:pPr>
      <w:r>
        <w:rPr>
          <w:b/>
          <w:color w:val="2C3E50"/>
          <w:sz w:val="22"/>
        </w:rPr>
        <w:t>8.1 MLflow — Complete Coverage Achieved</w:t>
      </w:r>
    </w:p>
    <w:p>
      <w:pPr>
        <w:spacing w:before="0" w:after="80"/>
      </w:pPr>
      <w:r>
        <w:rPr>
          <w:color w:val="2C3E50"/>
          <w:sz w:val="21"/>
        </w:rPr>
        <w:t>V2 tracked only LGB via MLflow. V3 adds tracking for all 5 models and the ensemble, with consistent naming conventions and comprehensive parameter + metric logging. Notably, LGB tracking includes best_iteration_p50 and top-10 feature importance by gain — enabling feature drift detection across notebook runs.</w:t>
      </w:r>
    </w:p>
    <w:p>
      <w:pPr>
        <w:spacing w:before="200" w:after="60"/>
      </w:pPr>
      <w:r>
        <w:rPr>
          <w:b/>
          <w:color w:val="2C3E50"/>
          <w:sz w:val="22"/>
        </w:rPr>
        <w:t>8.2 Remaining MLOps Gaps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3CD"/>
            <w:tcBorders>
              <w:top w:val="single" w:sz="12" w:space="0" w:color="E6A817"/>
              <w:left w:val="single" w:sz="12" w:space="0" w:color="E6A817"/>
              <w:bottom w:val="single" w:sz="12" w:space="0" w:color="E6A817"/>
              <w:right w:val="single" w:sz="12" w:space="0" w:color="E6A817"/>
            </w:tcBorders>
          </w:tcPr>
          <w:p>
            <w:pPr>
              <w:spacing w:before="80" w:after="80"/>
              <w:ind w:left="144"/>
            </w:pPr>
            <w:r>
              <w:rPr>
                <w:b/>
                <w:color w:val="2C3E50"/>
                <w:sz w:val="20"/>
              </w:rPr>
              <w:t xml:space="preserve">P2 Gap — No MLflow Model Registry:  </w:t>
            </w:r>
            <w:r>
              <w:rPr>
                <w:color w:val="2C3E50"/>
                <w:sz w:val="20"/>
              </w:rPr>
              <w:t>LGB models are tracked in MLflow experiments but not registered in MLflow Model Registry. Without Registry: no formal model versioning, no staging/production promotion workflow, no governance for who approved which model version. Fix: add mlflow.lightgbm.log_model() + mlflow.register_model() inside the LGB run.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3CD"/>
            <w:tcBorders>
              <w:top w:val="single" w:sz="12" w:space="0" w:color="E6A817"/>
              <w:left w:val="single" w:sz="12" w:space="0" w:color="E6A817"/>
              <w:bottom w:val="single" w:sz="12" w:space="0" w:color="E6A817"/>
              <w:right w:val="single" w:sz="12" w:space="0" w:color="E6A817"/>
            </w:tcBorders>
          </w:tcPr>
          <w:p>
            <w:pPr>
              <w:spacing w:before="80" w:after="80"/>
              <w:ind w:left="144"/>
            </w:pPr>
            <w:r>
              <w:rPr>
                <w:b/>
                <w:color w:val="2C3E50"/>
                <w:sz w:val="20"/>
              </w:rPr>
              <w:t xml:space="preserve">P2 Gap — No Databricks Job / Scheduler:  </w:t>
            </w:r>
            <w:r>
              <w:rPr>
                <w:color w:val="2C3E50"/>
                <w:sz w:val="20"/>
              </w:rPr>
              <w:t>The notebook has no associated Databricks Job or scheduling configuration. Production cadence (weekly Monday post-data-load) is not automated. Consequences: depends on manual execution, no retry on failure, no alerting. Fix: register notebook as a Databricks Workflow with weekly trigger + Slack/email notification.</w:t>
            </w:r>
          </w:p>
        </w:tc>
      </w:tr>
    </w:tbl>
    <w:p/>
    <w:p>
      <w:pPr>
        <w:spacing w:before="200" w:after="60"/>
      </w:pPr>
      <w:r>
        <w:rPr>
          <w:b/>
          <w:color w:val="2C3E50"/>
          <w:sz w:val="22"/>
        </w:rPr>
        <w:t>8.3 Weight Drift Detection — V3 Improvement</w:t>
      </w:r>
    </w:p>
    <w:p>
      <w:pPr>
        <w:spacing w:before="0" w:after="80"/>
      </w:pPr>
      <w:r>
        <w:rPr>
          <w:color w:val="2C3E50"/>
          <w:sz w:val="21"/>
        </w:rPr>
        <w:t>V3 logs ensemble weights to MLflow (itsg_adaptive_ensemble_weights) on every run. This enables weight drift detection over time: if DHR_ARIMA's weight drops significantly, it signals model degradation before it becomes visible in production WAPE. This is a production-maturity indicator that goes beyond what most ML notebooks implement.</w:t>
      </w:r>
    </w:p>
    <w:p>
      <w:r>
        <w:br w:type="page"/>
      </w:r>
    </w:p>
    <w:p>
      <w:pPr>
        <w:spacing w:before="280" w:after="80"/>
        <w:pBdr>
          <w:bottom w:val="single" w:sz="6" w:space="1" w:color="007A87"/>
        </w:pBdr>
      </w:pPr>
      <w:r>
        <w:rPr>
          <w:b/>
          <w:color w:val="007A87"/>
          <w:sz w:val="26"/>
        </w:rPr>
        <w:t>9. FINAL SCORECARD &amp; IMPROVEMENT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07A87"/>
          </w:tcPr>
          <w:p>
            <w:pPr>
              <w:spacing w:before="160" w:after="80"/>
              <w:jc w:val="center"/>
            </w:pPr>
            <w:r>
              <w:rPr>
                <w:b/>
                <w:color w:val="FFFFFF"/>
                <w:sz w:val="32"/>
              </w:rPr>
              <w:t>ITSG V3  —  OVERALL SCORE:  95 / 100</w:t>
            </w:r>
          </w:p>
          <w:p>
            <w:pPr>
              <w:spacing w:after="160"/>
              <w:jc w:val="center"/>
            </w:pPr>
            <w:r>
              <w:rPr>
                <w:i/>
                <w:color w:val="FFFFFF"/>
                <w:sz w:val="20"/>
              </w:rPr>
              <w:t>Production-Grade  ·  Elite-Approaching  |  Score Progression: 73 -&gt; 88 -&gt; 95</w:t>
            </w:r>
          </w:p>
        </w:tc>
      </w:tr>
    </w:tbl>
    <w:p/>
    <w:p>
      <w:pPr>
        <w:spacing w:before="200" w:after="60"/>
      </w:pPr>
      <w:r>
        <w:rPr>
          <w:b/>
          <w:color w:val="2C3E50"/>
          <w:sz w:val="22"/>
        </w:rPr>
        <w:t>9.1 Section Scores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74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86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Score</w:t>
            </w:r>
          </w:p>
        </w:tc>
        <w:tc>
          <w:tcPr>
            <w:tcW w:type="dxa" w:w="72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Max</w:t>
            </w:r>
          </w:p>
        </w:tc>
        <w:tc>
          <w:tcPr>
            <w:tcW w:type="dxa" w:w="432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 Finding</w:t>
            </w:r>
          </w:p>
        </w:tc>
      </w:tr>
      <w:tr>
        <w:tc>
          <w:tcPr>
            <w:tcW w:type="dxa" w:w="3744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Data Pipeline &amp; Feature Engineering</w:t>
            </w:r>
          </w:p>
        </w:tc>
        <w:tc>
          <w:tcPr>
            <w:tcW w:type="dxa" w:w="864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19</w:t>
            </w:r>
          </w:p>
        </w:tc>
        <w:tc>
          <w:tcPr>
            <w:tcW w:type="dxa" w:w="72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20</w:t>
            </w:r>
          </w:p>
        </w:tc>
        <w:tc>
          <w:tcPr>
            <w:tcW w:type="dxa" w:w="432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39 features; region_holiday; y_lag52; leakage prevention verified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Cross-Validation Framework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10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10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8-fold walk-forward; WAPE floor context documented in exec summary</w:t>
            </w:r>
          </w:p>
        </w:tc>
      </w:tr>
      <w:tr>
        <w:tc>
          <w:tcPr>
            <w:tcW w:type="dxa" w:w="3744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Benchmark Models</w:t>
            </w:r>
          </w:p>
        </w:tc>
        <w:tc>
          <w:tcPr>
            <w:tcW w:type="dxa" w:w="864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19</w:t>
            </w:r>
          </w:p>
        </w:tc>
        <w:tc>
          <w:tcPr>
            <w:tcW w:type="dxa" w:w="72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20</w:t>
            </w:r>
          </w:p>
        </w:tc>
        <w:tc>
          <w:tcPr>
            <w:tcW w:type="dxa" w:w="432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All 5 models; DHR 14 regressors; MLflow complete; no Model Registry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Ensemble Methodology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9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10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GR implemented; MC calibration active; equal-weight fallback currently in use</w:t>
            </w:r>
          </w:p>
        </w:tc>
      </w:tr>
      <w:tr>
        <w:tc>
          <w:tcPr>
            <w:tcW w:type="dxa" w:w="3744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Hierarchical Reconciliation</w:t>
            </w:r>
          </w:p>
        </w:tc>
        <w:tc>
          <w:tcPr>
            <w:tcW w:type="dxa" w:w="864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9</w:t>
            </w:r>
          </w:p>
        </w:tc>
        <w:tc>
          <w:tcPr>
            <w:tcW w:type="dxa" w:w="72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10</w:t>
            </w:r>
          </w:p>
        </w:tc>
        <w:tc>
          <w:tcPr>
            <w:tcW w:type="dxa" w:w="432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MinT fully implemented; market P10/P90 intervals not reconciled (NaN)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Production Write &amp; Data Integrity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9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10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P0 overwrite bug fixed; no partitionBy on either production table</w:t>
            </w:r>
          </w:p>
        </w:tc>
      </w:tr>
      <w:tr>
        <w:tc>
          <w:tcPr>
            <w:tcW w:type="dxa" w:w="3744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Orchestration &amp; MLOps</w:t>
            </w:r>
          </w:p>
        </w:tc>
        <w:tc>
          <w:tcPr>
            <w:tcW w:type="dxa" w:w="864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8</w:t>
            </w:r>
          </w:p>
        </w:tc>
        <w:tc>
          <w:tcPr>
            <w:tcW w:type="dxa" w:w="72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10</w:t>
            </w:r>
          </w:p>
        </w:tc>
        <w:tc>
          <w:tcPr>
            <w:tcW w:type="dxa" w:w="432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Full MLflow tracking; no Model Registry; no Databricks Job</w:t>
            </w:r>
          </w:p>
        </w:tc>
      </w:tr>
      <w:tr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Documentation (+bonus)</w:t>
            </w:r>
          </w:p>
        </w:tc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12</w:t>
            </w:r>
          </w:p>
        </w:tc>
        <w:tc>
          <w:tcPr>
            <w:tcW w:type="dxa" w:w="720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10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+2: Cell 8 exec summary; self-documented changelog; NOTEBOOK_VERSION=V3</w:t>
            </w:r>
          </w:p>
        </w:tc>
      </w:tr>
      <w:tr>
        <w:tc>
          <w:tcPr>
            <w:tcW w:type="dxa" w:w="3744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TOTAL</w:t>
            </w:r>
          </w:p>
        </w:tc>
        <w:tc>
          <w:tcPr>
            <w:tcW w:type="dxa" w:w="864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95</w:t>
            </w:r>
          </w:p>
        </w:tc>
        <w:tc>
          <w:tcPr>
            <w:tcW w:type="dxa" w:w="72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100</w:t>
            </w:r>
          </w:p>
        </w:tc>
        <w:tc>
          <w:tcPr>
            <w:tcW w:type="dxa" w:w="432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Production-Grade, Elite-Approaching — deploy-ready with partitionBy fix</w:t>
            </w:r>
          </w:p>
        </w:tc>
      </w:tr>
    </w:tbl>
    <w:p/>
    <w:p>
      <w:pPr>
        <w:spacing w:before="200" w:after="60"/>
      </w:pPr>
      <w:r>
        <w:rPr>
          <w:b/>
          <w:color w:val="2C3E50"/>
          <w:sz w:val="22"/>
        </w:rPr>
        <w:t>9.2 Priority Improvement Roadmap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08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432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1152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Gain</w:t>
            </w:r>
          </w:p>
        </w:tc>
        <w:tc>
          <w:tcPr>
            <w:tcW w:type="dxa" w:w="1296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Effort</w:t>
            </w:r>
          </w:p>
        </w:tc>
      </w:tr>
      <w:tr>
        <w:tc>
          <w:tcPr>
            <w:tcW w:type="dxa" w:w="100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P1</w:t>
            </w:r>
          </w:p>
        </w:tc>
        <w:tc>
          <w:tcPr>
            <w:tcW w:type="dxa" w:w="432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Add .partitionBy("run_date_utc") to both saveAsTable() calls</w:t>
            </w:r>
          </w:p>
        </w:tc>
        <w:tc>
          <w:tcPr>
            <w:tcW w:type="dxa" w:w="1152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+1 pt</w:t>
            </w:r>
          </w:p>
        </w:tc>
        <w:tc>
          <w:tcPr>
            <w:tcW w:type="dxa" w:w="1296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30 min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P2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Extend GR covariance to use CV residuals; log condition number to MLflow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+1 pt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2 hrs</w:t>
            </w:r>
          </w:p>
        </w:tc>
      </w:tr>
      <w:tr>
        <w:tc>
          <w:tcPr>
            <w:tcW w:type="dxa" w:w="100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P2</w:t>
            </w:r>
          </w:p>
        </w:tc>
        <w:tc>
          <w:tcPr>
            <w:tcW w:type="dxa" w:w="432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Register LGB in MLflow Model Registry: log_model() + register_model()</w:t>
            </w:r>
          </w:p>
        </w:tc>
        <w:tc>
          <w:tcPr>
            <w:tcW w:type="dxa" w:w="1152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+0.5 pt</w:t>
            </w:r>
          </w:p>
        </w:tc>
        <w:tc>
          <w:tcPr>
            <w:tcW w:type="dxa" w:w="1296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1 hr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P2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Register notebook as Databricks Weekly Job with failure notifications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+0.5 pt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2 hrs</w:t>
            </w:r>
          </w:p>
        </w:tc>
      </w:tr>
      <w:tr>
        <w:tc>
          <w:tcPr>
            <w:tcW w:type="dxa" w:w="100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P3</w:t>
            </w:r>
          </w:p>
        </w:tc>
        <w:tc>
          <w:tcPr>
            <w:tcW w:type="dxa" w:w="432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Reconcile market P10/P90 via derive_interval_adjustments at market level</w:t>
            </w:r>
          </w:p>
        </w:tc>
        <w:tc>
          <w:tcPr>
            <w:tcW w:type="dxa" w:w="1152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+0.5 pt</w:t>
            </w:r>
          </w:p>
        </w:tc>
        <w:tc>
          <w:tcPr>
            <w:tcW w:type="dxa" w:w="1296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3 hrs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P3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Document v4 legacy write deprecation timeline; create consumer migration ticket</w:t>
            </w:r>
          </w:p>
        </w:tc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+0.5 pt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15 min</w:t>
            </w:r>
          </w:p>
        </w:tc>
      </w:tr>
    </w:tbl>
    <w:p/>
    <w:p>
      <w:pPr>
        <w:spacing w:before="200" w:after="60"/>
      </w:pPr>
      <w:r>
        <w:rPr>
          <w:b/>
          <w:color w:val="2C3E50"/>
          <w:sz w:val="22"/>
        </w:rPr>
        <w:t>9.3 V3 Standout Achievements</w:t>
      </w:r>
    </w:p>
    <w:p>
      <w:pPr>
        <w:pStyle w:val="ListBullet"/>
        <w:spacing w:before="20" w:after="40"/>
        <w:ind w:left="360"/>
      </w:pPr>
      <w:r>
        <w:rPr>
          <w:color w:val="2C3E50"/>
          <w:sz w:val="20"/>
        </w:rPr>
        <w:t>P0 Production Bug Eliminated: mode(overwrite) -&gt; mode(append) + mergeSchema. All forecast history is now preserved across runs. This was the most critical issue in V2.</w:t>
      </w:r>
    </w:p>
    <w:p>
      <w:pPr>
        <w:pStyle w:val="ListBullet"/>
        <w:spacing w:before="20" w:after="40"/>
        <w:ind w:left="360"/>
      </w:pPr>
      <w:r>
        <w:rPr>
          <w:color w:val="2C3E50"/>
          <w:sz w:val="20"/>
        </w:rPr>
        <w:t>MinT Reconciliation Complete: Mathematically correct covariance-optimal allocation from total to 5 markets, applied to all 4 benchmark models and the ensemble. Covariance estimated from CV residuals with robust fallback.</w:t>
      </w:r>
    </w:p>
    <w:p>
      <w:pPr>
        <w:pStyle w:val="ListBullet"/>
        <w:spacing w:before="20" w:after="40"/>
        <w:ind w:left="360"/>
      </w:pPr>
      <w:r>
        <w:rPr>
          <w:color w:val="2C3E50"/>
          <w:sz w:val="20"/>
        </w:rPr>
        <w:t>MC Calibration Layer Active: _add_monthly_mc_scale() applies RSG-IT authoritative actuals correction to Prophet_trend, clipped to [0.5, 2.0] for robustness. Applied before GR weighting — correct construction order.</w:t>
      </w:r>
    </w:p>
    <w:p>
      <w:pPr>
        <w:pStyle w:val="ListBullet"/>
        <w:spacing w:before="20" w:after="40"/>
        <w:ind w:left="360"/>
      </w:pPr>
      <w:r>
        <w:rPr>
          <w:color w:val="2C3E50"/>
          <w:sz w:val="20"/>
        </w:rPr>
        <w:t>Complete MLflow Coverage: All 5 models + ensemble weights tracked with consistent naming and comprehensive parameters. Weight drift detectable across production runs.</w:t>
      </w:r>
    </w:p>
    <w:p>
      <w:pPr>
        <w:pStyle w:val="ListBullet"/>
        <w:spacing w:before="20" w:after="40"/>
        <w:ind w:left="360"/>
      </w:pPr>
      <w:r>
        <w:rPr>
          <w:color w:val="2C3E50"/>
          <w:sz w:val="20"/>
        </w:rPr>
        <w:t>region_holiday: Market-aware holiday calendar eliminates US-centric bias for APAC (India) and EMEA (UK + Germany) markets. Implemented correctly at weekly grain.</w:t>
      </w:r>
    </w:p>
    <w:p>
      <w:pPr>
        <w:pStyle w:val="ListBullet"/>
        <w:spacing w:before="20" w:after="40"/>
        <w:ind w:left="360"/>
      </w:pPr>
      <w:r>
        <w:rPr>
          <w:color w:val="2C3E50"/>
          <w:sz w:val="20"/>
        </w:rPr>
        <w:t>Self-Documenting: Cell 8 executive summary embeds the V3 changelog, WAPE context, and improvement targets directly in the notebook — the mark of a mature production codebase.</w:t>
      </w:r>
    </w:p>
    <w:p>
      <w:pPr>
        <w:spacing w:before="200" w:after="60"/>
      </w:pPr>
      <w:r>
        <w:rPr>
          <w:b/>
          <w:color w:val="2C3E50"/>
          <w:sz w:val="22"/>
        </w:rPr>
        <w:t>9.4 ITSG vs UCC V9 — Convergence Assessment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88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Notebook</w:t>
            </w:r>
          </w:p>
        </w:tc>
        <w:tc>
          <w:tcPr>
            <w:tcW w:type="dxa" w:w="1008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008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Score</w:t>
            </w:r>
          </w:p>
        </w:tc>
        <w:tc>
          <w:tcPr>
            <w:tcW w:type="dxa" w:w="3168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Classification</w:t>
            </w:r>
          </w:p>
        </w:tc>
        <w:tc>
          <w:tcPr>
            <w:tcW w:type="dxa" w:w="1584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Gap vs 100</w:t>
            </w:r>
          </w:p>
        </w:tc>
      </w:tr>
      <w:tr>
        <w:tc>
          <w:tcPr>
            <w:tcW w:type="dxa" w:w="288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ITSG Growth ARR</w:t>
            </w:r>
          </w:p>
        </w:tc>
        <w:tc>
          <w:tcPr>
            <w:tcW w:type="dxa" w:w="100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V1</w:t>
            </w:r>
          </w:p>
        </w:tc>
        <w:tc>
          <w:tcPr>
            <w:tcW w:type="dxa" w:w="100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73/100</w:t>
            </w:r>
          </w:p>
        </w:tc>
        <w:tc>
          <w:tcPr>
            <w:tcW w:type="dxa" w:w="316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Research-Grade</w:t>
            </w:r>
          </w:p>
        </w:tc>
        <w:tc>
          <w:tcPr>
            <w:tcW w:type="dxa" w:w="1584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-27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ITSG Growth ARR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V2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88/100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Production-Ready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-12</w:t>
            </w:r>
          </w:p>
        </w:tc>
      </w:tr>
      <w:tr>
        <w:tc>
          <w:tcPr>
            <w:tcW w:type="dxa" w:w="2880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ITSG Growth ARR</w:t>
            </w:r>
          </w:p>
        </w:tc>
        <w:tc>
          <w:tcPr>
            <w:tcW w:type="dxa" w:w="100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V3</w:t>
            </w:r>
          </w:p>
        </w:tc>
        <w:tc>
          <w:tcPr>
            <w:tcW w:type="dxa" w:w="100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95/100</w:t>
            </w:r>
          </w:p>
        </w:tc>
        <w:tc>
          <w:tcPr>
            <w:tcW w:type="dxa" w:w="3168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Production-Grade, Elite-Approaching</w:t>
            </w:r>
          </w:p>
        </w:tc>
        <w:tc>
          <w:tcPr>
            <w:tcW w:type="dxa" w:w="1584"/>
            <w:shd w:val="clear" w:color="auto" w:fill="F4F6F7"/>
          </w:tcPr>
          <w:p>
            <w:pPr>
              <w:jc w:val="left"/>
            </w:pPr>
            <w:r>
              <w:rPr>
                <w:color w:val="2C3E50"/>
                <w:sz w:val="19"/>
              </w:rPr>
              <w:t>-5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UCC Forecast Foundation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V9</w:t>
            </w:r>
          </w:p>
        </w:tc>
        <w:tc>
          <w:tcPr>
            <w:tcW w:type="dxa" w:w="100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97/100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Production-Grade, Elite-Approaching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color w:val="2C3E50"/>
                <w:sz w:val="19"/>
              </w:rPr>
              <w:t>-3</w:t>
            </w:r>
          </w:p>
        </w:tc>
      </w:tr>
    </w:tbl>
    <w:p/>
    <w:p>
      <w:pPr>
        <w:spacing w:before="0" w:after="80"/>
      </w:pPr>
      <w:r>
        <w:rPr>
          <w:color w:val="2C3E50"/>
          <w:sz w:val="21"/>
        </w:rPr>
        <w:t>ITSG V3 closes the gap with UCC V9 to just 2 points. The remaining difference reflects UCC V9's build_profile_lookup() for future panel imputation (no ITSG equivalent), and operational items (partitionBy, Databricks Job) that both notebooks still lack. ITSG V3 is production-ready for Atlas Executive Insights consumption.</w:t>
      </w:r>
    </w:p>
    <w:p/>
    <w:p>
      <w:pPr>
        <w:jc w:val="center"/>
      </w:pPr>
      <w:r>
        <w:rPr>
          <w:i/>
          <w:color w:val="5D6D7E"/>
          <w:sz w:val="19"/>
        </w:rPr>
        <w:t>— End of Expert Review —</w:t>
      </w:r>
    </w:p>
    <w:p>
      <w:pPr>
        <w:jc w:val="center"/>
      </w:pPr>
      <w:r>
        <w:rPr>
          <w:i/>
          <w:color w:val="5D6D7E"/>
          <w:sz w:val="17"/>
        </w:rPr>
        <w:t>Source: ITSG Growth ARR Forecasting and Model Validation (3).ipynb  |  Output table: datagroup_mdl.mdl_sales_analytics.itsg_forecast_v5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