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7AB"/>
          <w:sz w:val="44"/>
        </w:rPr>
        <w:t>ITSG ARR FORECASTING NOTEBOOK</w:t>
      </w:r>
    </w:p>
    <w:p>
      <w:pPr>
        <w:jc w:val="center"/>
      </w:pPr>
      <w:r>
        <w:rPr>
          <w:b/>
          <w:color w:val="333333"/>
          <w:sz w:val="30"/>
        </w:rPr>
        <w:t>Expert Review — ITSG Forecast Foundation.ipynb</w:t>
      </w:r>
    </w:p>
    <w:p/>
    <w:tbl>
      <w:tblPr>
        <w:tblStyle w:val="TableGrid"/>
        <w:tblW w:type="auto" w:w="0"/>
        <w:tblLook w:firstColumn="1" w:firstRow="1" w:lastColumn="0" w:lastRow="0" w:noHBand="0" w:noVBand="1" w:val="04A0"/>
      </w:tblPr>
      <w:tblGrid>
        <w:gridCol w:w="4680"/>
        <w:gridCol w:w="4680"/>
      </w:tblGrid>
      <w:tr>
        <w:tc>
          <w:tcPr>
            <w:tcW w:type="dxa" w:w="3456"/>
          </w:tcPr>
          <w:p>
            <w:r>
              <w:rPr>
                <w:b/>
                <w:color w:val="0047AB"/>
                <w:sz w:val="20"/>
              </w:rPr>
              <w:t>Notebook</w:t>
            </w:r>
          </w:p>
        </w:tc>
        <w:tc>
          <w:tcPr>
            <w:tcW w:type="dxa" w:w="6336"/>
          </w:tcPr>
          <w:p>
            <w:r>
              <w:rPr>
                <w:color w:val="333333"/>
                <w:sz w:val="20"/>
              </w:rPr>
              <w:t>ITSG Forecast Foundation.ipynb — 8 Cells</w:t>
            </w:r>
          </w:p>
        </w:tc>
      </w:tr>
      <w:tr>
        <w:tc>
          <w:tcPr>
            <w:tcW w:type="dxa" w:w="3456"/>
          </w:tcPr>
          <w:p>
            <w:r>
              <w:rPr>
                <w:b/>
                <w:color w:val="0047AB"/>
                <w:sz w:val="20"/>
              </w:rPr>
              <w:t>Review Date</w:t>
            </w:r>
          </w:p>
        </w:tc>
        <w:tc>
          <w:tcPr>
            <w:tcW w:type="dxa" w:w="6336"/>
          </w:tcPr>
          <w:p>
            <w:r>
              <w:rPr>
                <w:color w:val="333333"/>
                <w:sz w:val="20"/>
              </w:rPr>
              <w:t>July 2, 2026</w:t>
            </w:r>
          </w:p>
        </w:tc>
      </w:tr>
      <w:tr>
        <w:tc>
          <w:tcPr>
            <w:tcW w:type="dxa" w:w="3456"/>
          </w:tcPr>
          <w:p>
            <w:r>
              <w:rPr>
                <w:b/>
                <w:color w:val="0047AB"/>
                <w:sz w:val="20"/>
              </w:rPr>
              <w:t>Author</w:t>
            </w:r>
          </w:p>
        </w:tc>
        <w:tc>
          <w:tcPr>
            <w:tcW w:type="dxa" w:w="6336"/>
          </w:tcPr>
          <w:p>
            <w:r>
              <w:rPr>
                <w:color w:val="333333"/>
                <w:sz w:val="20"/>
              </w:rPr>
              <w:t>Atlas Executive Insights — AI Review Engine</w:t>
            </w:r>
          </w:p>
        </w:tc>
      </w:tr>
      <w:tr>
        <w:tc>
          <w:tcPr>
            <w:tcW w:type="dxa" w:w="3456"/>
          </w:tcPr>
          <w:p>
            <w:r>
              <w:rPr>
                <w:b/>
                <w:color w:val="0047AB"/>
                <w:sz w:val="20"/>
              </w:rPr>
              <w:t>Audience</w:t>
            </w:r>
          </w:p>
        </w:tc>
        <w:tc>
          <w:tcPr>
            <w:tcW w:type="dxa" w:w="6336"/>
          </w:tcPr>
          <w:p>
            <w:r>
              <w:rPr>
                <w:color w:val="333333"/>
                <w:sz w:val="20"/>
              </w:rPr>
              <w:t>Data Science Lead, Revenue Engineering, GTM Finance</w:t>
            </w:r>
          </w:p>
        </w:tc>
      </w:tr>
      <w:tr>
        <w:tc>
          <w:tcPr>
            <w:tcW w:type="dxa" w:w="3456"/>
          </w:tcPr>
          <w:p>
            <w:r>
              <w:rPr>
                <w:b/>
                <w:color w:val="0047AB"/>
                <w:sz w:val="20"/>
              </w:rPr>
              <w:t>Scope</w:t>
            </w:r>
          </w:p>
        </w:tc>
        <w:tc>
          <w:tcPr>
            <w:tcW w:type="dxa" w:w="6336"/>
          </w:tcPr>
          <w:p>
            <w:r>
              <w:rPr>
                <w:color w:val="333333"/>
                <w:sz w:val="20"/>
              </w:rPr>
              <w:t>Full 9-section expert review vs UCC V7 benchmark</w:t>
            </w:r>
          </w:p>
        </w:tc>
      </w:tr>
      <w:tr>
        <w:tc>
          <w:tcPr>
            <w:tcW w:type="dxa" w:w="3456"/>
          </w:tcPr>
          <w:p>
            <w:r>
              <w:rPr>
                <w:b/>
                <w:color w:val="0047AB"/>
                <w:sz w:val="20"/>
              </w:rPr>
              <w:t>Product Scope</w:t>
            </w:r>
          </w:p>
        </w:tc>
        <w:tc>
          <w:tcPr>
            <w:tcW w:type="dxa" w:w="6336"/>
          </w:tcPr>
          <w:p>
            <w:r>
              <w:rPr>
                <w:color w:val="333333"/>
                <w:sz w:val="20"/>
              </w:rPr>
              <w:t>ITSG Growth bookings only (is_won, excluding Care/Sales Other)</w:t>
            </w:r>
          </w:p>
        </w:tc>
      </w:tr>
      <w:tr>
        <w:tc>
          <w:tcPr>
            <w:tcW w:type="dxa" w:w="3456"/>
          </w:tcPr>
          <w:p>
            <w:r>
              <w:rPr>
                <w:b/>
                <w:color w:val="0047AB"/>
                <w:sz w:val="20"/>
              </w:rPr>
              <w:t>ARR Column</w:t>
            </w:r>
          </w:p>
        </w:tc>
        <w:tc>
          <w:tcPr>
            <w:tcW w:type="dxa" w:w="6336"/>
          </w:tcPr>
          <w:p>
            <w:r>
              <w:rPr>
                <w:color w:val="333333"/>
                <w:sz w:val="20"/>
              </w:rPr>
              <w:t>total_amount (vs amount_towards_plan in UCC — KEY DIFFERENCE)</w:t>
            </w:r>
          </w:p>
        </w:tc>
      </w:tr>
      <w:tr>
        <w:tc>
          <w:tcPr>
            <w:tcW w:type="dxa" w:w="3456"/>
          </w:tcPr>
          <w:p>
            <w:r>
              <w:rPr>
                <w:b/>
                <w:color w:val="0047AB"/>
                <w:sz w:val="20"/>
              </w:rPr>
              <w:t>Actuals Product Code</w:t>
            </w:r>
          </w:p>
        </w:tc>
        <w:tc>
          <w:tcPr>
            <w:tcW w:type="dxa" w:w="6336"/>
          </w:tcPr>
          <w:p>
            <w:r>
              <w:rPr>
                <w:color w:val="333333"/>
                <w:sz w:val="20"/>
              </w:rPr>
              <w:t>RSG-IT (in datagroup.uc_forecast.actuals)</w:t>
            </w:r>
          </w:p>
        </w:tc>
      </w:tr>
      <w:tr>
        <w:tc>
          <w:tcPr>
            <w:tcW w:type="dxa" w:w="3456"/>
          </w:tcPr>
          <w:p>
            <w:r>
              <w:rPr>
                <w:b/>
                <w:color w:val="0047AB"/>
                <w:sz w:val="20"/>
              </w:rPr>
              <w:t>Primary Output</w:t>
            </w:r>
          </w:p>
        </w:tc>
        <w:tc>
          <w:tcPr>
            <w:tcW w:type="dxa" w:w="6336"/>
          </w:tcPr>
          <w:p>
            <w:r>
              <w:rPr>
                <w:color w:val="333333"/>
                <w:sz w:val="20"/>
              </w:rPr>
              <w:t>datagroup_mdl.mdl_sales_analytics.itsg_forecast_v5</w:t>
            </w:r>
          </w:p>
        </w:tc>
      </w:tr>
      <w:tr>
        <w:tc>
          <w:tcPr>
            <w:tcW w:type="dxa" w:w="3456"/>
          </w:tcPr>
          <w:p>
            <w:r>
              <w:rPr>
                <w:b/>
                <w:color w:val="0047AB"/>
                <w:sz w:val="20"/>
              </w:rPr>
              <w:t>Legacy Output</w:t>
            </w:r>
          </w:p>
        </w:tc>
        <w:tc>
          <w:tcPr>
            <w:tcW w:type="dxa" w:w="6336"/>
          </w:tcPr>
          <w:p>
            <w:r>
              <w:rPr>
                <w:color w:val="333333"/>
                <w:sz w:val="20"/>
              </w:rPr>
              <w:t>datagroup_mdl.mdl_sales_analytics.itsg_forecast_v4</w:t>
            </w:r>
          </w:p>
        </w:tc>
      </w:tr>
      <w:tr>
        <w:tc>
          <w:tcPr>
            <w:tcW w:type="dxa" w:w="3456"/>
          </w:tcPr>
          <w:p>
            <w:r>
              <w:rPr>
                <w:b/>
                <w:color w:val="0047AB"/>
                <w:sz w:val="20"/>
              </w:rPr>
              <w:t>Monitoring Table</w:t>
            </w:r>
          </w:p>
        </w:tc>
        <w:tc>
          <w:tcPr>
            <w:tcW w:type="dxa" w:w="6336"/>
          </w:tcPr>
          <w:p>
            <w:r>
              <w:rPr>
                <w:color w:val="333333"/>
                <w:sz w:val="20"/>
              </w:rPr>
              <w:t>datagroup_mdl.mdl_sales_analytics.itsg_forecast_monitoring_baseline (WRITTEN)</w:t>
            </w:r>
          </w:p>
        </w:tc>
      </w:tr>
      <w:tr>
        <w:tc>
          <w:tcPr>
            <w:tcW w:type="dxa" w:w="3456"/>
          </w:tcPr>
          <w:p>
            <w:r>
              <w:rPr>
                <w:b/>
                <w:color w:val="0047AB"/>
                <w:sz w:val="20"/>
              </w:rPr>
              <w:t>Features (LGB)</w:t>
            </w:r>
          </w:p>
        </w:tc>
        <w:tc>
          <w:tcPr>
            <w:tcW w:type="dxa" w:w="6336"/>
          </w:tcPr>
          <w:p>
            <w:r>
              <w:rPr>
                <w:color w:val="333333"/>
                <w:sz w:val="20"/>
              </w:rPr>
              <w:t>36 GLOBAL_FEATURE_COLS (vs 39 in UCC V7)</w:t>
            </w:r>
          </w:p>
        </w:tc>
      </w:tr>
      <w:tr>
        <w:tc>
          <w:tcPr>
            <w:tcW w:type="dxa" w:w="3456"/>
          </w:tcPr>
          <w:p>
            <w:r>
              <w:rPr>
                <w:b/>
                <w:color w:val="0047AB"/>
                <w:sz w:val="20"/>
              </w:rPr>
              <w:t>Overall Maturity</w:t>
            </w:r>
          </w:p>
        </w:tc>
        <w:tc>
          <w:tcPr>
            <w:tcW w:type="dxa" w:w="6336"/>
          </w:tcPr>
          <w:p>
            <w:r>
              <w:rPr>
                <w:color w:val="333333"/>
                <w:sz w:val="20"/>
              </w:rPr>
              <w:t>62/100 — significant gaps vs UCC V7 (91/100)</w:t>
            </w:r>
          </w:p>
        </w:tc>
      </w:tr>
    </w:tbl>
    <w:p>
      <w:r>
        <w:br w:type="page"/>
      </w:r>
    </w:p>
    <w:p>
      <w:pPr>
        <w:pStyle w:val="Heading1"/>
      </w:pPr>
      <w:r>
        <w:rPr>
          <w:b/>
          <w:color w:val="0047AB"/>
        </w:rPr>
        <w:t>Section 0: Critical Issues — Why ITSG Forecast Is Worse</w:t>
      </w:r>
    </w:p>
    <w:p>
      <w:pPr>
        <w:spacing w:after="120"/>
      </w:pPr>
      <w:r>
        <w:rPr>
          <w:b/>
          <w:i w:val="0"/>
          <w:color w:val="333333"/>
          <w:sz w:val="21"/>
        </w:rPr>
        <w:t>The ITSG notebook is cloned from the UCC foundation but has diverged significantly — and not in a good direction. It lacks most of the accuracy improvements added to UCC V3 through V7 and introduces several new issues specific to ITSG. This section identifies the root causes of poor forecast accuracy before the detailed review.</w:t>
      </w:r>
    </w:p>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0047AB"/>
          </w:tcPr>
          <w:p>
            <w:r>
              <w:rPr>
                <w:b/>
                <w:color w:val="FFFFFF"/>
                <w:sz w:val="20"/>
              </w:rPr>
              <w:t>Severity</w:t>
            </w:r>
          </w:p>
        </w:tc>
        <w:tc>
          <w:tcPr>
            <w:tcW w:type="dxa" w:w="4608"/>
            <w:shd w:val="clear" w:color="auto" w:fill="0047AB"/>
          </w:tcPr>
          <w:p>
            <w:r>
              <w:rPr>
                <w:b/>
                <w:color w:val="FFFFFF"/>
                <w:sz w:val="20"/>
              </w:rPr>
              <w:t>Issue</w:t>
            </w:r>
          </w:p>
        </w:tc>
        <w:tc>
          <w:tcPr>
            <w:tcW w:type="dxa" w:w="2592"/>
            <w:shd w:val="clear" w:color="auto" w:fill="0047AB"/>
          </w:tcPr>
          <w:p>
            <w:r>
              <w:rPr>
                <w:b/>
                <w:color w:val="FFFFFF"/>
                <w:sz w:val="20"/>
              </w:rPr>
              <w:t>Impact</w:t>
            </w:r>
          </w:p>
        </w:tc>
        <w:tc>
          <w:tcPr>
            <w:tcW w:type="dxa" w:w="1008"/>
            <w:shd w:val="clear" w:color="auto" w:fill="0047AB"/>
          </w:tcPr>
          <w:p>
            <w:r>
              <w:rPr>
                <w:b/>
                <w:color w:val="FFFFFF"/>
                <w:sz w:val="20"/>
              </w:rPr>
              <w:t>Fix Effort</w:t>
            </w:r>
          </w:p>
        </w:tc>
      </w:tr>
      <w:tr>
        <w:tc>
          <w:tcPr>
            <w:tcW w:type="dxa" w:w="1728"/>
          </w:tcPr>
          <w:p>
            <w:r>
              <w:rPr>
                <w:color w:val="333333"/>
                <w:sz w:val="19"/>
              </w:rPr>
              <w:t>P0 — CRITICAL</w:t>
            </w:r>
          </w:p>
        </w:tc>
        <w:tc>
          <w:tcPr>
            <w:tcW w:type="dxa" w:w="4608"/>
          </w:tcPr>
          <w:p>
            <w:r>
              <w:rPr>
                <w:color w:val="333333"/>
                <w:sz w:val="19"/>
              </w:rPr>
              <w:t>Fixed P10/P90 multipliers (±15%/±20%) for ALL models and ensemble total — not real quantile estimates</w:t>
            </w:r>
          </w:p>
        </w:tc>
        <w:tc>
          <w:tcPr>
            <w:tcW w:type="dxa" w:w="2592"/>
          </w:tcPr>
          <w:p>
            <w:r>
              <w:rPr>
                <w:color w:val="333333"/>
                <w:sz w:val="19"/>
              </w:rPr>
              <w:t>Uncertainty bounds are meaningless; executives cannot trust risk ranges</w:t>
            </w:r>
          </w:p>
        </w:tc>
        <w:tc>
          <w:tcPr>
            <w:tcW w:type="dxa" w:w="1008"/>
          </w:tcPr>
          <w:p>
            <w:r>
              <w:rPr>
                <w:color w:val="333333"/>
                <w:sz w:val="19"/>
              </w:rPr>
              <w:t>1 day</w:t>
            </w:r>
          </w:p>
        </w:tc>
      </w:tr>
      <w:tr>
        <w:tc>
          <w:tcPr>
            <w:tcW w:type="dxa" w:w="1728"/>
          </w:tcPr>
          <w:p>
            <w:r>
              <w:rPr>
                <w:color w:val="333333"/>
                <w:sz w:val="19"/>
              </w:rPr>
              <w:t>P0 — CRITICAL</w:t>
            </w:r>
          </w:p>
        </w:tc>
        <w:tc>
          <w:tcPr>
            <w:tcW w:type="dxa" w:w="4608"/>
          </w:tcPr>
          <w:p>
            <w:r>
              <w:rPr>
                <w:color w:val="333333"/>
                <w:sz w:val="19"/>
              </w:rPr>
              <w:t>ETS uses additive seasonal (seasonal="add", periods=13) — wrong for growing ITSG ARR; should be multiplicative with periods=52</w:t>
            </w:r>
          </w:p>
        </w:tc>
        <w:tc>
          <w:tcPr>
            <w:tcW w:type="dxa" w:w="2592"/>
          </w:tcPr>
          <w:p>
            <w:r>
              <w:rPr>
                <w:color w:val="333333"/>
                <w:sz w:val="19"/>
              </w:rPr>
              <w:t>Systematic underprediction in Q4 when ARR is highest; peaks underestimated</w:t>
            </w:r>
          </w:p>
        </w:tc>
        <w:tc>
          <w:tcPr>
            <w:tcW w:type="dxa" w:w="1008"/>
          </w:tcPr>
          <w:p>
            <w:r>
              <w:rPr>
                <w:color w:val="333333"/>
                <w:sz w:val="19"/>
              </w:rPr>
              <w:t>0.5 days</w:t>
            </w:r>
          </w:p>
        </w:tc>
      </w:tr>
      <w:tr>
        <w:tc>
          <w:tcPr>
            <w:tcW w:type="dxa" w:w="1728"/>
          </w:tcPr>
          <w:p>
            <w:r>
              <w:rPr>
                <w:color w:val="333333"/>
                <w:sz w:val="19"/>
              </w:rPr>
              <w:t>P0 — CRITICAL</w:t>
            </w:r>
          </w:p>
        </w:tc>
        <w:tc>
          <w:tcPr>
            <w:tcW w:type="dxa" w:w="4608"/>
          </w:tcPr>
          <w:p>
            <w:r>
              <w:rPr>
                <w:color w:val="333333"/>
                <w:sz w:val="19"/>
              </w:rPr>
              <w:t>Prophet uses built-in yearly_seasonality=True + seasonality_mode="multiplicative" with NO WoQ empirical profile — causes artificial seasonal artifacts on short data</w:t>
            </w:r>
          </w:p>
        </w:tc>
        <w:tc>
          <w:tcPr>
            <w:tcW w:type="dxa" w:w="2592"/>
          </w:tcPr>
          <w:p>
            <w:r>
              <w:rPr>
                <w:color w:val="333333"/>
                <w:sz w:val="19"/>
              </w:rPr>
              <w:t>Prophet over-applies multiplicative seasonal on 3 years of data; extrapolates badly</w:t>
            </w:r>
          </w:p>
        </w:tc>
        <w:tc>
          <w:tcPr>
            <w:tcW w:type="dxa" w:w="1008"/>
          </w:tcPr>
          <w:p>
            <w:r>
              <w:rPr>
                <w:color w:val="333333"/>
                <w:sz w:val="19"/>
              </w:rPr>
              <w:t>1 day</w:t>
            </w:r>
          </w:p>
        </w:tc>
      </w:tr>
      <w:tr>
        <w:tc>
          <w:tcPr>
            <w:tcW w:type="dxa" w:w="1728"/>
          </w:tcPr>
          <w:p>
            <w:r>
              <w:rPr>
                <w:color w:val="333333"/>
                <w:sz w:val="19"/>
              </w:rPr>
              <w:t>P0 — CRITICAL</w:t>
            </w:r>
          </w:p>
        </w:tc>
        <w:tc>
          <w:tcPr>
            <w:tcW w:type="dxa" w:w="4608"/>
          </w:tcPr>
          <w:p>
            <w:r>
              <w:rPr>
                <w:color w:val="333333"/>
                <w:sz w:val="19"/>
              </w:rPr>
              <w:t>yoy_growth computed without clipping: (y - lag_52) / lag_52 — early 2023 rows have lag_52=0 producing Inf/NaN that contaminates LGB training</w:t>
            </w:r>
          </w:p>
        </w:tc>
        <w:tc>
          <w:tcPr>
            <w:tcW w:type="dxa" w:w="2592"/>
          </w:tcPr>
          <w:p>
            <w:r>
              <w:rPr>
                <w:color w:val="333333"/>
                <w:sz w:val="19"/>
              </w:rPr>
              <w:t>LGB model trains on corrupted target-derived features; degrades tree splits</w:t>
            </w:r>
          </w:p>
        </w:tc>
        <w:tc>
          <w:tcPr>
            <w:tcW w:type="dxa" w:w="1008"/>
          </w:tcPr>
          <w:p>
            <w:r>
              <w:rPr>
                <w:color w:val="333333"/>
                <w:sz w:val="19"/>
              </w:rPr>
              <w:t>0.5 days</w:t>
            </w:r>
          </w:p>
        </w:tc>
      </w:tr>
      <w:tr>
        <w:tc>
          <w:tcPr>
            <w:tcW w:type="dxa" w:w="1728"/>
          </w:tcPr>
          <w:p>
            <w:r>
              <w:rPr>
                <w:color w:val="333333"/>
                <w:sz w:val="19"/>
              </w:rPr>
              <w:t>P0 — CRITICAL</w:t>
            </w:r>
          </w:p>
        </w:tc>
        <w:tc>
          <w:tcPr>
            <w:tcW w:type="dxa" w:w="4608"/>
          </w:tcPr>
          <w:p>
            <w:r>
              <w:rPr>
                <w:color w:val="333333"/>
                <w:sz w:val="19"/>
              </w:rPr>
              <w:t>No LGB quantile crossing guard — P10 and P90 can cross P50 freely in both CV and production</w:t>
            </w:r>
          </w:p>
        </w:tc>
        <w:tc>
          <w:tcPr>
            <w:tcW w:type="dxa" w:w="2592"/>
          </w:tcPr>
          <w:p>
            <w:r>
              <w:rPr>
                <w:color w:val="333333"/>
                <w:sz w:val="19"/>
              </w:rPr>
              <w:t>Invalid uncertainty bounds delivered to production; exec trust risk</w:t>
            </w:r>
          </w:p>
        </w:tc>
        <w:tc>
          <w:tcPr>
            <w:tcW w:type="dxa" w:w="1008"/>
          </w:tcPr>
          <w:p>
            <w:r>
              <w:rPr>
                <w:color w:val="333333"/>
                <w:sz w:val="19"/>
              </w:rPr>
              <w:t>0.5 days</w:t>
            </w:r>
          </w:p>
        </w:tc>
      </w:tr>
      <w:tr>
        <w:tc>
          <w:tcPr>
            <w:tcW w:type="dxa" w:w="1728"/>
          </w:tcPr>
          <w:p>
            <w:r>
              <w:rPr>
                <w:color w:val="333333"/>
                <w:sz w:val="19"/>
              </w:rPr>
              <w:t>P1 — HIGH</w:t>
            </w:r>
          </w:p>
        </w:tc>
        <w:tc>
          <w:tcPr>
            <w:tcW w:type="dxa" w:w="4608"/>
          </w:tcPr>
          <w:p>
            <w:r>
              <w:rPr>
                <w:color w:val="333333"/>
                <w:sz w:val="19"/>
              </w:rPr>
              <w:t>Simple 1/WAPE ensemble (not GR covariance-optimal) — weights only on holdout WAPE, ignores error correlation between models</w:t>
            </w:r>
          </w:p>
        </w:tc>
        <w:tc>
          <w:tcPr>
            <w:tcW w:type="dxa" w:w="2592"/>
          </w:tcPr>
          <w:p>
            <w:r>
              <w:rPr>
                <w:color w:val="333333"/>
                <w:sz w:val="19"/>
              </w:rPr>
              <w:t>Suboptimal ensemble — correlated model errors not penalized</w:t>
            </w:r>
          </w:p>
        </w:tc>
        <w:tc>
          <w:tcPr>
            <w:tcW w:type="dxa" w:w="1008"/>
          </w:tcPr>
          <w:p>
            <w:r>
              <w:rPr>
                <w:color w:val="333333"/>
                <w:sz w:val="19"/>
              </w:rPr>
              <w:t>2 days</w:t>
            </w:r>
          </w:p>
        </w:tc>
      </w:tr>
      <w:tr>
        <w:tc>
          <w:tcPr>
            <w:tcW w:type="dxa" w:w="1728"/>
          </w:tcPr>
          <w:p>
            <w:r>
              <w:rPr>
                <w:color w:val="333333"/>
                <w:sz w:val="19"/>
              </w:rPr>
              <w:t>P1 — HIGH</w:t>
            </w:r>
          </w:p>
        </w:tc>
        <w:tc>
          <w:tcPr>
            <w:tcW w:type="dxa" w:w="4608"/>
          </w:tcPr>
          <w:p>
            <w:r>
              <w:rPr>
                <w:color w:val="333333"/>
                <w:sz w:val="19"/>
              </w:rPr>
              <w:t>DHR-ARIMA fitted on TOTAL ITSG series only — not per sales_market as in UCC</w:t>
            </w:r>
          </w:p>
        </w:tc>
        <w:tc>
          <w:tcPr>
            <w:tcW w:type="dxa" w:w="2592"/>
          </w:tcPr>
          <w:p>
            <w:r>
              <w:rPr>
                <w:color w:val="333333"/>
                <w:sz w:val="19"/>
              </w:rPr>
              <w:t>Market-level dynamics missed; ITSG markets likely have different seasonality</w:t>
            </w:r>
          </w:p>
        </w:tc>
        <w:tc>
          <w:tcPr>
            <w:tcW w:type="dxa" w:w="1008"/>
          </w:tcPr>
          <w:p>
            <w:r>
              <w:rPr>
                <w:color w:val="333333"/>
                <w:sz w:val="19"/>
              </w:rPr>
              <w:t>1-2 days</w:t>
            </w:r>
          </w:p>
        </w:tc>
      </w:tr>
      <w:tr>
        <w:tc>
          <w:tcPr>
            <w:tcW w:type="dxa" w:w="1728"/>
          </w:tcPr>
          <w:p>
            <w:r>
              <w:rPr>
                <w:color w:val="333333"/>
                <w:sz w:val="19"/>
              </w:rPr>
              <w:t>P1 — HIGH</w:t>
            </w:r>
          </w:p>
        </w:tc>
        <w:tc>
          <w:tcPr>
            <w:tcW w:type="dxa" w:w="4608"/>
          </w:tcPr>
          <w:p>
            <w:r>
              <w:rPr>
                <w:color w:val="333333"/>
                <w:sz w:val="19"/>
              </w:rPr>
              <w:t>No win_rate_woq feature in LGB — key quarter-end acceleration signal absent</w:t>
            </w:r>
          </w:p>
        </w:tc>
        <w:tc>
          <w:tcPr>
            <w:tcW w:type="dxa" w:w="2592"/>
          </w:tcPr>
          <w:p>
            <w:r>
              <w:rPr>
                <w:color w:val="333333"/>
                <w:sz w:val="19"/>
              </w:rPr>
              <w:t>LGB cannot capture Q4 end-of-quarter urgency patterns</w:t>
            </w:r>
          </w:p>
        </w:tc>
        <w:tc>
          <w:tcPr>
            <w:tcW w:type="dxa" w:w="1008"/>
          </w:tcPr>
          <w:p>
            <w:r>
              <w:rPr>
                <w:color w:val="333333"/>
                <w:sz w:val="19"/>
              </w:rPr>
              <w:t>1 day</w:t>
            </w:r>
          </w:p>
        </w:tc>
      </w:tr>
      <w:tr>
        <w:tc>
          <w:tcPr>
            <w:tcW w:type="dxa" w:w="1728"/>
          </w:tcPr>
          <w:p>
            <w:r>
              <w:rPr>
                <w:color w:val="333333"/>
                <w:sz w:val="19"/>
              </w:rPr>
              <w:t>P1 — HIGH</w:t>
            </w:r>
          </w:p>
        </w:tc>
        <w:tc>
          <w:tcPr>
            <w:tcW w:type="dxa" w:w="4608"/>
          </w:tcPr>
          <w:p>
            <w:r>
              <w:rPr>
                <w:color w:val="333333"/>
                <w:sz w:val="19"/>
              </w:rPr>
              <w:t>Market-level P10/P90 derived as fixed share * total_p10/p90 (themselves ±15%/±20%) — doubly wrong</w:t>
            </w:r>
          </w:p>
        </w:tc>
        <w:tc>
          <w:tcPr>
            <w:tcW w:type="dxa" w:w="2592"/>
          </w:tcPr>
          <w:p>
            <w:r>
              <w:rPr>
                <w:color w:val="333333"/>
                <w:sz w:val="19"/>
              </w:rPr>
              <w:t>All market uncertainty bounds are formula-based, not data-driven</w:t>
            </w:r>
          </w:p>
        </w:tc>
        <w:tc>
          <w:tcPr>
            <w:tcW w:type="dxa" w:w="1008"/>
          </w:tcPr>
          <w:p>
            <w:r>
              <w:rPr>
                <w:color w:val="333333"/>
                <w:sz w:val="19"/>
              </w:rPr>
              <w:t>1 day</w:t>
            </w:r>
          </w:p>
        </w:tc>
      </w:tr>
      <w:tr>
        <w:tc>
          <w:tcPr>
            <w:tcW w:type="dxa" w:w="1728"/>
          </w:tcPr>
          <w:p>
            <w:r>
              <w:rPr>
                <w:color w:val="333333"/>
                <w:sz w:val="19"/>
              </w:rPr>
              <w:t>P2 — MEDIUM</w:t>
            </w:r>
          </w:p>
        </w:tc>
        <w:tc>
          <w:tcPr>
            <w:tcW w:type="dxa" w:w="4608"/>
          </w:tcPr>
          <w:p>
            <w:r>
              <w:rPr>
                <w:color w:val="333333"/>
                <w:sz w:val="19"/>
              </w:rPr>
              <w:t>LGB CV only computes P50 metrics — no CI coverage tracked</w:t>
            </w:r>
          </w:p>
        </w:tc>
        <w:tc>
          <w:tcPr>
            <w:tcW w:type="dxa" w:w="2592"/>
          </w:tcPr>
          <w:p>
            <w:r>
              <w:rPr>
                <w:color w:val="333333"/>
                <w:sz w:val="19"/>
              </w:rPr>
              <w:t>Cannot assess whether P10/P90 are calibrated</w:t>
            </w:r>
          </w:p>
        </w:tc>
        <w:tc>
          <w:tcPr>
            <w:tcW w:type="dxa" w:w="1008"/>
          </w:tcPr>
          <w:p>
            <w:r>
              <w:rPr>
                <w:color w:val="333333"/>
                <w:sz w:val="19"/>
              </w:rPr>
              <w:t>0.5 days</w:t>
            </w:r>
          </w:p>
        </w:tc>
      </w:tr>
      <w:tr>
        <w:tc>
          <w:tcPr>
            <w:tcW w:type="dxa" w:w="1728"/>
          </w:tcPr>
          <w:p>
            <w:r>
              <w:rPr>
                <w:color w:val="333333"/>
                <w:sz w:val="19"/>
              </w:rPr>
              <w:t>P2 — MEDIUM</w:t>
            </w:r>
          </w:p>
        </w:tc>
        <w:tc>
          <w:tcPr>
            <w:tcW w:type="dxa" w:w="4608"/>
          </w:tcPr>
          <w:p>
            <w:r>
              <w:rPr>
                <w:color w:val="333333"/>
                <w:sz w:val="19"/>
              </w:rPr>
              <w:t>win_rate_woq missing; mkt_generated_lag4 / mkt_influenced_lag4 absent</w:t>
            </w:r>
          </w:p>
        </w:tc>
        <w:tc>
          <w:tcPr>
            <w:tcW w:type="dxa" w:w="2592"/>
          </w:tcPr>
          <w:p>
            <w:r>
              <w:rPr>
                <w:color w:val="333333"/>
                <w:sz w:val="19"/>
              </w:rPr>
              <w:t>ITSG lags UCC V6/V7 feature set by 3 features</w:t>
            </w:r>
          </w:p>
        </w:tc>
        <w:tc>
          <w:tcPr>
            <w:tcW w:type="dxa" w:w="1008"/>
          </w:tcPr>
          <w:p>
            <w:r>
              <w:rPr>
                <w:color w:val="333333"/>
                <w:sz w:val="19"/>
              </w:rPr>
              <w:t>1 day</w:t>
            </w:r>
          </w:p>
        </w:tc>
      </w:tr>
      <w:tr>
        <w:tc>
          <w:tcPr>
            <w:tcW w:type="dxa" w:w="1728"/>
          </w:tcPr>
          <w:p>
            <w:r>
              <w:rPr>
                <w:color w:val="333333"/>
                <w:sz w:val="19"/>
              </w:rPr>
              <w:t>P2 — MEDIUM</w:t>
            </w:r>
          </w:p>
        </w:tc>
        <w:tc>
          <w:tcPr>
            <w:tcW w:type="dxa" w:w="4608"/>
          </w:tcPr>
          <w:p>
            <w:r>
              <w:rPr>
                <w:color w:val="333333"/>
                <w:sz w:val="19"/>
              </w:rPr>
              <w:t>LGB uses n_estimators=400 with no early stopping — overfitting risk on small ITSG slices</w:t>
            </w:r>
          </w:p>
        </w:tc>
        <w:tc>
          <w:tcPr>
            <w:tcW w:type="dxa" w:w="2592"/>
          </w:tcPr>
          <w:p>
            <w:r>
              <w:rPr>
                <w:color w:val="333333"/>
                <w:sz w:val="19"/>
              </w:rPr>
              <w:t>APAC/LATAM/Unknown slices may have &lt;30 training rows — model overfits</w:t>
            </w:r>
          </w:p>
        </w:tc>
        <w:tc>
          <w:tcPr>
            <w:tcW w:type="dxa" w:w="1008"/>
          </w:tcPr>
          <w:p>
            <w:r>
              <w:rPr>
                <w:color w:val="333333"/>
                <w:sz w:val="19"/>
              </w:rPr>
              <w:t>0.5 days</w:t>
            </w:r>
          </w:p>
        </w:tc>
      </w:tr>
      <w:tr>
        <w:tc>
          <w:tcPr>
            <w:tcW w:type="dxa" w:w="1728"/>
          </w:tcPr>
          <w:p>
            <w:r>
              <w:rPr>
                <w:color w:val="333333"/>
                <w:sz w:val="19"/>
              </w:rPr>
              <w:t>POSITIVE</w:t>
            </w:r>
          </w:p>
        </w:tc>
        <w:tc>
          <w:tcPr>
            <w:tcW w:type="dxa" w:w="4608"/>
          </w:tcPr>
          <w:p>
            <w:r>
              <w:rPr>
                <w:color w:val="333333"/>
                <w:sz w:val="19"/>
              </w:rPr>
              <w:t>monitoring_baseline IS written to itsg_forecast_monitoring_baseline Delta table — fixes UCC V7 P1 gap</w:t>
            </w:r>
          </w:p>
        </w:tc>
        <w:tc>
          <w:tcPr>
            <w:tcW w:type="dxa" w:w="2592"/>
          </w:tcPr>
          <w:p>
            <w:r>
              <w:rPr>
                <w:color w:val="333333"/>
                <w:sz w:val="19"/>
              </w:rPr>
              <w:t>Automated alerting is possible — ITSG is ahead of UCC here</w:t>
            </w:r>
          </w:p>
        </w:tc>
        <w:tc>
          <w:tcPr>
            <w:tcW w:type="dxa" w:w="1008"/>
          </w:tcPr>
          <w:p>
            <w:r>
              <w:rPr>
                <w:color w:val="333333"/>
                <w:sz w:val="19"/>
              </w:rPr>
              <w:t>Done</w:t>
            </w:r>
          </w:p>
        </w:tc>
      </w:tr>
      <w:tr>
        <w:tc>
          <w:tcPr>
            <w:tcW w:type="dxa" w:w="1728"/>
          </w:tcPr>
          <w:p>
            <w:r>
              <w:rPr>
                <w:color w:val="333333"/>
                <w:sz w:val="19"/>
              </w:rPr>
              <w:t>POSITIVE</w:t>
            </w:r>
          </w:p>
        </w:tc>
        <w:tc>
          <w:tcPr>
            <w:tcW w:type="dxa" w:w="4608"/>
          </w:tcPr>
          <w:p>
            <w:r>
              <w:rPr>
                <w:color w:val="333333"/>
                <w:sz w:val="19"/>
              </w:rPr>
              <w:t>Authoritative mc_actuals from datagroup.uc_forecast.actuals (RSG-IT product code)</w:t>
            </w:r>
          </w:p>
        </w:tc>
        <w:tc>
          <w:tcPr>
            <w:tcW w:type="dxa" w:w="2592"/>
          </w:tcPr>
          <w:p>
            <w:r>
              <w:rPr>
                <w:color w:val="333333"/>
                <w:sz w:val="19"/>
              </w:rPr>
              <w:t>Correct actuals source for ITSG</w:t>
            </w:r>
          </w:p>
        </w:tc>
        <w:tc>
          <w:tcPr>
            <w:tcW w:type="dxa" w:w="1008"/>
          </w:tcPr>
          <w:p>
            <w:r>
              <w:rPr>
                <w:color w:val="333333"/>
                <w:sz w:val="19"/>
              </w:rPr>
              <w:t>Done</w:t>
            </w:r>
          </w:p>
        </w:tc>
      </w:tr>
      <w:tr>
        <w:tc>
          <w:tcPr>
            <w:tcW w:type="dxa" w:w="1728"/>
          </w:tcPr>
          <w:p>
            <w:r>
              <w:rPr>
                <w:color w:val="333333"/>
                <w:sz w:val="19"/>
              </w:rPr>
              <w:t>POSITIVE</w:t>
            </w:r>
          </w:p>
        </w:tc>
        <w:tc>
          <w:tcPr>
            <w:tcW w:type="dxa" w:w="4608"/>
          </w:tcPr>
          <w:p>
            <w:r>
              <w:rPr>
                <w:color w:val="333333"/>
                <w:sz w:val="19"/>
              </w:rPr>
              <w:t>Dual Delta write (itsg_forecast_v5 + v4 legacy)</w:t>
            </w:r>
          </w:p>
        </w:tc>
        <w:tc>
          <w:tcPr>
            <w:tcW w:type="dxa" w:w="2592"/>
          </w:tcPr>
          <w:p>
            <w:r>
              <w:rPr>
                <w:color w:val="333333"/>
                <w:sz w:val="19"/>
              </w:rPr>
              <w:t>Backward compatible</w:t>
            </w:r>
          </w:p>
        </w:tc>
        <w:tc>
          <w:tcPr>
            <w:tcW w:type="dxa" w:w="1008"/>
          </w:tcPr>
          <w:p>
            <w:r>
              <w:rPr>
                <w:color w:val="333333"/>
                <w:sz w:val="19"/>
              </w:rPr>
              <w:t>Done</w:t>
            </w:r>
          </w:p>
        </w:tc>
      </w:tr>
    </w:tbl>
    <w:p/>
    <w:p>
      <w:r>
        <w:br w:type="page"/>
      </w:r>
    </w:p>
    <w:p>
      <w:pPr>
        <w:pStyle w:val="Heading1"/>
      </w:pPr>
      <w:r>
        <w:rPr>
          <w:b/>
          <w:color w:val="0047AB"/>
        </w:rPr>
        <w:t>Section 1: Notebook Architecture &amp; Structure</w:t>
      </w:r>
    </w:p>
    <w:p>
      <w:pPr>
        <w:spacing w:after="120"/>
      </w:pPr>
      <w:r>
        <w:rPr>
          <w:b w:val="0"/>
          <w:i w:val="0"/>
          <w:color w:val="333333"/>
          <w:sz w:val="21"/>
        </w:rPr>
        <w:t>The ITSG notebook has 8 cells — far fewer than UCC V7 (18 cells). This compactness is a double-edged sword: simpler to run, but missing many of the diagnostic, visualization, and validation cells that make UCC trustworthy and debuggable. The architecture is a V3-era UCC clone applied to ITSG data, missing 4 major versions of improvements.</w:t>
      </w:r>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0047AB"/>
          </w:tcPr>
          <w:p>
            <w:r>
              <w:rPr>
                <w:b/>
                <w:color w:val="FFFFFF"/>
                <w:sz w:val="20"/>
              </w:rPr>
              <w:t>Cell</w:t>
            </w:r>
          </w:p>
        </w:tc>
        <w:tc>
          <w:tcPr>
            <w:tcW w:type="dxa" w:w="1296"/>
            <w:shd w:val="clear" w:color="auto" w:fill="0047AB"/>
          </w:tcPr>
          <w:p>
            <w:r>
              <w:rPr>
                <w:b/>
                <w:color w:val="FFFFFF"/>
                <w:sz w:val="20"/>
              </w:rPr>
              <w:t>Step</w:t>
            </w:r>
          </w:p>
        </w:tc>
        <w:tc>
          <w:tcPr>
            <w:tcW w:type="dxa" w:w="3600"/>
            <w:shd w:val="clear" w:color="auto" w:fill="0047AB"/>
          </w:tcPr>
          <w:p>
            <w:r>
              <w:rPr>
                <w:b/>
                <w:color w:val="FFFFFF"/>
                <w:sz w:val="20"/>
              </w:rPr>
              <w:t>Purpose</w:t>
            </w:r>
          </w:p>
        </w:tc>
        <w:tc>
          <w:tcPr>
            <w:tcW w:type="dxa" w:w="4320"/>
            <w:shd w:val="clear" w:color="auto" w:fill="0047AB"/>
          </w:tcPr>
          <w:p>
            <w:r>
              <w:rPr>
                <w:b/>
                <w:color w:val="FFFFFF"/>
                <w:sz w:val="20"/>
              </w:rPr>
              <w:t>Issues</w:t>
            </w:r>
          </w:p>
        </w:tc>
      </w:tr>
      <w:tr>
        <w:tc>
          <w:tcPr>
            <w:tcW w:type="dxa" w:w="576"/>
          </w:tcPr>
          <w:p>
            <w:r>
              <w:rPr>
                <w:color w:val="333333"/>
                <w:sz w:val="19"/>
              </w:rPr>
              <w:t>0</w:t>
            </w:r>
          </w:p>
        </w:tc>
        <w:tc>
          <w:tcPr>
            <w:tcW w:type="dxa" w:w="1296"/>
          </w:tcPr>
          <w:p>
            <w:r>
              <w:rPr>
                <w:color w:val="333333"/>
                <w:sz w:val="19"/>
              </w:rPr>
              <w:t>Install</w:t>
            </w:r>
          </w:p>
        </w:tc>
        <w:tc>
          <w:tcPr>
            <w:tcW w:type="dxa" w:w="3600"/>
          </w:tcPr>
          <w:p>
            <w:r>
              <w:rPr>
                <w:color w:val="333333"/>
                <w:sz w:val="19"/>
              </w:rPr>
              <w:t>Databricks library install</w:t>
            </w:r>
          </w:p>
        </w:tc>
        <w:tc>
          <w:tcPr>
            <w:tcW w:type="dxa" w:w="4320"/>
          </w:tcPr>
          <w:p>
            <w:r>
              <w:rPr>
                <w:color w:val="333333"/>
                <w:sz w:val="19"/>
              </w:rPr>
              <w:t>None</w:t>
            </w:r>
          </w:p>
        </w:tc>
      </w:tr>
      <w:tr>
        <w:tc>
          <w:tcPr>
            <w:tcW w:type="dxa" w:w="576"/>
          </w:tcPr>
          <w:p>
            <w:r>
              <w:rPr>
                <w:color w:val="333333"/>
                <w:sz w:val="19"/>
              </w:rPr>
              <w:t>1</w:t>
            </w:r>
          </w:p>
        </w:tc>
        <w:tc>
          <w:tcPr>
            <w:tcW w:type="dxa" w:w="1296"/>
          </w:tcPr>
          <w:p>
            <w:r>
              <w:rPr>
                <w:color w:val="333333"/>
                <w:sz w:val="19"/>
              </w:rPr>
              <w:t>Data load</w:t>
            </w:r>
          </w:p>
        </w:tc>
        <w:tc>
          <w:tcPr>
            <w:tcW w:type="dxa" w:w="3600"/>
          </w:tcPr>
          <w:p>
            <w:r>
              <w:rPr>
                <w:color w:val="333333"/>
                <w:sz w:val="19"/>
              </w:rPr>
              <w:t>itsg_raw from cds_sfdc_opp_products_latest + feature_source from forecast_prophet + authoritative actuals</w:t>
            </w:r>
          </w:p>
        </w:tc>
        <w:tc>
          <w:tcPr>
            <w:tcW w:type="dxa" w:w="4320"/>
          </w:tcPr>
          <w:p>
            <w:r>
              <w:rPr>
                <w:color w:val="333333"/>
                <w:sz w:val="19"/>
              </w:rPr>
              <w:t>Uses total_amount (UCC uses amount_towards_plan) — verify correct column</w:t>
            </w:r>
          </w:p>
        </w:tc>
      </w:tr>
      <w:tr>
        <w:tc>
          <w:tcPr>
            <w:tcW w:type="dxa" w:w="576"/>
          </w:tcPr>
          <w:p>
            <w:r>
              <w:rPr>
                <w:color w:val="333333"/>
                <w:sz w:val="19"/>
              </w:rPr>
              <w:t>2</w:t>
            </w:r>
          </w:p>
        </w:tc>
        <w:tc>
          <w:tcPr>
            <w:tcW w:type="dxa" w:w="1296"/>
          </w:tcPr>
          <w:p>
            <w:r>
              <w:rPr>
                <w:color w:val="333333"/>
                <w:sz w:val="19"/>
              </w:rPr>
              <w:t>EDA + split</w:t>
            </w:r>
          </w:p>
        </w:tc>
        <w:tc>
          <w:tcPr>
            <w:tcW w:type="dxa" w:w="3600"/>
          </w:tcPr>
          <w:p>
            <w:r>
              <w:rPr>
                <w:color w:val="333333"/>
                <w:sz w:val="19"/>
              </w:rPr>
              <w:t>Weekly aggregation, market breakdown, BACKTEST_START=2026-01-05</w:t>
            </w:r>
          </w:p>
        </w:tc>
        <w:tc>
          <w:tcPr>
            <w:tcW w:type="dxa" w:w="4320"/>
          </w:tcPr>
          <w:p>
            <w:r>
              <w:rPr>
                <w:color w:val="333333"/>
                <w:sz w:val="19"/>
              </w:rPr>
              <w:t>No feature readiness audit; no LEAKY_OR_UNUSABLE_COLS governance</w:t>
            </w:r>
          </w:p>
        </w:tc>
      </w:tr>
      <w:tr>
        <w:tc>
          <w:tcPr>
            <w:tcW w:type="dxa" w:w="576"/>
          </w:tcPr>
          <w:p>
            <w:r>
              <w:rPr>
                <w:color w:val="333333"/>
                <w:sz w:val="19"/>
              </w:rPr>
              <w:t>3</w:t>
            </w:r>
          </w:p>
        </w:tc>
        <w:tc>
          <w:tcPr>
            <w:tcW w:type="dxa" w:w="1296"/>
          </w:tcPr>
          <w:p>
            <w:r>
              <w:rPr>
                <w:color w:val="333333"/>
                <w:sz w:val="19"/>
              </w:rPr>
              <w:t>CV framework</w:t>
            </w:r>
          </w:p>
        </w:tc>
        <w:tc>
          <w:tcPr>
            <w:tcW w:type="dxa" w:w="3600"/>
          </w:tcPr>
          <w:p>
            <w:r>
              <w:rPr>
                <w:color w:val="333333"/>
                <w:sz w:val="19"/>
              </w:rPr>
              <w:t>Walk-forward folds (8x13), model functions: Prophet, MSTL, ETS</w:t>
            </w:r>
          </w:p>
        </w:tc>
        <w:tc>
          <w:tcPr>
            <w:tcW w:type="dxa" w:w="4320"/>
          </w:tcPr>
          <w:p>
            <w:r>
              <w:rPr>
                <w:color w:val="333333"/>
                <w:sz w:val="19"/>
              </w:rPr>
              <w:t>ETS additive seasonal wrong; Prophet no WoQ profile; no early stopping</w:t>
            </w:r>
          </w:p>
        </w:tc>
      </w:tr>
      <w:tr>
        <w:tc>
          <w:tcPr>
            <w:tcW w:type="dxa" w:w="576"/>
          </w:tcPr>
          <w:p>
            <w:r>
              <w:rPr>
                <w:color w:val="333333"/>
                <w:sz w:val="19"/>
              </w:rPr>
              <w:t>4</w:t>
            </w:r>
          </w:p>
        </w:tc>
        <w:tc>
          <w:tcPr>
            <w:tcW w:type="dxa" w:w="1296"/>
          </w:tcPr>
          <w:p>
            <w:r>
              <w:rPr>
                <w:color w:val="333333"/>
                <w:sz w:val="19"/>
              </w:rPr>
              <w:t>Benchmarks</w:t>
            </w:r>
          </w:p>
        </w:tc>
        <w:tc>
          <w:tcPr>
            <w:tcW w:type="dxa" w:w="3600"/>
          </w:tcPr>
          <w:p>
            <w:r>
              <w:rPr>
                <w:color w:val="333333"/>
                <w:sz w:val="19"/>
              </w:rPr>
              <w:t>Run CV + holdout for Prophet, MSTL, ETS</w:t>
            </w:r>
          </w:p>
        </w:tc>
        <w:tc>
          <w:tcPr>
            <w:tcW w:type="dxa" w:w="4320"/>
          </w:tcPr>
          <w:p>
            <w:r>
              <w:rPr>
                <w:color w:val="333333"/>
                <w:sz w:val="19"/>
              </w:rPr>
              <w:t>No fold-by-fold visualization; no quarterly error breakdown</w:t>
            </w:r>
          </w:p>
        </w:tc>
      </w:tr>
      <w:tr>
        <w:tc>
          <w:tcPr>
            <w:tcW w:type="dxa" w:w="576"/>
          </w:tcPr>
          <w:p>
            <w:r>
              <w:rPr>
                <w:color w:val="333333"/>
                <w:sz w:val="19"/>
              </w:rPr>
              <w:t>5</w:t>
            </w:r>
          </w:p>
        </w:tc>
        <w:tc>
          <w:tcPr>
            <w:tcW w:type="dxa" w:w="1296"/>
          </w:tcPr>
          <w:p>
            <w:r>
              <w:rPr>
                <w:color w:val="333333"/>
                <w:sz w:val="19"/>
              </w:rPr>
              <w:t>DHR-ARIMA</w:t>
            </w:r>
          </w:p>
        </w:tc>
        <w:tc>
          <w:tcPr>
            <w:tcW w:type="dxa" w:w="3600"/>
          </w:tcPr>
          <w:p>
            <w:r>
              <w:rPr>
                <w:color w:val="333333"/>
                <w:sz w:val="19"/>
              </w:rPr>
              <w:t>AutoARIMA on TOTAL series with Fourier + pipeline regressors</w:t>
            </w:r>
          </w:p>
        </w:tc>
        <w:tc>
          <w:tcPr>
            <w:tcW w:type="dxa" w:w="4320"/>
          </w:tcPr>
          <w:p>
            <w:r>
              <w:rPr>
                <w:color w:val="333333"/>
                <w:sz w:val="19"/>
              </w:rPr>
              <w:t>Total-level only (not per-market); Fourier indices may not align across CV folds</w:t>
            </w:r>
          </w:p>
        </w:tc>
      </w:tr>
      <w:tr>
        <w:tc>
          <w:tcPr>
            <w:tcW w:type="dxa" w:w="576"/>
          </w:tcPr>
          <w:p>
            <w:r>
              <w:rPr>
                <w:color w:val="333333"/>
                <w:sz w:val="19"/>
              </w:rPr>
              <w:t>6</w:t>
            </w:r>
          </w:p>
        </w:tc>
        <w:tc>
          <w:tcPr>
            <w:tcW w:type="dxa" w:w="1296"/>
          </w:tcPr>
          <w:p>
            <w:r>
              <w:rPr>
                <w:color w:val="333333"/>
                <w:sz w:val="19"/>
              </w:rPr>
              <w:t>Global LGB</w:t>
            </w:r>
          </w:p>
        </w:tc>
        <w:tc>
          <w:tcPr>
            <w:tcW w:type="dxa" w:w="3600"/>
          </w:tcPr>
          <w:p>
            <w:r>
              <w:rPr>
                <w:color w:val="333333"/>
                <w:sz w:val="19"/>
              </w:rPr>
              <w:t>36-feature quantile LGB per market slice, CV + holdout eval</w:t>
            </w:r>
          </w:p>
        </w:tc>
        <w:tc>
          <w:tcPr>
            <w:tcW w:type="dxa" w:w="4320"/>
          </w:tcPr>
          <w:p>
            <w:r>
              <w:rPr>
                <w:color w:val="333333"/>
                <w:sz w:val="19"/>
              </w:rPr>
              <w:t>No crossing guard; yoy_growth unclipped; no CI coverage; CV panel includes data before 2024 filter not applied</w:t>
            </w:r>
          </w:p>
        </w:tc>
      </w:tr>
      <w:tr>
        <w:tc>
          <w:tcPr>
            <w:tcW w:type="dxa" w:w="576"/>
          </w:tcPr>
          <w:p>
            <w:r>
              <w:rPr>
                <w:color w:val="333333"/>
                <w:sz w:val="19"/>
              </w:rPr>
              <w:t>7</w:t>
            </w:r>
          </w:p>
        </w:tc>
        <w:tc>
          <w:tcPr>
            <w:tcW w:type="dxa" w:w="1296"/>
          </w:tcPr>
          <w:p>
            <w:r>
              <w:rPr>
                <w:color w:val="333333"/>
                <w:sz w:val="19"/>
              </w:rPr>
              <w:t>Production</w:t>
            </w:r>
          </w:p>
        </w:tc>
        <w:tc>
          <w:tcPr>
            <w:tcW w:type="dxa" w:w="3600"/>
          </w:tcPr>
          <w:p>
            <w:r>
              <w:rPr>
                <w:color w:val="333333"/>
                <w:sz w:val="19"/>
              </w:rPr>
              <w:t>Forward 27-week + ensemble + market alloc + Delta write + monitoring</w:t>
            </w:r>
          </w:p>
        </w:tc>
        <w:tc>
          <w:tcPr>
            <w:tcW w:type="dxa" w:w="4320"/>
          </w:tcPr>
          <w:p>
            <w:r>
              <w:rPr>
                <w:color w:val="333333"/>
                <w:sz w:val="19"/>
              </w:rPr>
              <w:t>Fixed P10/P90 multipliers; 1/WAPE ensemble; no GR; no MinT; monitoring table written (GOOD)</w:t>
            </w:r>
          </w:p>
        </w:tc>
      </w:tr>
    </w:tbl>
    <w:p/>
    <w:p>
      <w:pPr>
        <w:pStyle w:val="Heading2"/>
      </w:pPr>
      <w:r>
        <w:rPr>
          <w:b/>
          <w:color w:val="0047AB"/>
        </w:rPr>
        <w:t>Architecture Scorecard — ITSG vs UCC V7</w:t>
      </w:r>
    </w:p>
    <w:tbl>
      <w:tblPr>
        <w:tblStyle w:val="TableGrid"/>
        <w:tblW w:type="auto" w:w="0"/>
        <w:tblLook w:firstColumn="1" w:firstRow="1" w:lastColumn="0" w:lastRow="0" w:noHBand="0" w:noVBand="1" w:val="04A0"/>
      </w:tblPr>
      <w:tblGrid>
        <w:gridCol w:w="2340"/>
        <w:gridCol w:w="2340"/>
        <w:gridCol w:w="2340"/>
        <w:gridCol w:w="2340"/>
      </w:tblGrid>
      <w:tr>
        <w:tc>
          <w:tcPr>
            <w:tcW w:type="dxa" w:w="3744"/>
            <w:shd w:val="clear" w:color="auto" w:fill="0047AB"/>
          </w:tcPr>
          <w:p>
            <w:r>
              <w:rPr>
                <w:b/>
                <w:color w:val="FFFFFF"/>
                <w:sz w:val="20"/>
              </w:rPr>
              <w:t>Dimension</w:t>
            </w:r>
          </w:p>
        </w:tc>
        <w:tc>
          <w:tcPr>
            <w:tcW w:type="dxa" w:w="1152"/>
            <w:shd w:val="clear" w:color="auto" w:fill="0047AB"/>
          </w:tcPr>
          <w:p>
            <w:r>
              <w:rPr>
                <w:b/>
                <w:color w:val="FFFFFF"/>
                <w:sz w:val="20"/>
              </w:rPr>
              <w:t>UCC V7</w:t>
            </w:r>
          </w:p>
        </w:tc>
        <w:tc>
          <w:tcPr>
            <w:tcW w:type="dxa" w:w="1152"/>
            <w:shd w:val="clear" w:color="auto" w:fill="0047AB"/>
          </w:tcPr>
          <w:p>
            <w:r>
              <w:rPr>
                <w:b/>
                <w:color w:val="FFFFFF"/>
                <w:sz w:val="20"/>
              </w:rPr>
              <w:t>ITSG</w:t>
            </w:r>
          </w:p>
        </w:tc>
        <w:tc>
          <w:tcPr>
            <w:tcW w:type="dxa" w:w="3744"/>
            <w:shd w:val="clear" w:color="auto" w:fill="0047AB"/>
          </w:tcPr>
          <w:p>
            <w:r>
              <w:rPr>
                <w:b/>
                <w:color w:val="FFFFFF"/>
                <w:sz w:val="20"/>
              </w:rPr>
              <w:t>Gap</w:t>
            </w:r>
          </w:p>
        </w:tc>
      </w:tr>
      <w:tr>
        <w:tc>
          <w:tcPr>
            <w:tcW w:type="dxa" w:w="3744"/>
          </w:tcPr>
          <w:p>
            <w:r>
              <w:rPr>
                <w:color w:val="333333"/>
                <w:sz w:val="19"/>
              </w:rPr>
              <w:t>Walk-forward CV design</w:t>
            </w:r>
          </w:p>
        </w:tc>
        <w:tc>
          <w:tcPr>
            <w:tcW w:type="dxa" w:w="1152"/>
          </w:tcPr>
          <w:p>
            <w:r>
              <w:rPr>
                <w:color w:val="333333"/>
                <w:sz w:val="19"/>
              </w:rPr>
              <w:t>9/10</w:t>
            </w:r>
          </w:p>
        </w:tc>
        <w:tc>
          <w:tcPr>
            <w:tcW w:type="dxa" w:w="1152"/>
          </w:tcPr>
          <w:p>
            <w:r>
              <w:rPr>
                <w:color w:val="333333"/>
                <w:sz w:val="19"/>
              </w:rPr>
              <w:t>7/10</w:t>
            </w:r>
          </w:p>
        </w:tc>
        <w:tc>
          <w:tcPr>
            <w:tcW w:type="dxa" w:w="3744"/>
          </w:tcPr>
          <w:p>
            <w:r>
              <w:rPr>
                <w:color w:val="333333"/>
                <w:sz w:val="19"/>
              </w:rPr>
              <w:t>CV correct but ETS/Prophet bugs reduce effective quality</w:t>
            </w:r>
          </w:p>
        </w:tc>
      </w:tr>
      <w:tr>
        <w:tc>
          <w:tcPr>
            <w:tcW w:type="dxa" w:w="3744"/>
          </w:tcPr>
          <w:p>
            <w:r>
              <w:rPr>
                <w:color w:val="333333"/>
                <w:sz w:val="19"/>
              </w:rPr>
              <w:t>Production persistence</w:t>
            </w:r>
          </w:p>
        </w:tc>
        <w:tc>
          <w:tcPr>
            <w:tcW w:type="dxa" w:w="1152"/>
          </w:tcPr>
          <w:p>
            <w:r>
              <w:rPr>
                <w:color w:val="333333"/>
                <w:sz w:val="19"/>
              </w:rPr>
              <w:t>10/10</w:t>
            </w:r>
          </w:p>
        </w:tc>
        <w:tc>
          <w:tcPr>
            <w:tcW w:type="dxa" w:w="1152"/>
          </w:tcPr>
          <w:p>
            <w:r>
              <w:rPr>
                <w:color w:val="333333"/>
                <w:sz w:val="19"/>
              </w:rPr>
              <w:t>9/10</w:t>
            </w:r>
          </w:p>
        </w:tc>
        <w:tc>
          <w:tcPr>
            <w:tcW w:type="dxa" w:w="3744"/>
          </w:tcPr>
          <w:p>
            <w:r>
              <w:rPr>
                <w:color w:val="333333"/>
                <w:sz w:val="19"/>
              </w:rPr>
              <w:t>Dual write present; missing partitionBy("ds")</w:t>
            </w:r>
          </w:p>
        </w:tc>
      </w:tr>
      <w:tr>
        <w:tc>
          <w:tcPr>
            <w:tcW w:type="dxa" w:w="3744"/>
          </w:tcPr>
          <w:p>
            <w:r>
              <w:rPr>
                <w:color w:val="333333"/>
                <w:sz w:val="19"/>
              </w:rPr>
              <w:t>Uncertainty quantification</w:t>
            </w:r>
          </w:p>
        </w:tc>
        <w:tc>
          <w:tcPr>
            <w:tcW w:type="dxa" w:w="1152"/>
          </w:tcPr>
          <w:p>
            <w:r>
              <w:rPr>
                <w:color w:val="333333"/>
                <w:sz w:val="19"/>
              </w:rPr>
              <w:t>7/10</w:t>
            </w:r>
          </w:p>
        </w:tc>
        <w:tc>
          <w:tcPr>
            <w:tcW w:type="dxa" w:w="1152"/>
          </w:tcPr>
          <w:p>
            <w:r>
              <w:rPr>
                <w:color w:val="333333"/>
                <w:sz w:val="19"/>
              </w:rPr>
              <w:t>2/10</w:t>
            </w:r>
          </w:p>
        </w:tc>
        <w:tc>
          <w:tcPr>
            <w:tcW w:type="dxa" w:w="3744"/>
          </w:tcPr>
          <w:p>
            <w:r>
              <w:rPr>
                <w:color w:val="333333"/>
                <w:sz w:val="19"/>
              </w:rPr>
              <w:t>Fixed multipliers are not quantiles — effectively no CI</w:t>
            </w:r>
          </w:p>
        </w:tc>
      </w:tr>
      <w:tr>
        <w:tc>
          <w:tcPr>
            <w:tcW w:type="dxa" w:w="3744"/>
          </w:tcPr>
          <w:p>
            <w:r>
              <w:rPr>
                <w:color w:val="333333"/>
                <w:sz w:val="19"/>
              </w:rPr>
              <w:t>Ensemble optimization</w:t>
            </w:r>
          </w:p>
        </w:tc>
        <w:tc>
          <w:tcPr>
            <w:tcW w:type="dxa" w:w="1152"/>
          </w:tcPr>
          <w:p>
            <w:r>
              <w:rPr>
                <w:color w:val="333333"/>
                <w:sz w:val="19"/>
              </w:rPr>
              <w:t>8/10</w:t>
            </w:r>
          </w:p>
        </w:tc>
        <w:tc>
          <w:tcPr>
            <w:tcW w:type="dxa" w:w="1152"/>
          </w:tcPr>
          <w:p>
            <w:r>
              <w:rPr>
                <w:color w:val="333333"/>
                <w:sz w:val="19"/>
              </w:rPr>
              <w:t>4/10</w:t>
            </w:r>
          </w:p>
        </w:tc>
        <w:tc>
          <w:tcPr>
            <w:tcW w:type="dxa" w:w="3744"/>
          </w:tcPr>
          <w:p>
            <w:r>
              <w:rPr>
                <w:color w:val="333333"/>
                <w:sz w:val="19"/>
              </w:rPr>
              <w:t>1/WAPE vs GR covariance-optimal</w:t>
            </w:r>
          </w:p>
        </w:tc>
      </w:tr>
      <w:tr>
        <w:tc>
          <w:tcPr>
            <w:tcW w:type="dxa" w:w="3744"/>
          </w:tcPr>
          <w:p>
            <w:r>
              <w:rPr>
                <w:color w:val="333333"/>
                <w:sz w:val="19"/>
              </w:rPr>
              <w:t>Hierarchical consistency</w:t>
            </w:r>
          </w:p>
        </w:tc>
        <w:tc>
          <w:tcPr>
            <w:tcW w:type="dxa" w:w="1152"/>
          </w:tcPr>
          <w:p>
            <w:r>
              <w:rPr>
                <w:color w:val="333333"/>
                <w:sz w:val="19"/>
              </w:rPr>
              <w:t>6/10</w:t>
            </w:r>
          </w:p>
        </w:tc>
        <w:tc>
          <w:tcPr>
            <w:tcW w:type="dxa" w:w="1152"/>
          </w:tcPr>
          <w:p>
            <w:r>
              <w:rPr>
                <w:color w:val="333333"/>
                <w:sz w:val="19"/>
              </w:rPr>
              <w:t>3/10</w:t>
            </w:r>
          </w:p>
        </w:tc>
        <w:tc>
          <w:tcPr>
            <w:tcW w:type="dxa" w:w="3744"/>
          </w:tcPr>
          <w:p>
            <w:r>
              <w:rPr>
                <w:color w:val="333333"/>
                <w:sz w:val="19"/>
              </w:rPr>
              <w:t>Fixed market share allocation only; no MinT at all</w:t>
            </w:r>
          </w:p>
        </w:tc>
      </w:tr>
      <w:tr>
        <w:tc>
          <w:tcPr>
            <w:tcW w:type="dxa" w:w="3744"/>
          </w:tcPr>
          <w:p>
            <w:r>
              <w:rPr>
                <w:color w:val="333333"/>
                <w:sz w:val="19"/>
              </w:rPr>
              <w:t>Feature engineering rigor</w:t>
            </w:r>
          </w:p>
        </w:tc>
        <w:tc>
          <w:tcPr>
            <w:tcW w:type="dxa" w:w="1152"/>
          </w:tcPr>
          <w:p>
            <w:r>
              <w:rPr>
                <w:color w:val="333333"/>
                <w:sz w:val="19"/>
              </w:rPr>
              <w:t>9/10</w:t>
            </w:r>
          </w:p>
        </w:tc>
        <w:tc>
          <w:tcPr>
            <w:tcW w:type="dxa" w:w="1152"/>
          </w:tcPr>
          <w:p>
            <w:r>
              <w:rPr>
                <w:color w:val="333333"/>
                <w:sz w:val="19"/>
              </w:rPr>
              <w:t>6/10</w:t>
            </w:r>
          </w:p>
        </w:tc>
        <w:tc>
          <w:tcPr>
            <w:tcW w:type="dxa" w:w="3744"/>
          </w:tcPr>
          <w:p>
            <w:r>
              <w:rPr>
                <w:color w:val="333333"/>
                <w:sz w:val="19"/>
              </w:rPr>
              <w:t>Missing win_rate_woq, mkt features; yoy_growth unclipped</w:t>
            </w:r>
          </w:p>
        </w:tc>
      </w:tr>
      <w:tr>
        <w:tc>
          <w:tcPr>
            <w:tcW w:type="dxa" w:w="3744"/>
          </w:tcPr>
          <w:p>
            <w:r>
              <w:rPr>
                <w:color w:val="333333"/>
                <w:sz w:val="19"/>
              </w:rPr>
              <w:t>Data leakage safeguards</w:t>
            </w:r>
          </w:p>
        </w:tc>
        <w:tc>
          <w:tcPr>
            <w:tcW w:type="dxa" w:w="1152"/>
          </w:tcPr>
          <w:p>
            <w:r>
              <w:rPr>
                <w:color w:val="333333"/>
                <w:sz w:val="19"/>
              </w:rPr>
              <w:t>9/10</w:t>
            </w:r>
          </w:p>
        </w:tc>
        <w:tc>
          <w:tcPr>
            <w:tcW w:type="dxa" w:w="1152"/>
          </w:tcPr>
          <w:p>
            <w:r>
              <w:rPr>
                <w:color w:val="333333"/>
                <w:sz w:val="19"/>
              </w:rPr>
              <w:t>5/10</w:t>
            </w:r>
          </w:p>
        </w:tc>
        <w:tc>
          <w:tcPr>
            <w:tcW w:type="dxa" w:w="3744"/>
          </w:tcPr>
          <w:p>
            <w:r>
              <w:rPr>
                <w:color w:val="333333"/>
                <w:sz w:val="19"/>
              </w:rPr>
              <w:t>No explicit LEAKY_OR_UNUSABLE_COLS list; no feature governance</w:t>
            </w:r>
          </w:p>
        </w:tc>
      </w:tr>
      <w:tr>
        <w:tc>
          <w:tcPr>
            <w:tcW w:type="dxa" w:w="3744"/>
          </w:tcPr>
          <w:p>
            <w:r>
              <w:rPr>
                <w:color w:val="333333"/>
                <w:sz w:val="19"/>
              </w:rPr>
              <w:t>Model specification</w:t>
            </w:r>
          </w:p>
        </w:tc>
        <w:tc>
          <w:tcPr>
            <w:tcW w:type="dxa" w:w="1152"/>
          </w:tcPr>
          <w:p>
            <w:r>
              <w:rPr>
                <w:color w:val="333333"/>
                <w:sz w:val="19"/>
              </w:rPr>
              <w:t>9/10</w:t>
            </w:r>
          </w:p>
        </w:tc>
        <w:tc>
          <w:tcPr>
            <w:tcW w:type="dxa" w:w="1152"/>
          </w:tcPr>
          <w:p>
            <w:r>
              <w:rPr>
                <w:color w:val="333333"/>
                <w:sz w:val="19"/>
              </w:rPr>
              <w:t>4/10</w:t>
            </w:r>
          </w:p>
        </w:tc>
        <w:tc>
          <w:tcPr>
            <w:tcW w:type="dxa" w:w="3744"/>
          </w:tcPr>
          <w:p>
            <w:r>
              <w:rPr>
                <w:color w:val="333333"/>
                <w:sz w:val="19"/>
              </w:rPr>
              <w:t>ETS wrong seasonal type; Prophet no WoQ profile</w:t>
            </w:r>
          </w:p>
        </w:tc>
      </w:tr>
      <w:tr>
        <w:tc>
          <w:tcPr>
            <w:tcW w:type="dxa" w:w="3744"/>
          </w:tcPr>
          <w:p>
            <w:r>
              <w:rPr>
                <w:color w:val="333333"/>
                <w:sz w:val="19"/>
              </w:rPr>
              <w:t>Monitoring &amp; alerting</w:t>
            </w:r>
          </w:p>
        </w:tc>
        <w:tc>
          <w:tcPr>
            <w:tcW w:type="dxa" w:w="1152"/>
          </w:tcPr>
          <w:p>
            <w:r>
              <w:rPr>
                <w:color w:val="333333"/>
                <w:sz w:val="19"/>
              </w:rPr>
              <w:t>8/10</w:t>
            </w:r>
          </w:p>
        </w:tc>
        <w:tc>
          <w:tcPr>
            <w:tcW w:type="dxa" w:w="1152"/>
          </w:tcPr>
          <w:p>
            <w:r>
              <w:rPr>
                <w:color w:val="333333"/>
                <w:sz w:val="19"/>
              </w:rPr>
              <w:t>9/10</w:t>
            </w:r>
          </w:p>
        </w:tc>
        <w:tc>
          <w:tcPr>
            <w:tcW w:type="dxa" w:w="3744"/>
          </w:tcPr>
          <w:p>
            <w:r>
              <w:rPr>
                <w:color w:val="333333"/>
                <w:sz w:val="19"/>
              </w:rPr>
              <w:t>ITSG is AHEAD of UCC — monitoring baseline written to Delta</w:t>
            </w:r>
          </w:p>
        </w:tc>
      </w:tr>
      <w:tr>
        <w:tc>
          <w:tcPr>
            <w:tcW w:type="dxa" w:w="3744"/>
          </w:tcPr>
          <w:p>
            <w:r>
              <w:rPr>
                <w:color w:val="333333"/>
                <w:sz w:val="19"/>
              </w:rPr>
              <w:t>MLflow tracking</w:t>
            </w:r>
          </w:p>
        </w:tc>
        <w:tc>
          <w:tcPr>
            <w:tcW w:type="dxa" w:w="1152"/>
          </w:tcPr>
          <w:p>
            <w:r>
              <w:rPr>
                <w:color w:val="333333"/>
                <w:sz w:val="19"/>
              </w:rPr>
              <w:t>8/10</w:t>
            </w:r>
          </w:p>
        </w:tc>
        <w:tc>
          <w:tcPr>
            <w:tcW w:type="dxa" w:w="1152"/>
          </w:tcPr>
          <w:p>
            <w:r>
              <w:rPr>
                <w:color w:val="333333"/>
                <w:sz w:val="19"/>
              </w:rPr>
              <w:t>3/10</w:t>
            </w:r>
          </w:p>
        </w:tc>
        <w:tc>
          <w:tcPr>
            <w:tcW w:type="dxa" w:w="3744"/>
          </w:tcPr>
          <w:p>
            <w:r>
              <w:rPr>
                <w:color w:val="333333"/>
                <w:sz w:val="19"/>
              </w:rPr>
              <w:t>No mlflow.start_run in ITSG notebook</w:t>
            </w:r>
          </w:p>
        </w:tc>
      </w:tr>
      <w:tr>
        <w:tc>
          <w:tcPr>
            <w:tcW w:type="dxa" w:w="3744"/>
          </w:tcPr>
          <w:p>
            <w:r>
              <w:rPr>
                <w:color w:val="333333"/>
                <w:sz w:val="19"/>
              </w:rPr>
              <w:t>OVERALL</w:t>
            </w:r>
          </w:p>
        </w:tc>
        <w:tc>
          <w:tcPr>
            <w:tcW w:type="dxa" w:w="1152"/>
          </w:tcPr>
          <w:p>
            <w:r>
              <w:rPr>
                <w:color w:val="333333"/>
                <w:sz w:val="19"/>
              </w:rPr>
              <w:t>83/100</w:t>
            </w:r>
          </w:p>
        </w:tc>
        <w:tc>
          <w:tcPr>
            <w:tcW w:type="dxa" w:w="1152"/>
          </w:tcPr>
          <w:p>
            <w:r>
              <w:rPr>
                <w:color w:val="333333"/>
                <w:sz w:val="19"/>
              </w:rPr>
              <w:t>51/100</w:t>
            </w:r>
          </w:p>
        </w:tc>
        <w:tc>
          <w:tcPr>
            <w:tcW w:type="dxa" w:w="3744"/>
          </w:tcPr>
          <w:p>
            <w:r>
              <w:rPr>
                <w:color w:val="333333"/>
                <w:sz w:val="19"/>
              </w:rPr>
              <w:t>32 point gap — ITSG is significantly behind UCC</w:t>
            </w:r>
          </w:p>
        </w:tc>
      </w:tr>
    </w:tbl>
    <w:p/>
    <w:p>
      <w:r>
        <w:br w:type="page"/>
      </w:r>
    </w:p>
    <w:p>
      <w:pPr>
        <w:pStyle w:val="Heading1"/>
      </w:pPr>
      <w:r>
        <w:rPr>
          <w:b/>
          <w:color w:val="0047AB"/>
        </w:rPr>
        <w:t>Section 2: Model Review — All 5 Models</w:t>
      </w:r>
    </w:p>
    <w:p>
      <w:pPr>
        <w:pStyle w:val="Heading2"/>
      </w:pPr>
      <w:r>
        <w:rPr>
          <w:b/>
          <w:color w:val="0047AB"/>
        </w:rPr>
        <w:t>2.1 Prophet — Incorrectly Configured</w:t>
      </w:r>
    </w:p>
    <w:p>
      <w:pPr>
        <w:spacing w:after="120"/>
      </w:pPr>
      <w:r>
        <w:rPr>
          <w:b w:val="0"/>
          <w:i w:val="0"/>
          <w:color w:val="333333"/>
          <w:sz w:val="21"/>
        </w:rPr>
        <w:t>ITSG uses: Prophet(yearly_seasonality=True, seasonality_mode="multiplicative", changepoint_prior_scale=0.05). This is fundamentally different from UCC which uses trend-only Prophet + WoQ empirical profile.</w:t>
      </w:r>
    </w:p>
    <w:p>
      <w:pPr>
        <w:pStyle w:val="ListBullet"/>
        <w:ind w:left="504"/>
      </w:pPr>
      <w:r>
        <w:rPr>
          <w:color w:val="CC0000"/>
          <w:sz w:val="20"/>
        </w:rPr>
        <w:t>Problem 1: yearly_seasonality=True with multiplicative mode on 3 years of data. Prophet fits Fourier-based annual seasonality by multiplying the trend — on 3 years of data this can amplify noise in the seasonal estimate. The multiplicative assumption means large-magnitude errors in Q4 when ARR is highest.</w:t>
      </w:r>
    </w:p>
    <w:p>
      <w:pPr>
        <w:pStyle w:val="ListBullet"/>
        <w:ind w:left="504"/>
      </w:pPr>
      <w:r>
        <w:rPr>
          <w:color w:val="333333"/>
          <w:sz w:val="20"/>
        </w:rPr>
        <w:t>Problem 2: No WoQ empirical profile. The week-of-quarter ramp pattern (slow weeks 1-8, acceleration weeks 9-13) is the most predictable seasonality pattern in B2B SaaS. UCC captures this explicitly; ITSG does not.</w:t>
      </w:r>
    </w:p>
    <w:p>
      <w:pPr>
        <w:pStyle w:val="ListBullet"/>
        <w:ind w:left="504"/>
      </w:pPr>
      <w:r>
        <w:rPr>
          <w:color w:val="333333"/>
          <w:sz w:val="20"/>
        </w:rPr>
        <w:t>Problem 3: changepoint_prior_scale=0.05 is more conservative than UCC (0.08). If ITSG has had structural changes (new product lines, sales reorg), this may underfit trend shifts.</w:t>
      </w:r>
    </w:p>
    <w:p>
      <w:pPr>
        <w:pStyle w:val="ListBullet"/>
        <w:ind w:left="504"/>
      </w:pPr>
      <w:r>
        <w:rPr>
          <w:color w:val="333333"/>
          <w:sz w:val="20"/>
        </w:rPr>
        <w:t>Recommendation: Replace with trend-only Prophet (yearly_seasonality=False) + compute_woq_seasonal_profile() exactly as in UCC V5+. Expected improvement: -3 to -8 pp WAPE.</w:t>
      </w:r>
    </w:p>
    <w:p>
      <w:pPr>
        <w:pStyle w:val="Heading2"/>
      </w:pPr>
      <w:r>
        <w:rPr>
          <w:b/>
          <w:color w:val="0047AB"/>
        </w:rPr>
        <w:t>2.2 MSTL v2 — Correctly Configured</w:t>
      </w:r>
    </w:p>
    <w:p>
      <w:pPr>
        <w:spacing w:after="120"/>
      </w:pPr>
      <w:r>
        <w:rPr>
          <w:b w:val="0"/>
          <w:i w:val="0"/>
          <w:color w:val="333333"/>
          <w:sz w:val="21"/>
        </w:rPr>
        <w:t>MSTL(season_length=[4,13,52], trend_forecaster=AutoETS(ZZN)). Identical to UCC V7. This is the strongest model in the benchmark for capturing multi-scale seasonality. KEEP — no changes needed. However, MSTL performance on ITSG may be worse if ITSG ARR is lumpier (fewer deals per week) because STL decomposition is sensitive to outliers.</w:t>
      </w:r>
    </w:p>
    <w:p>
      <w:pPr>
        <w:pStyle w:val="ListBullet"/>
        <w:ind w:left="504"/>
      </w:pPr>
      <w:r>
        <w:rPr>
          <w:color w:val="333333"/>
          <w:sz w:val="20"/>
        </w:rPr>
        <w:t>Recommendation: Apply outlier smoothing to itsg_raw before MSTL training. Replace extreme weeks (|z| &gt; 3) with rolling median. This prevents a single large deal from distorting the seasonal component.</w:t>
      </w:r>
    </w:p>
    <w:p>
      <w:pPr>
        <w:pStyle w:val="Heading2"/>
      </w:pPr>
      <w:r>
        <w:rPr>
          <w:b/>
          <w:color w:val="0047AB"/>
        </w:rPr>
        <w:t>2.3 ETS — Wrong Specification</w:t>
      </w:r>
    </w:p>
    <w:p>
      <w:pPr>
        <w:spacing w:after="120"/>
      </w:pPr>
      <w:r>
        <w:rPr>
          <w:b w:val="0"/>
          <w:i w:val="0"/>
          <w:color w:val="333333"/>
          <w:sz w:val="21"/>
        </w:rPr>
        <w:t>ITSG uses: ExponentialSmoothing(trend="add", seasonal="add", seasonal_periods=13). Two problems:</w:t>
      </w:r>
    </w:p>
    <w:p>
      <w:pPr>
        <w:pStyle w:val="ListBullet"/>
        <w:ind w:left="504"/>
      </w:pPr>
      <w:r>
        <w:rPr>
          <w:color w:val="CC0000"/>
          <w:sz w:val="20"/>
        </w:rPr>
        <w:t>seasonal="add" is wrong for a growing ARR series. When ARR grows from $X to $2X, the seasonal amplitude in an additive model stays fixed at the original amplitude. Multiplicative seasonal correctly scales with ARR level. UCC V6 fixed this — ITSG has not inherited the fix.</w:t>
      </w:r>
    </w:p>
    <w:p>
      <w:pPr>
        <w:pStyle w:val="ListBullet"/>
        <w:ind w:left="504"/>
      </w:pPr>
      <w:r>
        <w:rPr>
          <w:color w:val="B86A00"/>
          <w:sz w:val="20"/>
        </w:rPr>
        <w:t>seasonal_periods=13 (quarterly) vs UCC which uses 52 (annual). A quarterly period captures intra-quarter dynamics but misses annual cycles (Q4 is consistently the highest ARR quarter every year). Both should be captured. Consider MSTL instead of ETS for this purpose.</w:t>
      </w:r>
    </w:p>
    <w:p>
      <w:pPr>
        <w:pStyle w:val="ListBullet"/>
        <w:ind w:left="504"/>
      </w:pPr>
      <w:r>
        <w:rPr>
          <w:color w:val="333333"/>
          <w:sz w:val="20"/>
        </w:rPr>
        <w:t>Recommendation: Change to seasonal="mul", seasonal_periods=52, damped_trend=True, window=104 — exactly as UCC V6. Expected improvement: -2 to -5 pp WAPE on ETS.</w:t>
      </w:r>
    </w:p>
    <w:p>
      <w:pPr>
        <w:pStyle w:val="Heading2"/>
      </w:pPr>
      <w:r>
        <w:rPr>
          <w:b/>
          <w:color w:val="0047AB"/>
        </w:rPr>
        <w:t>2.4 DHR-ARIMA — Suboptimally Configured for ITSG</w:t>
      </w:r>
    </w:p>
    <w:p>
      <w:pPr>
        <w:spacing w:after="120"/>
      </w:pPr>
      <w:r>
        <w:rPr>
          <w:b w:val="0"/>
          <w:i w:val="0"/>
          <w:color w:val="333333"/>
          <w:sz w:val="21"/>
        </w:rPr>
        <w:t>ITSG DHR is fitted on the TOTAL ITSG series (not per-market). Regressors: Fourier(13, K=2) + Fourier(52, K=2) + created_lag4 + headcount_lag4 + pipeline_velocity_lag4 + quarter_end_flag + us_holiday_binary.</w:t>
      </w:r>
    </w:p>
    <w:p>
      <w:pPr>
        <w:pStyle w:val="ListBullet"/>
        <w:ind w:left="504"/>
      </w:pPr>
      <w:r>
        <w:rPr>
          <w:color w:val="B86A00"/>
          <w:sz w:val="20"/>
        </w:rPr>
        <w:t>Total-level fitting loses market-specific dynamics. APAC and NA likely have very different seasonal patterns, deal sizes, and pipeline behaviors. UCC fits DHR per market. ITSG should do the same.</w:t>
      </w:r>
    </w:p>
    <w:p>
      <w:pPr>
        <w:pStyle w:val="ListBullet"/>
        <w:ind w:left="504"/>
      </w:pPr>
      <w:r>
        <w:rPr>
          <w:color w:val="CC0000"/>
          <w:sz w:val="20"/>
        </w:rPr>
        <w:t>CRITICAL: Fourier indices are computed as np.arange(len(total)) — integer position in the full dataframe. When sliced for CV fold training, the indices are still based on full-dataframe position but the model sees a subset. This creates a phase shift between training and test Fourier terms. Use calendar-based Fourier (2*pi*week_of_year/52) instead of positional.</w:t>
      </w:r>
    </w:p>
    <w:p>
      <w:pPr>
        <w:pStyle w:val="ListBullet"/>
        <w:ind w:left="504"/>
      </w:pPr>
      <w:r>
        <w:rPr>
          <w:color w:val="333333"/>
          <w:sz w:val="20"/>
        </w:rPr>
        <w:t>headcount_lag4 uses fillna(method="bfill") — pandas deprecated syntax. Should use fillna(df.bfill()) or ffill/bfill separately.</w:t>
      </w:r>
    </w:p>
    <w:p>
      <w:pPr>
        <w:pStyle w:val="ListBullet"/>
        <w:ind w:left="504"/>
      </w:pPr>
      <w:r>
        <w:rPr>
          <w:color w:val="333333"/>
          <w:sz w:val="20"/>
        </w:rPr>
        <w:t>Recommendation: Refactor to per-market DHR (like UCC) with calendar-based Fourier terms. Effort: 2 days. Expected improvement: -2 to -4 pp WAPE on DHR.</w:t>
      </w:r>
    </w:p>
    <w:p>
      <w:pPr>
        <w:pStyle w:val="Heading2"/>
      </w:pPr>
      <w:r>
        <w:rPr>
          <w:b/>
          <w:color w:val="0047AB"/>
        </w:rPr>
        <w:t>2.5 Global LGB Quantile — 36 Features, Several Bugs</w:t>
      </w:r>
    </w:p>
    <w:p>
      <w:pPr>
        <w:spacing w:after="120"/>
      </w:pPr>
      <w:r>
        <w:rPr>
          <w:b w:val="0"/>
          <w:i w:val="0"/>
          <w:color w:val="333333"/>
          <w:sz w:val="21"/>
        </w:rPr>
        <w:t>Three independent LGB models (P10/P50/P90) trained on 36 GLOBAL_FEATURE_COLS. Several critical issues:</w:t>
      </w:r>
    </w:p>
    <w:p>
      <w:pPr>
        <w:pStyle w:val="ListBullet"/>
        <w:ind w:left="504"/>
      </w:pPr>
      <w:r>
        <w:rPr>
          <w:color w:val="CC0000"/>
          <w:sz w:val="20"/>
        </w:rPr>
        <w:t>BUG P0: yoy_growth = (y - lag_52) / lag_52 with no clipping or NaN guard. ITSG history starts 2023-01-02. Rows where lag_52=0 produce Inf, and rows with lag_52 near zero produce extreme ratios. These corrupt tree split decisions. Fix: clip to [-3.0, 3.0] and handle zero denominator exactly as UCC does.</w:t>
      </w:r>
    </w:p>
    <w:p>
      <w:pPr>
        <w:pStyle w:val="ListBullet"/>
        <w:ind w:left="504"/>
      </w:pPr>
      <w:r>
        <w:rPr>
          <w:color w:val="CC0000"/>
          <w:sz w:val="20"/>
        </w:rPr>
        <w:t>BUG P0: qoq_momentum = y_lag1 - y_lag13 (raw dollar difference). This is scale-dependent — a $200K momentum swing in LATAM (small market) is treated identically to a $200K swing in NA (large market). UCC uses a ratio-based momentum. Fix: qoq_momentum = (y_lag1 / y_lag13.replace(0, np.nan) - 1.0).clip(-3, 3).fillna(0.0)</w:t>
      </w:r>
    </w:p>
    <w:p>
      <w:pPr>
        <w:pStyle w:val="ListBullet"/>
        <w:ind w:left="504"/>
      </w:pPr>
      <w:r>
        <w:rPr>
          <w:color w:val="CC0000"/>
          <w:sz w:val="20"/>
        </w:rPr>
        <w:t>BUG P0: No quantile crossing guard. P10 and P90 predictions are clipped to &gt;=0 but not enforced to respect p10 &lt;= p50 &lt;= p90. UCC has had this fix since V5.</w:t>
      </w:r>
    </w:p>
    <w:p>
      <w:pPr>
        <w:pStyle w:val="ListBullet"/>
        <w:ind w:left="504"/>
      </w:pPr>
      <w:r>
        <w:rPr>
          <w:color w:val="B86A00"/>
          <w:sz w:val="20"/>
        </w:rPr>
        <w:t>No early stopping. n_estimators=400 fixed. ITSG market slices (especially LATAM, Unknown) may have &lt;30 training rows per CV fold — 400 trees will massively overfit.</w:t>
      </w:r>
    </w:p>
    <w:p>
      <w:pPr>
        <w:pStyle w:val="ListBullet"/>
        <w:ind w:left="504"/>
      </w:pPr>
      <w:r>
        <w:rPr>
          <w:color w:val="333333"/>
          <w:sz w:val="20"/>
        </w:rPr>
        <w:t>Missing win_rate_woq: the rolling win rate by week-of-quarter is a key signal for Q4 acceleration. UCC uses it; ITSG does not.</w:t>
      </w:r>
    </w:p>
    <w:p>
      <w:pPr>
        <w:pStyle w:val="ListBullet"/>
        <w:ind w:left="504"/>
      </w:pPr>
      <w:r>
        <w:rPr>
          <w:color w:val="333333"/>
          <w:sz w:val="20"/>
        </w:rPr>
        <w:t>chronology filter (d &gt;= 2024-01-01) is defined but NOT used in the CV loop. The loop uses fold_specs from model_df (full history). This dead code is misleading.</w:t>
      </w:r>
    </w:p>
    <w:p>
      <w:pPr>
        <w:pStyle w:val="ListBullet"/>
        <w:ind w:left="504"/>
      </w:pPr>
      <w:r>
        <w:rPr>
          <w:color w:val="333333"/>
          <w:sz w:val="20"/>
        </w:rPr>
        <w:t>CV loop does not compute P10/P90 per fold — only P50 WAPE tracked. CI coverage cannot be assessed.</w:t>
      </w:r>
    </w:p>
    <w:p>
      <w:pPr>
        <w:pStyle w:val="ListBullet"/>
        <w:ind w:left="504"/>
      </w:pPr>
      <w:r>
        <w:rPr>
          <w:color w:val="333333"/>
          <w:sz w:val="20"/>
        </w:rPr>
        <w:t>No MLflow tracking — no mlflow.start_run() in Cell 6. All LGB experiments are untracked.</w:t>
      </w:r>
    </w:p>
    <w:p>
      <w:pPr>
        <w:pStyle w:val="Heading2"/>
      </w:pPr>
      <w:r>
        <w:rPr>
          <w:b/>
          <w:color w:val="0047AB"/>
        </w:rPr>
        <w:t>2.6 Adaptive Ensemble — Weak Implementation</w:t>
      </w:r>
    </w:p>
    <w:p>
      <w:pPr>
        <w:spacing w:after="120"/>
      </w:pPr>
      <w:r>
        <w:rPr>
          <w:b w:val="0"/>
          <w:i w:val="0"/>
          <w:color w:val="333333"/>
          <w:sz w:val="21"/>
        </w:rPr>
        <w:t>ITSG ensemble uses simple 1/WAPE weights from holdout metrics: weight = (1/holdout_wape) / sum(1/holdout_wape_all). Applied to production total forecasts.</w:t>
      </w:r>
    </w:p>
    <w:p>
      <w:pPr>
        <w:pStyle w:val="ListBullet"/>
        <w:ind w:left="504"/>
      </w:pPr>
      <w:r>
        <w:rPr>
          <w:color w:val="B86A00"/>
          <w:sz w:val="20"/>
        </w:rPr>
        <w:t>UCC uses Granger-Ramanathan covariance-optimal weights (w = pinv(Sigma) @ ones) which accounts for error correlations. When two models make correlated errors, GR down-weights both. Simple 1/WAPE treats them as independent.</w:t>
      </w:r>
    </w:p>
    <w:p>
      <w:pPr>
        <w:pStyle w:val="ListBullet"/>
        <w:ind w:left="504"/>
      </w:pPr>
      <w:r>
        <w:rPr>
          <w:color w:val="333333"/>
          <w:sz w:val="20"/>
        </w:rPr>
        <w:t>Using HOLDOUT WAPE for ensemble weights (not CV WAPE) means the weights are estimated from only 26 weeks of data (Q1-Q2 2026). This is a small sample for weight estimation.</w:t>
      </w:r>
    </w:p>
    <w:p>
      <w:pPr>
        <w:pStyle w:val="ListBullet"/>
        <w:ind w:left="504"/>
      </w:pPr>
      <w:r>
        <w:rPr>
          <w:color w:val="333333"/>
          <w:sz w:val="20"/>
        </w:rPr>
        <w:t>Recommendation: Replace with GR covariance-optimal ensemble using CV fold predictions, with fallback to 1/WAPE. Adapt estimate_mint_covariances() from UCC V5+.</w:t>
      </w:r>
    </w:p>
    <w:p/>
    <w:p>
      <w:r>
        <w:br w:type="page"/>
      </w:r>
    </w:p>
    <w:p>
      <w:pPr>
        <w:pStyle w:val="Heading1"/>
      </w:pPr>
      <w:r>
        <w:rPr>
          <w:b/>
          <w:color w:val="0047AB"/>
        </w:rPr>
        <w:t>Section 3: Seasonality Handling</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0047AB"/>
          </w:tcPr>
          <w:p>
            <w:r>
              <w:rPr>
                <w:b/>
                <w:color w:val="FFFFFF"/>
                <w:sz w:val="20"/>
              </w:rPr>
              <w:t>Model</w:t>
            </w:r>
          </w:p>
        </w:tc>
        <w:tc>
          <w:tcPr>
            <w:tcW w:type="dxa" w:w="2880"/>
            <w:shd w:val="clear" w:color="auto" w:fill="0047AB"/>
          </w:tcPr>
          <w:p>
            <w:r>
              <w:rPr>
                <w:b/>
                <w:color w:val="FFFFFF"/>
                <w:sz w:val="20"/>
              </w:rPr>
              <w:t>Method</w:t>
            </w:r>
          </w:p>
        </w:tc>
        <w:tc>
          <w:tcPr>
            <w:tcW w:type="dxa" w:w="1440"/>
            <w:shd w:val="clear" w:color="auto" w:fill="0047AB"/>
          </w:tcPr>
          <w:p>
            <w:r>
              <w:rPr>
                <w:b/>
                <w:color w:val="FFFFFF"/>
                <w:sz w:val="20"/>
              </w:rPr>
              <w:t>Status</w:t>
            </w:r>
          </w:p>
        </w:tc>
        <w:tc>
          <w:tcPr>
            <w:tcW w:type="dxa" w:w="3744"/>
            <w:shd w:val="clear" w:color="auto" w:fill="0047AB"/>
          </w:tcPr>
          <w:p>
            <w:r>
              <w:rPr>
                <w:b/>
                <w:color w:val="FFFFFF"/>
                <w:sz w:val="20"/>
              </w:rPr>
              <w:t>Issue</w:t>
            </w:r>
          </w:p>
        </w:tc>
      </w:tr>
      <w:tr>
        <w:tc>
          <w:tcPr>
            <w:tcW w:type="dxa" w:w="1728"/>
          </w:tcPr>
          <w:p>
            <w:r>
              <w:rPr>
                <w:color w:val="333333"/>
                <w:sz w:val="19"/>
              </w:rPr>
              <w:t>MSTL v2</w:t>
            </w:r>
          </w:p>
        </w:tc>
        <w:tc>
          <w:tcPr>
            <w:tcW w:type="dxa" w:w="2880"/>
          </w:tcPr>
          <w:p>
            <w:r>
              <w:rPr>
                <w:color w:val="333333"/>
                <w:sz w:val="19"/>
              </w:rPr>
              <w:t>STL [4,13,52]</w:t>
            </w:r>
          </w:p>
        </w:tc>
        <w:tc>
          <w:tcPr>
            <w:tcW w:type="dxa" w:w="1440"/>
          </w:tcPr>
          <w:p>
            <w:r>
              <w:rPr>
                <w:color w:val="333333"/>
                <w:sz w:val="19"/>
              </w:rPr>
              <w:t>CORRECT</w:t>
            </w:r>
          </w:p>
        </w:tc>
        <w:tc>
          <w:tcPr>
            <w:tcW w:type="dxa" w:w="3744"/>
          </w:tcPr>
          <w:p>
            <w:r>
              <w:rPr>
                <w:color w:val="333333"/>
                <w:sz w:val="19"/>
              </w:rPr>
              <w:t>Best seasonality model — keep</w:t>
            </w:r>
          </w:p>
        </w:tc>
      </w:tr>
      <w:tr>
        <w:tc>
          <w:tcPr>
            <w:tcW w:type="dxa" w:w="1728"/>
          </w:tcPr>
          <w:p>
            <w:r>
              <w:rPr>
                <w:color w:val="333333"/>
                <w:sz w:val="19"/>
              </w:rPr>
              <w:t>ETS</w:t>
            </w:r>
          </w:p>
        </w:tc>
        <w:tc>
          <w:tcPr>
            <w:tcW w:type="dxa" w:w="2880"/>
          </w:tcPr>
          <w:p>
            <w:r>
              <w:rPr>
                <w:color w:val="333333"/>
                <w:sz w:val="19"/>
              </w:rPr>
              <w:t>Additive seasonal, period=13</w:t>
            </w:r>
          </w:p>
        </w:tc>
        <w:tc>
          <w:tcPr>
            <w:tcW w:type="dxa" w:w="1440"/>
          </w:tcPr>
          <w:p>
            <w:r>
              <w:rPr>
                <w:color w:val="333333"/>
                <w:sz w:val="19"/>
              </w:rPr>
              <w:t>WRONG</w:t>
            </w:r>
          </w:p>
        </w:tc>
        <w:tc>
          <w:tcPr>
            <w:tcW w:type="dxa" w:w="3744"/>
          </w:tcPr>
          <w:p>
            <w:r>
              <w:rPr>
                <w:color w:val="333333"/>
                <w:sz w:val="19"/>
              </w:rPr>
              <w:t>Should be multiplicative, period=52</w:t>
            </w:r>
          </w:p>
        </w:tc>
      </w:tr>
      <w:tr>
        <w:tc>
          <w:tcPr>
            <w:tcW w:type="dxa" w:w="1728"/>
          </w:tcPr>
          <w:p>
            <w:r>
              <w:rPr>
                <w:color w:val="333333"/>
                <w:sz w:val="19"/>
              </w:rPr>
              <w:t>Prophet</w:t>
            </w:r>
          </w:p>
        </w:tc>
        <w:tc>
          <w:tcPr>
            <w:tcW w:type="dxa" w:w="2880"/>
          </w:tcPr>
          <w:p>
            <w:r>
              <w:rPr>
                <w:color w:val="333333"/>
                <w:sz w:val="19"/>
              </w:rPr>
              <w:t>Yearly seasonality=True, multiplicative</w:t>
            </w:r>
          </w:p>
        </w:tc>
        <w:tc>
          <w:tcPr>
            <w:tcW w:type="dxa" w:w="1440"/>
          </w:tcPr>
          <w:p>
            <w:r>
              <w:rPr>
                <w:color w:val="333333"/>
                <w:sz w:val="19"/>
              </w:rPr>
              <w:t>WRONG</w:t>
            </w:r>
          </w:p>
        </w:tc>
        <w:tc>
          <w:tcPr>
            <w:tcW w:type="dxa" w:w="3744"/>
          </w:tcPr>
          <w:p>
            <w:r>
              <w:rPr>
                <w:color w:val="333333"/>
                <w:sz w:val="19"/>
              </w:rPr>
              <w:t>No WoQ profile; artifacts on 3yr data</w:t>
            </w:r>
          </w:p>
        </w:tc>
      </w:tr>
      <w:tr>
        <w:tc>
          <w:tcPr>
            <w:tcW w:type="dxa" w:w="1728"/>
          </w:tcPr>
          <w:p>
            <w:r>
              <w:rPr>
                <w:color w:val="333333"/>
                <w:sz w:val="19"/>
              </w:rPr>
              <w:t>DHR-ARIMA</w:t>
            </w:r>
          </w:p>
        </w:tc>
        <w:tc>
          <w:tcPr>
            <w:tcW w:type="dxa" w:w="2880"/>
          </w:tcPr>
          <w:p>
            <w:r>
              <w:rPr>
                <w:color w:val="333333"/>
                <w:sz w:val="19"/>
              </w:rPr>
              <w:t>Fourier(13,K=2) + Fourier(52,K=2)</w:t>
            </w:r>
          </w:p>
        </w:tc>
        <w:tc>
          <w:tcPr>
            <w:tcW w:type="dxa" w:w="1440"/>
          </w:tcPr>
          <w:p>
            <w:r>
              <w:rPr>
                <w:color w:val="333333"/>
                <w:sz w:val="19"/>
              </w:rPr>
              <w:t>PARTIAL</w:t>
            </w:r>
          </w:p>
        </w:tc>
        <w:tc>
          <w:tcPr>
            <w:tcW w:type="dxa" w:w="3744"/>
          </w:tcPr>
          <w:p>
            <w:r>
              <w:rPr>
                <w:color w:val="333333"/>
                <w:sz w:val="19"/>
              </w:rPr>
              <w:t>Positional index issue causes phase shift in CV</w:t>
            </w:r>
          </w:p>
        </w:tc>
      </w:tr>
      <w:tr>
        <w:tc>
          <w:tcPr>
            <w:tcW w:type="dxa" w:w="1728"/>
          </w:tcPr>
          <w:p>
            <w:r>
              <w:rPr>
                <w:color w:val="333333"/>
                <w:sz w:val="19"/>
              </w:rPr>
              <w:t>Global LGB</w:t>
            </w:r>
          </w:p>
        </w:tc>
        <w:tc>
          <w:tcPr>
            <w:tcW w:type="dxa" w:w="2880"/>
          </w:tcPr>
          <w:p>
            <w:r>
              <w:rPr>
                <w:color w:val="333333"/>
                <w:sz w:val="19"/>
              </w:rPr>
              <w:t>Calendar features: woq_sin/cos, qtr_sin/cos, week_of_qtr, us_holiday_binary</w:t>
            </w:r>
          </w:p>
        </w:tc>
        <w:tc>
          <w:tcPr>
            <w:tcW w:type="dxa" w:w="1440"/>
          </w:tcPr>
          <w:p>
            <w:r>
              <w:rPr>
                <w:color w:val="333333"/>
                <w:sz w:val="19"/>
              </w:rPr>
              <w:t>PARTIAL</w:t>
            </w:r>
          </w:p>
        </w:tc>
        <w:tc>
          <w:tcPr>
            <w:tcW w:type="dxa" w:w="3744"/>
          </w:tcPr>
          <w:p>
            <w:r>
              <w:rPr>
                <w:color w:val="333333"/>
                <w:sz w:val="19"/>
              </w:rPr>
              <w:t>No regional holidays; no win_rate_woq</w:t>
            </w:r>
          </w:p>
        </w:tc>
      </w:tr>
    </w:tbl>
    <w:p/>
    <w:p>
      <w:pPr>
        <w:pStyle w:val="ListBullet"/>
        <w:ind w:left="504"/>
      </w:pPr>
      <w:r>
        <w:rPr>
          <w:color w:val="333333"/>
          <w:sz w:val="20"/>
        </w:rPr>
        <w:t>ITSG deals likely follow a strong Q4 end-of-quarter pattern (B2B IT services are heavily quota-driven). Without WoQ empirical profile on Prophet, and with additive seasonal on ETS missing the amplitude scaling, both models systematically underestimate Q4 peaks.</w:t>
      </w:r>
    </w:p>
    <w:p>
      <w:pPr>
        <w:pStyle w:val="ListBullet"/>
        <w:ind w:left="504"/>
      </w:pPr>
      <w:r>
        <w:rPr>
          <w:color w:val="333333"/>
          <w:sz w:val="20"/>
        </w:rPr>
        <w:t>ITSG may have a stronger annual cycle than UCC due to IT budget cycles (January budget unlock, Q4 year-end spend). A seasonal_periods=52 ETS or an annual Fourier term is more appropriate than seasonal_periods=13.</w:t>
      </w:r>
    </w:p>
    <w:p>
      <w:pPr>
        <w:pStyle w:val="ListBullet"/>
        <w:ind w:left="504"/>
      </w:pPr>
      <w:r>
        <w:rPr>
          <w:color w:val="333333"/>
          <w:sz w:val="20"/>
        </w:rPr>
        <w:t>No regional holiday calendars. ITSG APAC market (India IT services) has Diwali, Republic Day, and Eid as meaningful demand dips. These are unmodeled.</w:t>
      </w:r>
    </w:p>
    <w:p>
      <w:pPr>
        <w:pStyle w:val="ListBullet"/>
        <w:ind w:left="504"/>
      </w:pPr>
      <w:r>
        <w:rPr>
          <w:color w:val="333333"/>
          <w:sz w:val="20"/>
        </w:rPr>
        <w:t>Recommendation: Add compute_woq_seasonal_profile() from UCC to ITSG Prophet. Add EMEA/APAC/LATAM holiday calendars to LGB. Change ETS to multiplicative/52.</w:t>
      </w:r>
    </w:p>
    <w:p/>
    <w:p>
      <w:r>
        <w:br w:type="page"/>
      </w:r>
    </w:p>
    <w:p>
      <w:pPr>
        <w:pStyle w:val="Heading1"/>
      </w:pPr>
      <w:r>
        <w:rPr>
          <w:b/>
          <w:color w:val="0047AB"/>
        </w:rPr>
        <w:t>Section 4: Data Quality &amp; Feature Engineering</w:t>
      </w:r>
    </w:p>
    <w:p>
      <w:pPr>
        <w:pStyle w:val="Heading2"/>
      </w:pPr>
      <w:r>
        <w:rPr>
          <w:b/>
          <w:color w:val="0047AB"/>
        </w:rPr>
        <w:t>4.1 Source Data — Key Difference from UCC</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0047AB"/>
          </w:tcPr>
          <w:p>
            <w:r>
              <w:rPr>
                <w:b/>
                <w:color w:val="FFFFFF"/>
                <w:sz w:val="20"/>
              </w:rPr>
              <w:t>Attribute</w:t>
            </w:r>
          </w:p>
        </w:tc>
        <w:tc>
          <w:tcPr>
            <w:tcW w:type="dxa" w:w="2592"/>
            <w:shd w:val="clear" w:color="auto" w:fill="0047AB"/>
          </w:tcPr>
          <w:p>
            <w:r>
              <w:rPr>
                <w:b/>
                <w:color w:val="FFFFFF"/>
                <w:sz w:val="20"/>
              </w:rPr>
              <w:t>ITSG Value</w:t>
            </w:r>
          </w:p>
        </w:tc>
        <w:tc>
          <w:tcPr>
            <w:tcW w:type="dxa" w:w="2592"/>
            <w:shd w:val="clear" w:color="auto" w:fill="0047AB"/>
          </w:tcPr>
          <w:p>
            <w:r>
              <w:rPr>
                <w:b/>
                <w:color w:val="FFFFFF"/>
                <w:sz w:val="20"/>
              </w:rPr>
              <w:t>UCC Value</w:t>
            </w:r>
          </w:p>
        </w:tc>
        <w:tc>
          <w:tcPr>
            <w:tcW w:type="dxa" w:w="2016"/>
            <w:shd w:val="clear" w:color="auto" w:fill="0047AB"/>
          </w:tcPr>
          <w:p>
            <w:r>
              <w:rPr>
                <w:b/>
                <w:color w:val="FFFFFF"/>
                <w:sz w:val="20"/>
              </w:rPr>
              <w:t>Note</w:t>
            </w:r>
          </w:p>
        </w:tc>
      </w:tr>
      <w:tr>
        <w:tc>
          <w:tcPr>
            <w:tcW w:type="dxa" w:w="2880"/>
          </w:tcPr>
          <w:p>
            <w:r>
              <w:rPr>
                <w:color w:val="333333"/>
                <w:sz w:val="19"/>
              </w:rPr>
              <w:t>ARR column</w:t>
            </w:r>
          </w:p>
        </w:tc>
        <w:tc>
          <w:tcPr>
            <w:tcW w:type="dxa" w:w="2592"/>
          </w:tcPr>
          <w:p>
            <w:r>
              <w:rPr>
                <w:color w:val="333333"/>
                <w:sz w:val="19"/>
              </w:rPr>
              <w:t>total_amount</w:t>
            </w:r>
          </w:p>
        </w:tc>
        <w:tc>
          <w:tcPr>
            <w:tcW w:type="dxa" w:w="2592"/>
          </w:tcPr>
          <w:p>
            <w:r>
              <w:rPr>
                <w:color w:val="333333"/>
                <w:sz w:val="19"/>
              </w:rPr>
              <w:t>amount_towards_plan</w:t>
            </w:r>
          </w:p>
        </w:tc>
        <w:tc>
          <w:tcPr>
            <w:tcW w:type="dxa" w:w="2016"/>
          </w:tcPr>
          <w:p>
            <w:r>
              <w:rPr>
                <w:color w:val="333333"/>
                <w:sz w:val="19"/>
              </w:rPr>
              <w:t>VERIFY: total_amount includes all amounts; amount_towards_plan is plan-credited only</w:t>
            </w:r>
          </w:p>
        </w:tc>
      </w:tr>
      <w:tr>
        <w:tc>
          <w:tcPr>
            <w:tcW w:type="dxa" w:w="2880"/>
          </w:tcPr>
          <w:p>
            <w:r>
              <w:rPr>
                <w:color w:val="333333"/>
                <w:sz w:val="19"/>
              </w:rPr>
              <w:t>Product filter</w:t>
            </w:r>
          </w:p>
        </w:tc>
        <w:tc>
          <w:tcPr>
            <w:tcW w:type="dxa" w:w="2592"/>
          </w:tcPr>
          <w:p>
            <w:r>
              <w:rPr>
                <w:color w:val="333333"/>
                <w:sz w:val="19"/>
              </w:rPr>
              <w:t>product_group = 'ITSG'</w:t>
            </w:r>
          </w:p>
        </w:tc>
        <w:tc>
          <w:tcPr>
            <w:tcW w:type="dxa" w:w="2592"/>
          </w:tcPr>
          <w:p>
            <w:r>
              <w:rPr>
                <w:color w:val="333333"/>
                <w:sz w:val="19"/>
              </w:rPr>
              <w:t>product_group = 'UCC'</w:t>
            </w:r>
          </w:p>
        </w:tc>
        <w:tc>
          <w:tcPr>
            <w:tcW w:type="dxa" w:w="2016"/>
          </w:tcPr>
          <w:p>
            <w:r>
              <w:rPr>
                <w:color w:val="333333"/>
                <w:sz w:val="19"/>
              </w:rPr>
              <w:t>Correct</w:t>
            </w:r>
          </w:p>
        </w:tc>
      </w:tr>
      <w:tr>
        <w:tc>
          <w:tcPr>
            <w:tcW w:type="dxa" w:w="2880"/>
          </w:tcPr>
          <w:p>
            <w:r>
              <w:rPr>
                <w:color w:val="333333"/>
                <w:sz w:val="19"/>
              </w:rPr>
              <w:t>Market map</w:t>
            </w:r>
          </w:p>
        </w:tc>
        <w:tc>
          <w:tcPr>
            <w:tcW w:type="dxa" w:w="2592"/>
          </w:tcPr>
          <w:p>
            <w:r>
              <w:rPr>
                <w:color w:val="333333"/>
                <w:sz w:val="19"/>
              </w:rPr>
              <w:t>AUS/ROW-&gt;APAC, INDIA-&gt;APAC, UNKNOWN-&gt;Unknown</w:t>
            </w:r>
          </w:p>
        </w:tc>
        <w:tc>
          <w:tcPr>
            <w:tcW w:type="dxa" w:w="2592"/>
          </w:tcPr>
          <w:p>
            <w:r>
              <w:rPr>
                <w:color w:val="333333"/>
                <w:sz w:val="19"/>
              </w:rPr>
              <w:t>Same</w:t>
            </w:r>
          </w:p>
        </w:tc>
        <w:tc>
          <w:tcPr>
            <w:tcW w:type="dxa" w:w="2016"/>
          </w:tcPr>
          <w:p>
            <w:r>
              <w:rPr>
                <w:color w:val="333333"/>
                <w:sz w:val="19"/>
              </w:rPr>
              <w:t>Consistent</w:t>
            </w:r>
          </w:p>
        </w:tc>
      </w:tr>
      <w:tr>
        <w:tc>
          <w:tcPr>
            <w:tcW w:type="dxa" w:w="2880"/>
          </w:tcPr>
          <w:p>
            <w:r>
              <w:rPr>
                <w:color w:val="333333"/>
                <w:sz w:val="19"/>
              </w:rPr>
              <w:t>Feature table</w:t>
            </w:r>
          </w:p>
        </w:tc>
        <w:tc>
          <w:tcPr>
            <w:tcW w:type="dxa" w:w="2592"/>
          </w:tcPr>
          <w:p>
            <w:r>
              <w:rPr>
                <w:color w:val="333333"/>
                <w:sz w:val="19"/>
              </w:rPr>
              <w:t>forecast_prophet WHERE product = ITSG</w:t>
            </w:r>
          </w:p>
        </w:tc>
        <w:tc>
          <w:tcPr>
            <w:tcW w:type="dxa" w:w="2592"/>
          </w:tcPr>
          <w:p>
            <w:r>
              <w:rPr>
                <w:color w:val="333333"/>
                <w:sz w:val="19"/>
              </w:rPr>
              <w:t>Same table WHERE product = UCC</w:t>
            </w:r>
          </w:p>
        </w:tc>
        <w:tc>
          <w:tcPr>
            <w:tcW w:type="dxa" w:w="2016"/>
          </w:tcPr>
          <w:p>
            <w:r>
              <w:rPr>
                <w:color w:val="333333"/>
                <w:sz w:val="19"/>
              </w:rPr>
              <w:t>READ-ONLY confirmed</w:t>
            </w:r>
          </w:p>
        </w:tc>
      </w:tr>
      <w:tr>
        <w:tc>
          <w:tcPr>
            <w:tcW w:type="dxa" w:w="2880"/>
          </w:tcPr>
          <w:p>
            <w:r>
              <w:rPr>
                <w:color w:val="333333"/>
                <w:sz w:val="19"/>
              </w:rPr>
              <w:t>Actuals table</w:t>
            </w:r>
          </w:p>
        </w:tc>
        <w:tc>
          <w:tcPr>
            <w:tcW w:type="dxa" w:w="2592"/>
          </w:tcPr>
          <w:p>
            <w:r>
              <w:rPr>
                <w:color w:val="333333"/>
                <w:sz w:val="19"/>
              </w:rPr>
              <w:t>datagroup.uc_forecast.actuals WHERE product_genus = RSG-IT</w:t>
            </w:r>
          </w:p>
        </w:tc>
        <w:tc>
          <w:tcPr>
            <w:tcW w:type="dxa" w:w="2592"/>
          </w:tcPr>
          <w:p>
            <w:r>
              <w:rPr>
                <w:color w:val="333333"/>
                <w:sz w:val="19"/>
              </w:rPr>
              <w:t>Same table WHERE product_genus = UCC (implicit)</w:t>
            </w:r>
          </w:p>
        </w:tc>
        <w:tc>
          <w:tcPr>
            <w:tcW w:type="dxa" w:w="2016"/>
          </w:tcPr>
          <w:p>
            <w:r>
              <w:rPr>
                <w:color w:val="333333"/>
                <w:sz w:val="19"/>
              </w:rPr>
              <w:t>RSG-IT is ITSG product code in actuals system</w:t>
            </w:r>
          </w:p>
        </w:tc>
      </w:tr>
      <w:tr>
        <w:tc>
          <w:tcPr>
            <w:tcW w:type="dxa" w:w="2880"/>
          </w:tcPr>
          <w:p>
            <w:r>
              <w:rPr>
                <w:color w:val="333333"/>
                <w:sz w:val="19"/>
              </w:rPr>
              <w:t>AUTHORITATIVE_ACTUALS_PRODUCT</w:t>
            </w:r>
          </w:p>
        </w:tc>
        <w:tc>
          <w:tcPr>
            <w:tcW w:type="dxa" w:w="2592"/>
          </w:tcPr>
          <w:p>
            <w:r>
              <w:rPr>
                <w:color w:val="333333"/>
                <w:sz w:val="19"/>
              </w:rPr>
              <w:t>RSG-IT</w:t>
            </w:r>
          </w:p>
        </w:tc>
        <w:tc>
          <w:tcPr>
            <w:tcW w:type="dxa" w:w="2592"/>
          </w:tcPr>
          <w:p>
            <w:r>
              <w:rPr>
                <w:color w:val="333333"/>
                <w:sz w:val="19"/>
              </w:rPr>
              <w:t>Not shown (UCC assumed)</w:t>
            </w:r>
          </w:p>
        </w:tc>
        <w:tc>
          <w:tcPr>
            <w:tcW w:type="dxa" w:w="2016"/>
          </w:tcPr>
          <w:p>
            <w:r>
              <w:rPr>
                <w:color w:val="333333"/>
                <w:sz w:val="19"/>
              </w:rPr>
              <w:t>Verify RSG-IT matches management reporting product code exactly</w:t>
            </w:r>
          </w:p>
        </w:tc>
      </w:tr>
    </w:tbl>
    <w:p/>
    <w:p>
      <w:pPr>
        <w:spacing w:after="120"/>
      </w:pPr>
      <w:r>
        <w:rPr>
          <w:b w:val="0"/>
          <w:i w:val="0"/>
          <w:color w:val="333333"/>
          <w:sz w:val="21"/>
        </w:rPr>
        <w:t>IMPORTANT: total_amount vs amount_towards_plan. UCC uses amount_towards_plan which is the quota-credited amount — this is what goes into ARR attainment. total_amount may include amounts that are not credited toward plan (e.g., multi-year upsells counted at full TCV). If ITSG uses total_amount while management reports use plan-credited amount, there will be a systematic ARR overstatement. Verify this with the Revenue Engineering team.</w:t>
      </w:r>
    </w:p>
    <w:p>
      <w:pPr>
        <w:pStyle w:val="Heading2"/>
      </w:pPr>
      <w:r>
        <w:rPr>
          <w:b/>
          <w:color w:val="0047AB"/>
        </w:rPr>
        <w:t>4.2 Feature Set — 36 GLOBAL_FEATURE_COLS</w:t>
      </w:r>
    </w:p>
    <w:tbl>
      <w:tblPr>
        <w:tblStyle w:val="TableGrid"/>
        <w:tblW w:type="auto" w:w="0"/>
        <w:tblLook w:firstColumn="1" w:firstRow="1" w:lastColumn="0" w:lastRow="0" w:noHBand="0" w:noVBand="1" w:val="04A0"/>
      </w:tblPr>
      <w:tblGrid>
        <w:gridCol w:w="2340"/>
        <w:gridCol w:w="2340"/>
        <w:gridCol w:w="2340"/>
        <w:gridCol w:w="2340"/>
      </w:tblGrid>
      <w:tr>
        <w:tc>
          <w:tcPr>
            <w:tcW w:type="dxa" w:w="4032"/>
            <w:shd w:val="clear" w:color="auto" w:fill="0047AB"/>
          </w:tcPr>
          <w:p>
            <w:r>
              <w:rPr>
                <w:b/>
                <w:color w:val="FFFFFF"/>
                <w:sz w:val="20"/>
              </w:rPr>
              <w:t>Feature</w:t>
            </w:r>
          </w:p>
        </w:tc>
        <w:tc>
          <w:tcPr>
            <w:tcW w:type="dxa" w:w="1008"/>
            <w:shd w:val="clear" w:color="auto" w:fill="0047AB"/>
          </w:tcPr>
          <w:p>
            <w:r>
              <w:rPr>
                <w:b/>
                <w:color w:val="FFFFFF"/>
                <w:sz w:val="20"/>
              </w:rPr>
              <w:t>In ITSG?</w:t>
            </w:r>
          </w:p>
        </w:tc>
        <w:tc>
          <w:tcPr>
            <w:tcW w:type="dxa" w:w="1152"/>
            <w:shd w:val="clear" w:color="auto" w:fill="0047AB"/>
          </w:tcPr>
          <w:p>
            <w:r>
              <w:rPr>
                <w:b/>
                <w:color w:val="FFFFFF"/>
                <w:sz w:val="20"/>
              </w:rPr>
              <w:t>In UCC V7?</w:t>
            </w:r>
          </w:p>
        </w:tc>
        <w:tc>
          <w:tcPr>
            <w:tcW w:type="dxa" w:w="3888"/>
            <w:shd w:val="clear" w:color="auto" w:fill="0047AB"/>
          </w:tcPr>
          <w:p>
            <w:r>
              <w:rPr>
                <w:b/>
                <w:color w:val="FFFFFF"/>
                <w:sz w:val="20"/>
              </w:rPr>
              <w:t>Notes</w:t>
            </w:r>
          </w:p>
        </w:tc>
      </w:tr>
      <w:tr>
        <w:tc>
          <w:tcPr>
            <w:tcW w:type="dxa" w:w="4032"/>
          </w:tcPr>
          <w:p>
            <w:r>
              <w:rPr>
                <w:color w:val="333333"/>
                <w:sz w:val="19"/>
              </w:rPr>
              <w:t>week_of_qtr, quarter_end_flag, is_q4, q4_week_countdown</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Calendar — correct</w:t>
            </w:r>
          </w:p>
        </w:tc>
      </w:tr>
      <w:tr>
        <w:tc>
          <w:tcPr>
            <w:tcW w:type="dxa" w:w="4032"/>
          </w:tcPr>
          <w:p>
            <w:r>
              <w:rPr>
                <w:color w:val="333333"/>
                <w:sz w:val="19"/>
              </w:rPr>
              <w:t>woq_sin, woq_cos, qtr_sin, qtr_cos</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Fourier encoding — correct</w:t>
            </w:r>
          </w:p>
        </w:tc>
      </w:tr>
      <w:tr>
        <w:tc>
          <w:tcPr>
            <w:tcW w:type="dxa" w:w="4032"/>
          </w:tcPr>
          <w:p>
            <w:r>
              <w:rPr>
                <w:color w:val="333333"/>
                <w:sz w:val="19"/>
              </w:rPr>
              <w:t>sales_market</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Categorical — correct</w:t>
            </w:r>
          </w:p>
        </w:tc>
      </w:tr>
      <w:tr>
        <w:tc>
          <w:tcPr>
            <w:tcW w:type="dxa" w:w="4032"/>
          </w:tcPr>
          <w:p>
            <w:r>
              <w:rPr>
                <w:color w:val="333333"/>
                <w:sz w:val="19"/>
              </w:rPr>
              <w:t>created_lag4, created_lag5, headcount_lag4</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Pipeline + HR — correct</w:t>
            </w:r>
          </w:p>
        </w:tc>
      </w:tr>
      <w:tr>
        <w:tc>
          <w:tcPr>
            <w:tcW w:type="dxa" w:w="4032"/>
          </w:tcPr>
          <w:p>
            <w:r>
              <w:rPr>
                <w:color w:val="333333"/>
                <w:sz w:val="19"/>
              </w:rPr>
              <w:t>win_rate_woq</w:t>
            </w:r>
          </w:p>
        </w:tc>
        <w:tc>
          <w:tcPr>
            <w:tcW w:type="dxa" w:w="1008"/>
          </w:tcPr>
          <w:p>
            <w:r>
              <w:rPr>
                <w:color w:val="333333"/>
                <w:sz w:val="19"/>
              </w:rPr>
              <w:t>NO</w:t>
            </w:r>
          </w:p>
        </w:tc>
        <w:tc>
          <w:tcPr>
            <w:tcW w:type="dxa" w:w="1152"/>
          </w:tcPr>
          <w:p>
            <w:r>
              <w:rPr>
                <w:color w:val="333333"/>
                <w:sz w:val="19"/>
              </w:rPr>
              <w:t>YES</w:t>
            </w:r>
          </w:p>
        </w:tc>
        <w:tc>
          <w:tcPr>
            <w:tcW w:type="dxa" w:w="3888"/>
          </w:tcPr>
          <w:p>
            <w:r>
              <w:rPr>
                <w:color w:val="333333"/>
                <w:sz w:val="19"/>
              </w:rPr>
              <w:t>MISSING — rolling win rate by WoQ</w:t>
            </w:r>
          </w:p>
        </w:tc>
      </w:tr>
      <w:tr>
        <w:tc>
          <w:tcPr>
            <w:tcW w:type="dxa" w:w="4032"/>
          </w:tcPr>
          <w:p>
            <w:r>
              <w:rPr>
                <w:color w:val="333333"/>
                <w:sz w:val="19"/>
              </w:rPr>
              <w:t>pipeline_velocity_lag4, deal_size_lag1, sales_cycle_lag1</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Pipeline dynamics — correct</w:t>
            </w:r>
          </w:p>
        </w:tc>
      </w:tr>
      <w:tr>
        <w:tc>
          <w:tcPr>
            <w:tcW w:type="dxa" w:w="4032"/>
          </w:tcPr>
          <w:p>
            <w:r>
              <w:rPr>
                <w:color w:val="333333"/>
                <w:sz w:val="19"/>
              </w:rPr>
              <w:t>push_ctr_lag1</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Deal slip indicator — correct</w:t>
            </w:r>
          </w:p>
        </w:tc>
      </w:tr>
      <w:tr>
        <w:tc>
          <w:tcPr>
            <w:tcW w:type="dxa" w:w="4032"/>
          </w:tcPr>
          <w:p>
            <w:r>
              <w:rPr>
                <w:color w:val="333333"/>
                <w:sz w:val="19"/>
              </w:rPr>
              <w:t>avg_opportunity_age</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Deal age — correct</w:t>
            </w:r>
          </w:p>
        </w:tc>
      </w:tr>
      <w:tr>
        <w:tc>
          <w:tcPr>
            <w:tcW w:type="dxa" w:w="4032"/>
          </w:tcPr>
          <w:p>
            <w:r>
              <w:rPr>
                <w:color w:val="333333"/>
                <w:sz w:val="19"/>
              </w:rPr>
              <w:t>avg_dials_lag4, avg_touches_lag4</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Sales activity — correct</w:t>
            </w:r>
          </w:p>
        </w:tc>
      </w:tr>
      <w:tr>
        <w:tc>
          <w:tcPr>
            <w:tcW w:type="dxa" w:w="4032"/>
          </w:tcPr>
          <w:p>
            <w:r>
              <w:rPr>
                <w:color w:val="333333"/>
                <w:sz w:val="19"/>
              </w:rPr>
              <w:t>mc_actuals_lag4</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Authoritative actuals lag — correct</w:t>
            </w:r>
          </w:p>
        </w:tc>
      </w:tr>
      <w:tr>
        <w:tc>
          <w:tcPr>
            <w:tcW w:type="dxa" w:w="4032"/>
          </w:tcPr>
          <w:p>
            <w:r>
              <w:rPr>
                <w:color w:val="333333"/>
                <w:sz w:val="19"/>
              </w:rPr>
              <w:t>mkt_opened_lag4</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Marketing email proxy — correct</w:t>
            </w:r>
          </w:p>
        </w:tc>
      </w:tr>
      <w:tr>
        <w:tc>
          <w:tcPr>
            <w:tcW w:type="dxa" w:w="4032"/>
          </w:tcPr>
          <w:p>
            <w:r>
              <w:rPr>
                <w:color w:val="333333"/>
                <w:sz w:val="19"/>
              </w:rPr>
              <w:t>mkt_generated_lag4</w:t>
            </w:r>
          </w:p>
        </w:tc>
        <w:tc>
          <w:tcPr>
            <w:tcW w:type="dxa" w:w="1008"/>
          </w:tcPr>
          <w:p>
            <w:r>
              <w:rPr>
                <w:color w:val="333333"/>
                <w:sz w:val="19"/>
              </w:rPr>
              <w:t>NO</w:t>
            </w:r>
          </w:p>
        </w:tc>
        <w:tc>
          <w:tcPr>
            <w:tcW w:type="dxa" w:w="1152"/>
          </w:tcPr>
          <w:p>
            <w:r>
              <w:rPr>
                <w:color w:val="333333"/>
                <w:sz w:val="19"/>
              </w:rPr>
              <w:t>YES</w:t>
            </w:r>
          </w:p>
        </w:tc>
        <w:tc>
          <w:tcPr>
            <w:tcW w:type="dxa" w:w="3888"/>
          </w:tcPr>
          <w:p>
            <w:r>
              <w:rPr>
                <w:color w:val="333333"/>
                <w:sz w:val="19"/>
              </w:rPr>
              <w:t>MISSING — V7 UCC feature</w:t>
            </w:r>
          </w:p>
        </w:tc>
      </w:tr>
      <w:tr>
        <w:tc>
          <w:tcPr>
            <w:tcW w:type="dxa" w:w="4032"/>
          </w:tcPr>
          <w:p>
            <w:r>
              <w:rPr>
                <w:color w:val="333333"/>
                <w:sz w:val="19"/>
              </w:rPr>
              <w:t>mkt_influenced_lag4</w:t>
            </w:r>
          </w:p>
        </w:tc>
        <w:tc>
          <w:tcPr>
            <w:tcW w:type="dxa" w:w="1008"/>
          </w:tcPr>
          <w:p>
            <w:r>
              <w:rPr>
                <w:color w:val="333333"/>
                <w:sz w:val="19"/>
              </w:rPr>
              <w:t>NO</w:t>
            </w:r>
          </w:p>
        </w:tc>
        <w:tc>
          <w:tcPr>
            <w:tcW w:type="dxa" w:w="1152"/>
          </w:tcPr>
          <w:p>
            <w:r>
              <w:rPr>
                <w:color w:val="333333"/>
                <w:sz w:val="19"/>
              </w:rPr>
              <w:t>YES</w:t>
            </w:r>
          </w:p>
        </w:tc>
        <w:tc>
          <w:tcPr>
            <w:tcW w:type="dxa" w:w="3888"/>
          </w:tcPr>
          <w:p>
            <w:r>
              <w:rPr>
                <w:color w:val="333333"/>
                <w:sz w:val="19"/>
              </w:rPr>
              <w:t>MISSING — V7 UCC feature</w:t>
            </w:r>
          </w:p>
        </w:tc>
      </w:tr>
      <w:tr>
        <w:tc>
          <w:tcPr>
            <w:tcW w:type="dxa" w:w="4032"/>
          </w:tcPr>
          <w:p>
            <w:r>
              <w:rPr>
                <w:color w:val="333333"/>
                <w:sz w:val="19"/>
              </w:rPr>
              <w:t>miradore_lag4, plan_gap_lag1, partner_pipe_lag4</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Product + quota + channel — correct</w:t>
            </w:r>
          </w:p>
        </w:tc>
      </w:tr>
      <w:tr>
        <w:tc>
          <w:tcPr>
            <w:tcW w:type="dxa" w:w="4032"/>
          </w:tcPr>
          <w:p>
            <w:r>
              <w:rPr>
                <w:color w:val="333333"/>
                <w:sz w:val="19"/>
              </w:rPr>
              <w:t>sales_rep_ramp_ratio</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HR ramp — correct</w:t>
            </w:r>
          </w:p>
        </w:tc>
      </w:tr>
      <w:tr>
        <w:tc>
          <w:tcPr>
            <w:tcW w:type="dxa" w:w="4032"/>
          </w:tcPr>
          <w:p>
            <w:r>
              <w:rPr>
                <w:color w:val="333333"/>
                <w:sz w:val="19"/>
              </w:rPr>
              <w:t>y_lag1/4/8/13/26, r4w</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AR lags — correct</w:t>
            </w:r>
          </w:p>
        </w:tc>
      </w:tr>
      <w:tr>
        <w:tc>
          <w:tcPr>
            <w:tcW w:type="dxa" w:w="4032"/>
          </w:tcPr>
          <w:p>
            <w:r>
              <w:rPr>
                <w:color w:val="333333"/>
                <w:sz w:val="19"/>
              </w:rPr>
              <w:t>rolling_vol_4w, rolling_vol_13w</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Volatility — correct</w:t>
            </w:r>
          </w:p>
        </w:tc>
      </w:tr>
      <w:tr>
        <w:tc>
          <w:tcPr>
            <w:tcW w:type="dxa" w:w="4032"/>
          </w:tcPr>
          <w:p>
            <w:r>
              <w:rPr>
                <w:color w:val="333333"/>
                <w:sz w:val="19"/>
              </w:rPr>
              <w:t>yoy_growth</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BUG: no clipping in ITSG — produces Inf in early rows</w:t>
            </w:r>
          </w:p>
        </w:tc>
      </w:tr>
      <w:tr>
        <w:tc>
          <w:tcPr>
            <w:tcW w:type="dxa" w:w="4032"/>
          </w:tcPr>
          <w:p>
            <w:r>
              <w:rPr>
                <w:color w:val="333333"/>
                <w:sz w:val="19"/>
              </w:rPr>
              <w:t>qoq_momentum</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BUG: raw $ diff in ITSG vs ratio in UCC — scale-dependent</w:t>
            </w:r>
          </w:p>
        </w:tc>
      </w:tr>
      <w:tr>
        <w:tc>
          <w:tcPr>
            <w:tcW w:type="dxa" w:w="4032"/>
          </w:tcPr>
          <w:p>
            <w:r>
              <w:rPr>
                <w:color w:val="333333"/>
                <w:sz w:val="19"/>
              </w:rPr>
              <w:t>us_holiday_binary</w:t>
            </w:r>
          </w:p>
        </w:tc>
        <w:tc>
          <w:tcPr>
            <w:tcW w:type="dxa" w:w="1008"/>
          </w:tcPr>
          <w:p>
            <w:r>
              <w:rPr>
                <w:color w:val="333333"/>
                <w:sz w:val="19"/>
              </w:rPr>
              <w:t>YES</w:t>
            </w:r>
          </w:p>
        </w:tc>
        <w:tc>
          <w:tcPr>
            <w:tcW w:type="dxa" w:w="1152"/>
          </w:tcPr>
          <w:p>
            <w:r>
              <w:rPr>
                <w:color w:val="333333"/>
                <w:sz w:val="19"/>
              </w:rPr>
              <w:t>YES</w:t>
            </w:r>
          </w:p>
        </w:tc>
        <w:tc>
          <w:tcPr>
            <w:tcW w:type="dxa" w:w="3888"/>
          </w:tcPr>
          <w:p>
            <w:r>
              <w:rPr>
                <w:color w:val="333333"/>
                <w:sz w:val="19"/>
              </w:rPr>
              <w:t>Correct but missing non-US markets</w:t>
            </w:r>
          </w:p>
        </w:tc>
      </w:tr>
    </w:tbl>
    <w:p/>
    <w:p>
      <w:pPr>
        <w:pStyle w:val="Heading2"/>
      </w:pPr>
      <w:r>
        <w:rPr>
          <w:b/>
          <w:color w:val="0047AB"/>
        </w:rPr>
        <w:t>4.3 Feature Engineering Bugs (LGB)</w:t>
      </w:r>
    </w:p>
    <w:p>
      <w:pPr>
        <w:spacing w:after="120"/>
      </w:pPr>
      <w:r>
        <w:rPr>
          <w:b w:val="0"/>
          <w:i w:val="0"/>
          <w:color w:val="333333"/>
          <w:sz w:val="21"/>
        </w:rPr>
        <w:t>Three bugs in Cell 6 feature engineering that directly degrade LGB accuracy:</w:t>
      </w:r>
    </w:p>
    <w:p>
      <w:pPr>
        <w:pStyle w:val="ListBullet"/>
        <w:ind w:left="504"/>
      </w:pPr>
      <w:r>
        <w:rPr>
          <w:color w:val="CC0000"/>
          <w:sz w:val="20"/>
        </w:rPr>
        <w:t>yoy_growth: ITSG = (y - lag_52) / lag_52 with no guard. UCC = ((y_lag1/y_lag52.replace(0,np.nan)) - 1.0).clip(-3.0, 3.0).fillna(0.0). ITSG produces Inf for all rows where lag_52=0 (all of Q1-Q4 2023 when history starts Jan 2023). LGB handles Inf by treating it as a split boundary — corrupts early training rows.</w:t>
      </w:r>
    </w:p>
    <w:p>
      <w:pPr>
        <w:pStyle w:val="ListBullet"/>
        <w:ind w:left="504"/>
      </w:pPr>
      <w:r>
        <w:rPr>
          <w:color w:val="CC0000"/>
          <w:sz w:val="20"/>
        </w:rPr>
        <w:t>qoq_momentum: ITSG = y_lag1 - y_lag13 (dollar difference). UCC = (y_lag1/y_lag13.replace(0,np.nan) - 1.0).clip(-3,3).fillna(0.0). Dollar difference is not normalized across market slices of different sizes. LATAM with $200K momentum looks identical to NA with $200K momentum despite very different scale.</w:t>
      </w:r>
    </w:p>
    <w:p>
      <w:pPr>
        <w:pStyle w:val="ListBullet"/>
        <w:ind w:left="504"/>
      </w:pPr>
      <w:r>
        <w:rPr>
          <w:color w:val="B86A00"/>
          <w:sz w:val="20"/>
        </w:rPr>
        <w:t>headcount_lag4: uses fillna(method="bfill") which is deprecated in pandas 2.x and will raise FutureWarning or error. Replace with .bfill().fillna(0.0).</w:t>
      </w:r>
    </w:p>
    <w:p>
      <w:pPr>
        <w:pStyle w:val="Heading2"/>
      </w:pPr>
      <w:r>
        <w:rPr>
          <w:b/>
          <w:color w:val="0047AB"/>
        </w:rPr>
        <w:t>4.4 No Leaky Column Governance</w:t>
      </w:r>
    </w:p>
    <w:p>
      <w:pPr>
        <w:spacing w:after="120"/>
      </w:pPr>
      <w:r>
        <w:rPr>
          <w:b w:val="0"/>
          <w:i w:val="0"/>
          <w:color w:val="333333"/>
          <w:sz w:val="21"/>
        </w:rPr>
        <w:t>ITSG has no LEAKY_OR_UNUSABLE_COLS list (added in UCC V6). This is a governance risk: future feature additions could inadvertently include same-week values without a documented exclusion list. Recommend adding the governance cell as in UCC V6.</w:t>
      </w:r>
    </w:p>
    <w:p/>
    <w:p>
      <w:r>
        <w:br w:type="page"/>
      </w:r>
    </w:p>
    <w:p>
      <w:pPr>
        <w:pStyle w:val="Heading1"/>
      </w:pPr>
      <w:r>
        <w:rPr>
          <w:b/>
          <w:color w:val="0047AB"/>
        </w:rPr>
        <w:t>Section 5: Evaluation Framework</w:t>
      </w:r>
    </w:p>
    <w:p>
      <w:pPr>
        <w:pStyle w:val="Heading2"/>
      </w:pPr>
      <w:r>
        <w:rPr>
          <w:b/>
          <w:color w:val="0047AB"/>
        </w:rPr>
        <w:t>5.1 Walk-Forward CV — Structurally Correct but With Issues</w:t>
      </w:r>
    </w:p>
    <w:p>
      <w:pPr>
        <w:spacing w:after="120"/>
      </w:pPr>
      <w:r>
        <w:rPr>
          <w:b w:val="0"/>
          <w:i w:val="0"/>
          <w:color w:val="333333"/>
          <w:sz w:val="21"/>
        </w:rPr>
        <w:t>The ITSG CV uses 8 folds x 13-week horizon with build_fold_specs(). The fold specification is correct in structure: expanding window, non-overlapping test periods. Issues:</w:t>
      </w:r>
    </w:p>
    <w:p>
      <w:pPr>
        <w:pStyle w:val="ListBullet"/>
        <w:ind w:left="504"/>
      </w:pPr>
      <w:r>
        <w:rPr>
          <w:color w:val="333333"/>
          <w:sz w:val="20"/>
        </w:rPr>
        <w:t>fold_spec_df.train_weeks is computed but the FoldSpec dataclass does not store it — it is recomputed inline. This is a minor code quality issue but makes debugging harder.</w:t>
      </w:r>
    </w:p>
    <w:p>
      <w:pPr>
        <w:pStyle w:val="ListBullet"/>
        <w:ind w:left="504"/>
      </w:pPr>
      <w:r>
        <w:rPr>
          <w:color w:val="333333"/>
          <w:sz w:val="20"/>
        </w:rPr>
        <w:t>MIN_TRAIN_WEEKS = len(model_df) - (CV_FOLDS * CV_HORIZON). If ITSG has fewer historical rows than UCC (plausible for a smaller product), MIN_TRAIN_WEEKS could be dangerously low. The notebook has no assertion checking MIN_TRAIN_WEEKS &gt;= 26.</w:t>
      </w:r>
    </w:p>
    <w:p>
      <w:pPr>
        <w:pStyle w:val="ListBullet"/>
        <w:ind w:left="504"/>
      </w:pPr>
      <w:r>
        <w:rPr>
          <w:color w:val="333333"/>
          <w:sz w:val="20"/>
        </w:rPr>
        <w:t>DHR CV uses a different fold indexing (fixed at 8 folds from the end) vs benchmark CV (from fold_specs). These may not be identical if model_df and dhr_df have different row counts due to feature source alignment.</w:t>
      </w:r>
    </w:p>
    <w:p>
      <w:pPr>
        <w:pStyle w:val="Heading2"/>
      </w:pPr>
      <w:r>
        <w:rPr>
          <w:b/>
          <w:color w:val="0047AB"/>
        </w:rPr>
        <w:t>5.2 Metrics</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0047AB"/>
          </w:tcPr>
          <w:p>
            <w:r>
              <w:rPr>
                <w:b/>
                <w:color w:val="FFFFFF"/>
                <w:sz w:val="20"/>
              </w:rPr>
              <w:t>Metric</w:t>
            </w:r>
          </w:p>
        </w:tc>
        <w:tc>
          <w:tcPr>
            <w:tcW w:type="dxa" w:w="2592"/>
            <w:shd w:val="clear" w:color="auto" w:fill="0047AB"/>
          </w:tcPr>
          <w:p>
            <w:r>
              <w:rPr>
                <w:b/>
                <w:color w:val="FFFFFF"/>
                <w:sz w:val="20"/>
              </w:rPr>
              <w:t>Benchmark models</w:t>
            </w:r>
          </w:p>
        </w:tc>
        <w:tc>
          <w:tcPr>
            <w:tcW w:type="dxa" w:w="2592"/>
            <w:shd w:val="clear" w:color="auto" w:fill="0047AB"/>
          </w:tcPr>
          <w:p>
            <w:r>
              <w:rPr>
                <w:b/>
                <w:color w:val="FFFFFF"/>
                <w:sz w:val="20"/>
              </w:rPr>
              <w:t>LGB</w:t>
            </w:r>
          </w:p>
        </w:tc>
        <w:tc>
          <w:tcPr>
            <w:tcW w:type="dxa" w:w="3168"/>
            <w:shd w:val="clear" w:color="auto" w:fill="0047AB"/>
          </w:tcPr>
          <w:p>
            <w:r>
              <w:rPr>
                <w:b/>
                <w:color w:val="FFFFFF"/>
                <w:sz w:val="20"/>
              </w:rPr>
              <w:t>Issues</w:t>
            </w:r>
          </w:p>
        </w:tc>
      </w:tr>
      <w:tr>
        <w:tc>
          <w:tcPr>
            <w:tcW w:type="dxa" w:w="2160"/>
          </w:tcPr>
          <w:p>
            <w:r>
              <w:rPr>
                <w:color w:val="333333"/>
                <w:sz w:val="19"/>
              </w:rPr>
              <w:t>WAPE</w:t>
            </w:r>
          </w:p>
        </w:tc>
        <w:tc>
          <w:tcPr>
            <w:tcW w:type="dxa" w:w="2592"/>
          </w:tcPr>
          <w:p>
            <w:r>
              <w:rPr>
                <w:color w:val="333333"/>
                <w:sz w:val="19"/>
              </w:rPr>
              <w:t>YES — CV + holdout</w:t>
            </w:r>
          </w:p>
        </w:tc>
        <w:tc>
          <w:tcPr>
            <w:tcW w:type="dxa" w:w="2592"/>
          </w:tcPr>
          <w:p>
            <w:r>
              <w:rPr>
                <w:color w:val="333333"/>
                <w:sz w:val="19"/>
              </w:rPr>
              <w:t>YES — CV + holdout (P50 only)</w:t>
            </w:r>
          </w:p>
        </w:tc>
        <w:tc>
          <w:tcPr>
            <w:tcW w:type="dxa" w:w="3168"/>
          </w:tcPr>
          <w:p>
            <w:r>
              <w:rPr>
                <w:color w:val="333333"/>
                <w:sz w:val="19"/>
              </w:rPr>
              <w:t>Primary metric — correct</w:t>
            </w:r>
          </w:p>
        </w:tc>
      </w:tr>
      <w:tr>
        <w:tc>
          <w:tcPr>
            <w:tcW w:type="dxa" w:w="2160"/>
          </w:tcPr>
          <w:p>
            <w:r>
              <w:rPr>
                <w:color w:val="333333"/>
                <w:sz w:val="19"/>
              </w:rPr>
              <w:t>MAPE</w:t>
            </w:r>
          </w:p>
        </w:tc>
        <w:tc>
          <w:tcPr>
            <w:tcW w:type="dxa" w:w="2592"/>
          </w:tcPr>
          <w:p>
            <w:r>
              <w:rPr>
                <w:color w:val="333333"/>
                <w:sz w:val="19"/>
              </w:rPr>
              <w:t>YES</w:t>
            </w:r>
          </w:p>
        </w:tc>
        <w:tc>
          <w:tcPr>
            <w:tcW w:type="dxa" w:w="2592"/>
          </w:tcPr>
          <w:p>
            <w:r>
              <w:rPr>
                <w:color w:val="333333"/>
                <w:sz w:val="19"/>
              </w:rPr>
              <w:t>YES</w:t>
            </w:r>
          </w:p>
        </w:tc>
        <w:tc>
          <w:tcPr>
            <w:tcW w:type="dxa" w:w="3168"/>
          </w:tcPr>
          <w:p>
            <w:r>
              <w:rPr>
                <w:color w:val="333333"/>
                <w:sz w:val="19"/>
              </w:rPr>
              <w:t>Inflated by sparse ITSG weeks</w:t>
            </w:r>
          </w:p>
        </w:tc>
      </w:tr>
      <w:tr>
        <w:tc>
          <w:tcPr>
            <w:tcW w:type="dxa" w:w="2160"/>
          </w:tcPr>
          <w:p>
            <w:r>
              <w:rPr>
                <w:color w:val="333333"/>
                <w:sz w:val="19"/>
              </w:rPr>
              <w:t>MPE</w:t>
            </w:r>
          </w:p>
        </w:tc>
        <w:tc>
          <w:tcPr>
            <w:tcW w:type="dxa" w:w="2592"/>
          </w:tcPr>
          <w:p>
            <w:r>
              <w:rPr>
                <w:color w:val="333333"/>
                <w:sz w:val="19"/>
              </w:rPr>
              <w:t>YES</w:t>
            </w:r>
          </w:p>
        </w:tc>
        <w:tc>
          <w:tcPr>
            <w:tcW w:type="dxa" w:w="2592"/>
          </w:tcPr>
          <w:p>
            <w:r>
              <w:rPr>
                <w:color w:val="333333"/>
                <w:sz w:val="19"/>
              </w:rPr>
              <w:t>YES</w:t>
            </w:r>
          </w:p>
        </w:tc>
        <w:tc>
          <w:tcPr>
            <w:tcW w:type="dxa" w:w="3168"/>
          </w:tcPr>
          <w:p>
            <w:r>
              <w:rPr>
                <w:color w:val="333333"/>
                <w:sz w:val="19"/>
              </w:rPr>
              <w:t>Bias detection — correct</w:t>
            </w:r>
          </w:p>
        </w:tc>
      </w:tr>
      <w:tr>
        <w:tc>
          <w:tcPr>
            <w:tcW w:type="dxa" w:w="2160"/>
          </w:tcPr>
          <w:p>
            <w:r>
              <w:rPr>
                <w:color w:val="333333"/>
                <w:sz w:val="19"/>
              </w:rPr>
              <w:t>SMAPE</w:t>
            </w:r>
          </w:p>
        </w:tc>
        <w:tc>
          <w:tcPr>
            <w:tcW w:type="dxa" w:w="2592"/>
          </w:tcPr>
          <w:p>
            <w:r>
              <w:rPr>
                <w:color w:val="333333"/>
                <w:sz w:val="19"/>
              </w:rPr>
              <w:t>YES</w:t>
            </w:r>
          </w:p>
        </w:tc>
        <w:tc>
          <w:tcPr>
            <w:tcW w:type="dxa" w:w="2592"/>
          </w:tcPr>
          <w:p>
            <w:r>
              <w:rPr>
                <w:color w:val="333333"/>
                <w:sz w:val="19"/>
              </w:rPr>
              <w:t>YES</w:t>
            </w:r>
          </w:p>
        </w:tc>
        <w:tc>
          <w:tcPr>
            <w:tcW w:type="dxa" w:w="3168"/>
          </w:tcPr>
          <w:p>
            <w:r>
              <w:rPr>
                <w:color w:val="333333"/>
                <w:sz w:val="19"/>
              </w:rPr>
              <w:t>Symmetric check — correct</w:t>
            </w:r>
          </w:p>
        </w:tc>
      </w:tr>
      <w:tr>
        <w:tc>
          <w:tcPr>
            <w:tcW w:type="dxa" w:w="2160"/>
          </w:tcPr>
          <w:p>
            <w:r>
              <w:rPr>
                <w:color w:val="333333"/>
                <w:sz w:val="19"/>
              </w:rPr>
              <w:t>RMSE</w:t>
            </w:r>
          </w:p>
        </w:tc>
        <w:tc>
          <w:tcPr>
            <w:tcW w:type="dxa" w:w="2592"/>
          </w:tcPr>
          <w:p>
            <w:r>
              <w:rPr>
                <w:color w:val="333333"/>
                <w:sz w:val="19"/>
              </w:rPr>
              <w:t>YES</w:t>
            </w:r>
          </w:p>
        </w:tc>
        <w:tc>
          <w:tcPr>
            <w:tcW w:type="dxa" w:w="2592"/>
          </w:tcPr>
          <w:p>
            <w:r>
              <w:rPr>
                <w:color w:val="333333"/>
                <w:sz w:val="19"/>
              </w:rPr>
              <w:t>YES</w:t>
            </w:r>
          </w:p>
        </w:tc>
        <w:tc>
          <w:tcPr>
            <w:tcW w:type="dxa" w:w="3168"/>
          </w:tcPr>
          <w:p>
            <w:r>
              <w:rPr>
                <w:color w:val="333333"/>
                <w:sz w:val="19"/>
              </w:rPr>
              <w:t>Scale-aware — correct</w:t>
            </w:r>
          </w:p>
        </w:tc>
      </w:tr>
      <w:tr>
        <w:tc>
          <w:tcPr>
            <w:tcW w:type="dxa" w:w="2160"/>
          </w:tcPr>
          <w:p>
            <w:r>
              <w:rPr>
                <w:color w:val="333333"/>
                <w:sz w:val="19"/>
              </w:rPr>
              <w:t>CI Coverage</w:t>
            </w:r>
          </w:p>
        </w:tc>
        <w:tc>
          <w:tcPr>
            <w:tcW w:type="dxa" w:w="2592"/>
          </w:tcPr>
          <w:p>
            <w:r>
              <w:rPr>
                <w:color w:val="333333"/>
                <w:sz w:val="19"/>
              </w:rPr>
              <w:t>NO</w:t>
            </w:r>
          </w:p>
        </w:tc>
        <w:tc>
          <w:tcPr>
            <w:tcW w:type="dxa" w:w="2592"/>
          </w:tcPr>
          <w:p>
            <w:r>
              <w:rPr>
                <w:color w:val="333333"/>
                <w:sz w:val="19"/>
              </w:rPr>
              <w:t>NO</w:t>
            </w:r>
          </w:p>
        </w:tc>
        <w:tc>
          <w:tcPr>
            <w:tcW w:type="dxa" w:w="3168"/>
          </w:tcPr>
          <w:p>
            <w:r>
              <w:rPr>
                <w:color w:val="333333"/>
                <w:sz w:val="19"/>
              </w:rPr>
              <w:t>MISSING — cannot assess interval quality</w:t>
            </w:r>
          </w:p>
        </w:tc>
      </w:tr>
      <w:tr>
        <w:tc>
          <w:tcPr>
            <w:tcW w:type="dxa" w:w="2160"/>
          </w:tcPr>
          <w:p>
            <w:r>
              <w:rPr>
                <w:color w:val="333333"/>
                <w:sz w:val="19"/>
              </w:rPr>
              <w:t>Fold std (stability)</w:t>
            </w:r>
          </w:p>
        </w:tc>
        <w:tc>
          <w:tcPr>
            <w:tcW w:type="dxa" w:w="2592"/>
          </w:tcPr>
          <w:p>
            <w:r>
              <w:rPr>
                <w:color w:val="333333"/>
                <w:sz w:val="19"/>
              </w:rPr>
              <w:t>YES (std_wape)</w:t>
            </w:r>
          </w:p>
        </w:tc>
        <w:tc>
          <w:tcPr>
            <w:tcW w:type="dxa" w:w="2592"/>
          </w:tcPr>
          <w:p>
            <w:r>
              <w:rPr>
                <w:color w:val="333333"/>
                <w:sz w:val="19"/>
              </w:rPr>
              <w:t>YES (std_wape)</w:t>
            </w:r>
          </w:p>
        </w:tc>
        <w:tc>
          <w:tcPr>
            <w:tcW w:type="dxa" w:w="3168"/>
          </w:tcPr>
          <w:p>
            <w:r>
              <w:rPr>
                <w:color w:val="333333"/>
                <w:sz w:val="19"/>
              </w:rPr>
              <w:t>Correct — captures fold-to-fold variance</w:t>
            </w:r>
          </w:p>
        </w:tc>
      </w:tr>
    </w:tbl>
    <w:p/>
    <w:p>
      <w:pPr>
        <w:spacing w:after="120"/>
      </w:pPr>
      <w:r>
        <w:rPr>
          <w:b w:val="0"/>
          <w:i w:val="0"/>
          <w:color w:val="333333"/>
          <w:sz w:val="21"/>
        </w:rPr>
        <w:t>No CI coverage metric at all — ITSG cannot assess whether P10/P90 bounds are calibrated. Given the fixed multiplier approach (±15%/±20%), coverage would likely be ~70% or ~100% depending on ITSG volatility — neither of which is 80% (the target for a proper 80% CI).</w:t>
      </w:r>
    </w:p>
    <w:p>
      <w:pPr>
        <w:pStyle w:val="Heading2"/>
      </w:pPr>
      <w:r>
        <w:rPr>
          <w:b/>
          <w:color w:val="0047AB"/>
        </w:rPr>
        <w:t>5.3 Missing Diagnostics vs UCC</w:t>
      </w:r>
    </w:p>
    <w:p>
      <w:pPr>
        <w:pStyle w:val="ListBullet"/>
        <w:ind w:left="504"/>
      </w:pPr>
      <w:r>
        <w:rPr>
          <w:color w:val="333333"/>
          <w:sz w:val="20"/>
        </w:rPr>
        <w:t>No fold-by-fold forecast plots (UCC Cell 7) — cannot visually identify which folds have systematic bias</w:t>
      </w:r>
    </w:p>
    <w:p>
      <w:pPr>
        <w:pStyle w:val="ListBullet"/>
        <w:ind w:left="504"/>
      </w:pPr>
      <w:r>
        <w:rPr>
          <w:color w:val="333333"/>
          <w:sz w:val="20"/>
        </w:rPr>
        <w:t>No quarterly error ranking (UCC Cells 8/9) — cannot identify which quarters are hardest for each model</w:t>
      </w:r>
    </w:p>
    <w:p>
      <w:pPr>
        <w:pStyle w:val="ListBullet"/>
        <w:ind w:left="504"/>
      </w:pPr>
      <w:r>
        <w:rPr>
          <w:color w:val="333333"/>
          <w:sz w:val="20"/>
        </w:rPr>
        <w:t>No authoritative actuals vs proxy comparison (UCC Cell 12) — cannot quantify mc_actuals_lag4 improvement</w:t>
      </w:r>
    </w:p>
    <w:p>
      <w:pPr>
        <w:pStyle w:val="ListBullet"/>
        <w:ind w:left="504"/>
      </w:pPr>
      <w:r>
        <w:rPr>
          <w:color w:val="333333"/>
          <w:sz w:val="20"/>
        </w:rPr>
        <w:t>No quarterly audit cell (UCC Cell 13)</w:t>
      </w:r>
    </w:p>
    <w:p>
      <w:pPr>
        <w:pStyle w:val="ListBullet"/>
        <w:ind w:left="504"/>
      </w:pPr>
      <w:r>
        <w:rPr>
          <w:color w:val="333333"/>
          <w:sz w:val="20"/>
        </w:rPr>
        <w:t>No executive summary cell (UCC Cell 16)</w:t>
      </w:r>
    </w:p>
    <w:p/>
    <w:p>
      <w:r>
        <w:br w:type="page"/>
      </w:r>
    </w:p>
    <w:p>
      <w:pPr>
        <w:pStyle w:val="Heading1"/>
      </w:pPr>
      <w:r>
        <w:rPr>
          <w:b/>
          <w:color w:val="0047AB"/>
        </w:rPr>
        <w:t>Section 6: Forecast Accuracy Improvements — Prioritized</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0047AB"/>
          </w:tcPr>
          <w:p>
            <w:r>
              <w:rPr>
                <w:b/>
                <w:color w:val="FFFFFF"/>
                <w:sz w:val="20"/>
              </w:rPr>
              <w:t>Priority</w:t>
            </w:r>
          </w:p>
        </w:tc>
        <w:tc>
          <w:tcPr>
            <w:tcW w:type="dxa" w:w="4752"/>
            <w:shd w:val="clear" w:color="auto" w:fill="0047AB"/>
          </w:tcPr>
          <w:p>
            <w:r>
              <w:rPr>
                <w:b/>
                <w:color w:val="FFFFFF"/>
                <w:sz w:val="20"/>
              </w:rPr>
              <w:t>Fix</w:t>
            </w:r>
          </w:p>
        </w:tc>
        <w:tc>
          <w:tcPr>
            <w:tcW w:type="dxa" w:w="2016"/>
            <w:shd w:val="clear" w:color="auto" w:fill="0047AB"/>
          </w:tcPr>
          <w:p>
            <w:r>
              <w:rPr>
                <w:b/>
                <w:color w:val="FFFFFF"/>
                <w:sz w:val="20"/>
              </w:rPr>
              <w:t>Expected WAPE Improvement</w:t>
            </w:r>
          </w:p>
        </w:tc>
        <w:tc>
          <w:tcPr>
            <w:tcW w:type="dxa" w:w="1008"/>
            <w:shd w:val="clear" w:color="auto" w:fill="0047AB"/>
          </w:tcPr>
          <w:p>
            <w:r>
              <w:rPr>
                <w:b/>
                <w:color w:val="FFFFFF"/>
                <w:sz w:val="20"/>
              </w:rPr>
              <w:t>Effort</w:t>
            </w:r>
          </w:p>
        </w:tc>
      </w:tr>
      <w:tr>
        <w:tc>
          <w:tcPr>
            <w:tcW w:type="dxa" w:w="2160"/>
          </w:tcPr>
          <w:p>
            <w:r>
              <w:rPr>
                <w:color w:val="333333"/>
                <w:sz w:val="19"/>
              </w:rPr>
              <w:t>P0 — FIX IMMEDIATELY</w:t>
            </w:r>
          </w:p>
        </w:tc>
        <w:tc>
          <w:tcPr>
            <w:tcW w:type="dxa" w:w="4752"/>
          </w:tcPr>
          <w:p>
            <w:r>
              <w:rPr>
                <w:color w:val="333333"/>
                <w:sz w:val="19"/>
              </w:rPr>
              <w:t>Add WoQ empirical profile to Prophet (compute_woq_seasonal_profile) — set yearly_seasonality=False</w:t>
            </w:r>
          </w:p>
        </w:tc>
        <w:tc>
          <w:tcPr>
            <w:tcW w:type="dxa" w:w="2016"/>
          </w:tcPr>
          <w:p>
            <w:r>
              <w:rPr>
                <w:color w:val="333333"/>
                <w:sz w:val="19"/>
              </w:rPr>
              <w:t>-3 to -8 pp WAPE on Prophet</w:t>
            </w:r>
          </w:p>
        </w:tc>
        <w:tc>
          <w:tcPr>
            <w:tcW w:type="dxa" w:w="1008"/>
          </w:tcPr>
          <w:p>
            <w:r>
              <w:rPr>
                <w:color w:val="333333"/>
                <w:sz w:val="19"/>
              </w:rPr>
              <w:t>1 day</w:t>
            </w:r>
          </w:p>
        </w:tc>
      </w:tr>
      <w:tr>
        <w:tc>
          <w:tcPr>
            <w:tcW w:type="dxa" w:w="2160"/>
          </w:tcPr>
          <w:p>
            <w:r>
              <w:rPr>
                <w:color w:val="333333"/>
                <w:sz w:val="19"/>
              </w:rPr>
              <w:t>P0 — FIX IMMEDIATELY</w:t>
            </w:r>
          </w:p>
        </w:tc>
        <w:tc>
          <w:tcPr>
            <w:tcW w:type="dxa" w:w="4752"/>
          </w:tcPr>
          <w:p>
            <w:r>
              <w:rPr>
                <w:color w:val="333333"/>
                <w:sz w:val="19"/>
              </w:rPr>
              <w:t>Change ETS to seasonal="mul", seasonal_periods=52, damped_trend=True, window=104</w:t>
            </w:r>
          </w:p>
        </w:tc>
        <w:tc>
          <w:tcPr>
            <w:tcW w:type="dxa" w:w="2016"/>
          </w:tcPr>
          <w:p>
            <w:r>
              <w:rPr>
                <w:color w:val="333333"/>
                <w:sz w:val="19"/>
              </w:rPr>
              <w:t>-2 to -5 pp WAPE on ETS</w:t>
            </w:r>
          </w:p>
        </w:tc>
        <w:tc>
          <w:tcPr>
            <w:tcW w:type="dxa" w:w="1008"/>
          </w:tcPr>
          <w:p>
            <w:r>
              <w:rPr>
                <w:color w:val="333333"/>
                <w:sz w:val="19"/>
              </w:rPr>
              <w:t>0.5 days</w:t>
            </w:r>
          </w:p>
        </w:tc>
      </w:tr>
      <w:tr>
        <w:tc>
          <w:tcPr>
            <w:tcW w:type="dxa" w:w="2160"/>
          </w:tcPr>
          <w:p>
            <w:r>
              <w:rPr>
                <w:color w:val="333333"/>
                <w:sz w:val="19"/>
              </w:rPr>
              <w:t>P0 — FIX IMMEDIATELY</w:t>
            </w:r>
          </w:p>
        </w:tc>
        <w:tc>
          <w:tcPr>
            <w:tcW w:type="dxa" w:w="4752"/>
          </w:tcPr>
          <w:p>
            <w:r>
              <w:rPr>
                <w:color w:val="333333"/>
                <w:sz w:val="19"/>
              </w:rPr>
              <w:t>Fix yoy_growth: add .clip(-3.0, 3.0).fillna(0.0) and use lag_52.replace(0, np.nan)</w:t>
            </w:r>
          </w:p>
        </w:tc>
        <w:tc>
          <w:tcPr>
            <w:tcW w:type="dxa" w:w="2016"/>
          </w:tcPr>
          <w:p>
            <w:r>
              <w:rPr>
                <w:color w:val="333333"/>
                <w:sz w:val="19"/>
              </w:rPr>
              <w:t>-1 to -3 pp LGB WAPE (corrupted early training rows fixed)</w:t>
            </w:r>
          </w:p>
        </w:tc>
        <w:tc>
          <w:tcPr>
            <w:tcW w:type="dxa" w:w="1008"/>
          </w:tcPr>
          <w:p>
            <w:r>
              <w:rPr>
                <w:color w:val="333333"/>
                <w:sz w:val="19"/>
              </w:rPr>
              <w:t>0.5 days</w:t>
            </w:r>
          </w:p>
        </w:tc>
      </w:tr>
      <w:tr>
        <w:tc>
          <w:tcPr>
            <w:tcW w:type="dxa" w:w="2160"/>
          </w:tcPr>
          <w:p>
            <w:r>
              <w:rPr>
                <w:color w:val="333333"/>
                <w:sz w:val="19"/>
              </w:rPr>
              <w:t>P0 — FIX IMMEDIATELY</w:t>
            </w:r>
          </w:p>
        </w:tc>
        <w:tc>
          <w:tcPr>
            <w:tcW w:type="dxa" w:w="4752"/>
          </w:tcPr>
          <w:p>
            <w:r>
              <w:rPr>
                <w:color w:val="333333"/>
                <w:sz w:val="19"/>
              </w:rPr>
              <w:t>Fix qoq_momentum: change from dollar diff to ratio: (y_lag1/y_lag13.replace(0,np.nan)-1).clip(-3,3)</w:t>
            </w:r>
          </w:p>
        </w:tc>
        <w:tc>
          <w:tcPr>
            <w:tcW w:type="dxa" w:w="2016"/>
          </w:tcPr>
          <w:p>
            <w:r>
              <w:rPr>
                <w:color w:val="333333"/>
                <w:sz w:val="19"/>
              </w:rPr>
              <w:t>-0.5 to -2 pp LGB WAPE</w:t>
            </w:r>
          </w:p>
        </w:tc>
        <w:tc>
          <w:tcPr>
            <w:tcW w:type="dxa" w:w="1008"/>
          </w:tcPr>
          <w:p>
            <w:r>
              <w:rPr>
                <w:color w:val="333333"/>
                <w:sz w:val="19"/>
              </w:rPr>
              <w:t>0.5 days</w:t>
            </w:r>
          </w:p>
        </w:tc>
      </w:tr>
      <w:tr>
        <w:tc>
          <w:tcPr>
            <w:tcW w:type="dxa" w:w="2160"/>
          </w:tcPr>
          <w:p>
            <w:r>
              <w:rPr>
                <w:color w:val="333333"/>
                <w:sz w:val="19"/>
              </w:rPr>
              <w:t>P0 — FIX IMMEDIATELY</w:t>
            </w:r>
          </w:p>
        </w:tc>
        <w:tc>
          <w:tcPr>
            <w:tcW w:type="dxa" w:w="4752"/>
          </w:tcPr>
          <w:p>
            <w:r>
              <w:rPr>
                <w:color w:val="333333"/>
                <w:sz w:val="19"/>
              </w:rPr>
              <w:t>Add LGB quantile crossing guard: p10 = min(p10,p50); p90 = max(p90,p50) in both CV and production</w:t>
            </w:r>
          </w:p>
        </w:tc>
        <w:tc>
          <w:tcPr>
            <w:tcW w:type="dxa" w:w="2016"/>
          </w:tcPr>
          <w:p>
            <w:r>
              <w:rPr>
                <w:color w:val="333333"/>
                <w:sz w:val="19"/>
              </w:rPr>
              <w:t>Correctness fix — prevents invalid CIs in production</w:t>
            </w:r>
          </w:p>
        </w:tc>
        <w:tc>
          <w:tcPr>
            <w:tcW w:type="dxa" w:w="1008"/>
          </w:tcPr>
          <w:p>
            <w:r>
              <w:rPr>
                <w:color w:val="333333"/>
                <w:sz w:val="19"/>
              </w:rPr>
              <w:t>0.5 days</w:t>
            </w:r>
          </w:p>
        </w:tc>
      </w:tr>
      <w:tr>
        <w:tc>
          <w:tcPr>
            <w:tcW w:type="dxa" w:w="2160"/>
          </w:tcPr>
          <w:p>
            <w:r>
              <w:rPr>
                <w:color w:val="333333"/>
                <w:sz w:val="19"/>
              </w:rPr>
              <w:t>P0 — FIX IMMEDIATELY</w:t>
            </w:r>
          </w:p>
        </w:tc>
        <w:tc>
          <w:tcPr>
            <w:tcW w:type="dxa" w:w="4752"/>
          </w:tcPr>
          <w:p>
            <w:r>
              <w:rPr>
                <w:color w:val="333333"/>
                <w:sz w:val="19"/>
              </w:rPr>
              <w:t>Replace fixed P10/P90 multipliers (±15%/±20%) with proper calibrated intervals from CV holdout error quantiles (as in UCC V5 ensemble_interval_calibration)</w:t>
            </w:r>
          </w:p>
        </w:tc>
        <w:tc>
          <w:tcPr>
            <w:tcW w:type="dxa" w:w="2016"/>
          </w:tcPr>
          <w:p>
            <w:r>
              <w:rPr>
                <w:color w:val="333333"/>
                <w:sz w:val="19"/>
              </w:rPr>
              <w:t>Interval validity — from meaningless to calibrated 80% CI</w:t>
            </w:r>
          </w:p>
        </w:tc>
        <w:tc>
          <w:tcPr>
            <w:tcW w:type="dxa" w:w="1008"/>
          </w:tcPr>
          <w:p>
            <w:r>
              <w:rPr>
                <w:color w:val="333333"/>
                <w:sz w:val="19"/>
              </w:rPr>
              <w:t>1 day</w:t>
            </w:r>
          </w:p>
        </w:tc>
      </w:tr>
      <w:tr>
        <w:tc>
          <w:tcPr>
            <w:tcW w:type="dxa" w:w="2160"/>
          </w:tcPr>
          <w:p>
            <w:r>
              <w:rPr>
                <w:color w:val="333333"/>
                <w:sz w:val="19"/>
              </w:rPr>
              <w:t>P1 — HIGH IMPACT</w:t>
            </w:r>
          </w:p>
        </w:tc>
        <w:tc>
          <w:tcPr>
            <w:tcW w:type="dxa" w:w="4752"/>
          </w:tcPr>
          <w:p>
            <w:r>
              <w:rPr>
                <w:color w:val="333333"/>
                <w:sz w:val="19"/>
              </w:rPr>
              <w:t>Replace 1/WAPE ensemble with GR covariance-optimal ensemble from UCC V5 estimate_mint_covariances</w:t>
            </w:r>
          </w:p>
        </w:tc>
        <w:tc>
          <w:tcPr>
            <w:tcW w:type="dxa" w:w="2016"/>
          </w:tcPr>
          <w:p>
            <w:r>
              <w:rPr>
                <w:color w:val="333333"/>
                <w:sz w:val="19"/>
              </w:rPr>
              <w:t>-1 to -3 pp ensemble WAPE</w:t>
            </w:r>
          </w:p>
        </w:tc>
        <w:tc>
          <w:tcPr>
            <w:tcW w:type="dxa" w:w="1008"/>
          </w:tcPr>
          <w:p>
            <w:r>
              <w:rPr>
                <w:color w:val="333333"/>
                <w:sz w:val="19"/>
              </w:rPr>
              <w:t>2 days</w:t>
            </w:r>
          </w:p>
        </w:tc>
      </w:tr>
      <w:tr>
        <w:tc>
          <w:tcPr>
            <w:tcW w:type="dxa" w:w="2160"/>
          </w:tcPr>
          <w:p>
            <w:r>
              <w:rPr>
                <w:color w:val="333333"/>
                <w:sz w:val="19"/>
              </w:rPr>
              <w:t>P1 — HIGH IMPACT</w:t>
            </w:r>
          </w:p>
        </w:tc>
        <w:tc>
          <w:tcPr>
            <w:tcW w:type="dxa" w:w="4752"/>
          </w:tcPr>
          <w:p>
            <w:r>
              <w:rPr>
                <w:color w:val="333333"/>
                <w:sz w:val="19"/>
              </w:rPr>
              <w:t>Refactor DHR-ARIMA to per-market fit (as in UCC)</w:t>
            </w:r>
          </w:p>
        </w:tc>
        <w:tc>
          <w:tcPr>
            <w:tcW w:type="dxa" w:w="2016"/>
          </w:tcPr>
          <w:p>
            <w:r>
              <w:rPr>
                <w:color w:val="333333"/>
                <w:sz w:val="19"/>
              </w:rPr>
              <w:t>-1 to -3 pp DHR WAPE</w:t>
            </w:r>
          </w:p>
        </w:tc>
        <w:tc>
          <w:tcPr>
            <w:tcW w:type="dxa" w:w="1008"/>
          </w:tcPr>
          <w:p>
            <w:r>
              <w:rPr>
                <w:color w:val="333333"/>
                <w:sz w:val="19"/>
              </w:rPr>
              <w:t>2 days</w:t>
            </w:r>
          </w:p>
        </w:tc>
      </w:tr>
      <w:tr>
        <w:tc>
          <w:tcPr>
            <w:tcW w:type="dxa" w:w="2160"/>
          </w:tcPr>
          <w:p>
            <w:r>
              <w:rPr>
                <w:color w:val="333333"/>
                <w:sz w:val="19"/>
              </w:rPr>
              <w:t>P1 — HIGH IMPACT</w:t>
            </w:r>
          </w:p>
        </w:tc>
        <w:tc>
          <w:tcPr>
            <w:tcW w:type="dxa" w:w="4752"/>
          </w:tcPr>
          <w:p>
            <w:r>
              <w:rPr>
                <w:color w:val="333333"/>
                <w:sz w:val="19"/>
              </w:rPr>
              <w:t>Fix DHR Fourier: replace positional np.arange with calendar-based (2*pi*week_of_year/52)</w:t>
            </w:r>
          </w:p>
        </w:tc>
        <w:tc>
          <w:tcPr>
            <w:tcW w:type="dxa" w:w="2016"/>
          </w:tcPr>
          <w:p>
            <w:r>
              <w:rPr>
                <w:color w:val="333333"/>
                <w:sz w:val="19"/>
              </w:rPr>
              <w:t>Prevents CV phase shift — correctness fix</w:t>
            </w:r>
          </w:p>
        </w:tc>
        <w:tc>
          <w:tcPr>
            <w:tcW w:type="dxa" w:w="1008"/>
          </w:tcPr>
          <w:p>
            <w:r>
              <w:rPr>
                <w:color w:val="333333"/>
                <w:sz w:val="19"/>
              </w:rPr>
              <w:t>1 day</w:t>
            </w:r>
          </w:p>
        </w:tc>
      </w:tr>
      <w:tr>
        <w:tc>
          <w:tcPr>
            <w:tcW w:type="dxa" w:w="2160"/>
          </w:tcPr>
          <w:p>
            <w:r>
              <w:rPr>
                <w:color w:val="333333"/>
                <w:sz w:val="19"/>
              </w:rPr>
              <w:t>P1 — HIGH IMPACT</w:t>
            </w:r>
          </w:p>
        </w:tc>
        <w:tc>
          <w:tcPr>
            <w:tcW w:type="dxa" w:w="4752"/>
          </w:tcPr>
          <w:p>
            <w:r>
              <w:rPr>
                <w:color w:val="333333"/>
                <w:sz w:val="19"/>
              </w:rPr>
              <w:t>Add win_rate_woq feature to LGB</w:t>
            </w:r>
          </w:p>
        </w:tc>
        <w:tc>
          <w:tcPr>
            <w:tcW w:type="dxa" w:w="2016"/>
          </w:tcPr>
          <w:p>
            <w:r>
              <w:rPr>
                <w:color w:val="333333"/>
                <w:sz w:val="19"/>
              </w:rPr>
              <w:t>-0.5 to -2 pp LGB WAPE</w:t>
            </w:r>
          </w:p>
        </w:tc>
        <w:tc>
          <w:tcPr>
            <w:tcW w:type="dxa" w:w="1008"/>
          </w:tcPr>
          <w:p>
            <w:r>
              <w:rPr>
                <w:color w:val="333333"/>
                <w:sz w:val="19"/>
              </w:rPr>
              <w:t>1 day</w:t>
            </w:r>
          </w:p>
        </w:tc>
      </w:tr>
      <w:tr>
        <w:tc>
          <w:tcPr>
            <w:tcW w:type="dxa" w:w="2160"/>
          </w:tcPr>
          <w:p>
            <w:r>
              <w:rPr>
                <w:color w:val="333333"/>
                <w:sz w:val="19"/>
              </w:rPr>
              <w:t>P1 — HIGH IMPACT</w:t>
            </w:r>
          </w:p>
        </w:tc>
        <w:tc>
          <w:tcPr>
            <w:tcW w:type="dxa" w:w="4752"/>
          </w:tcPr>
          <w:p>
            <w:r>
              <w:rPr>
                <w:color w:val="333333"/>
                <w:sz w:val="19"/>
              </w:rPr>
              <w:t>Add early stopping to LGB: early_stopping_rounds=50 with validation set from last fold</w:t>
            </w:r>
          </w:p>
        </w:tc>
        <w:tc>
          <w:tcPr>
            <w:tcW w:type="dxa" w:w="2016"/>
          </w:tcPr>
          <w:p>
            <w:r>
              <w:rPr>
                <w:color w:val="333333"/>
                <w:sz w:val="19"/>
              </w:rPr>
              <w:t>Reduces overfitting on sparse market slices</w:t>
            </w:r>
          </w:p>
        </w:tc>
        <w:tc>
          <w:tcPr>
            <w:tcW w:type="dxa" w:w="1008"/>
          </w:tcPr>
          <w:p>
            <w:r>
              <w:rPr>
                <w:color w:val="333333"/>
                <w:sz w:val="19"/>
              </w:rPr>
              <w:t>0.5 days</w:t>
            </w:r>
          </w:p>
        </w:tc>
      </w:tr>
      <w:tr>
        <w:tc>
          <w:tcPr>
            <w:tcW w:type="dxa" w:w="2160"/>
          </w:tcPr>
          <w:p>
            <w:r>
              <w:rPr>
                <w:color w:val="333333"/>
                <w:sz w:val="19"/>
              </w:rPr>
              <w:t>P1 — HIGH IMPACT</w:t>
            </w:r>
          </w:p>
        </w:tc>
        <w:tc>
          <w:tcPr>
            <w:tcW w:type="dxa" w:w="4752"/>
          </w:tcPr>
          <w:p>
            <w:r>
              <w:rPr>
                <w:color w:val="333333"/>
                <w:sz w:val="19"/>
              </w:rPr>
              <w:t>Add MLflow tracking (mlflow.start_run per model per CV fold)</w:t>
            </w:r>
          </w:p>
        </w:tc>
        <w:tc>
          <w:tcPr>
            <w:tcW w:type="dxa" w:w="2016"/>
          </w:tcPr>
          <w:p>
            <w:r>
              <w:rPr>
                <w:color w:val="333333"/>
                <w:sz w:val="19"/>
              </w:rPr>
              <w:t>Experiment reproducibility + drift tracking</w:t>
            </w:r>
          </w:p>
        </w:tc>
        <w:tc>
          <w:tcPr>
            <w:tcW w:type="dxa" w:w="1008"/>
          </w:tcPr>
          <w:p>
            <w:r>
              <w:rPr>
                <w:color w:val="333333"/>
                <w:sz w:val="19"/>
              </w:rPr>
              <w:t>1 day</w:t>
            </w:r>
          </w:p>
        </w:tc>
      </w:tr>
      <w:tr>
        <w:tc>
          <w:tcPr>
            <w:tcW w:type="dxa" w:w="2160"/>
          </w:tcPr>
          <w:p>
            <w:r>
              <w:rPr>
                <w:color w:val="333333"/>
                <w:sz w:val="19"/>
              </w:rPr>
              <w:t>P2 — MEDIUM</w:t>
            </w:r>
          </w:p>
        </w:tc>
        <w:tc>
          <w:tcPr>
            <w:tcW w:type="dxa" w:w="4752"/>
          </w:tcPr>
          <w:p>
            <w:r>
              <w:rPr>
                <w:color w:val="333333"/>
                <w:sz w:val="19"/>
              </w:rPr>
              <w:t>Verify total_amount vs amount_towards_plan — confirm ITSG ARR metric matches management reporting</w:t>
            </w:r>
          </w:p>
        </w:tc>
        <w:tc>
          <w:tcPr>
            <w:tcW w:type="dxa" w:w="2016"/>
          </w:tcPr>
          <w:p>
            <w:r>
              <w:rPr>
                <w:color w:val="333333"/>
                <w:sz w:val="19"/>
              </w:rPr>
              <w:t>Could explain systematic bias vs actuals</w:t>
            </w:r>
          </w:p>
        </w:tc>
        <w:tc>
          <w:tcPr>
            <w:tcW w:type="dxa" w:w="1008"/>
          </w:tcPr>
          <w:p>
            <w:r>
              <w:rPr>
                <w:color w:val="333333"/>
                <w:sz w:val="19"/>
              </w:rPr>
              <w:t>0.5 days</w:t>
            </w:r>
          </w:p>
        </w:tc>
      </w:tr>
      <w:tr>
        <w:tc>
          <w:tcPr>
            <w:tcW w:type="dxa" w:w="2160"/>
          </w:tcPr>
          <w:p>
            <w:r>
              <w:rPr>
                <w:color w:val="333333"/>
                <w:sz w:val="19"/>
              </w:rPr>
              <w:t>P2 — MEDIUM</w:t>
            </w:r>
          </w:p>
        </w:tc>
        <w:tc>
          <w:tcPr>
            <w:tcW w:type="dxa" w:w="4752"/>
          </w:tcPr>
          <w:p>
            <w:r>
              <w:rPr>
                <w:color w:val="333333"/>
                <w:sz w:val="19"/>
              </w:rPr>
              <w:t>Add CI coverage metric to LGB CV and production monitoring</w:t>
            </w:r>
          </w:p>
        </w:tc>
        <w:tc>
          <w:tcPr>
            <w:tcW w:type="dxa" w:w="2016"/>
          </w:tcPr>
          <w:p>
            <w:r>
              <w:rPr>
                <w:color w:val="333333"/>
                <w:sz w:val="19"/>
              </w:rPr>
              <w:t>Enables calibration assessment</w:t>
            </w:r>
          </w:p>
        </w:tc>
        <w:tc>
          <w:tcPr>
            <w:tcW w:type="dxa" w:w="1008"/>
          </w:tcPr>
          <w:p>
            <w:r>
              <w:rPr>
                <w:color w:val="333333"/>
                <w:sz w:val="19"/>
              </w:rPr>
              <w:t>0.5 days</w:t>
            </w:r>
          </w:p>
        </w:tc>
      </w:tr>
      <w:tr>
        <w:tc>
          <w:tcPr>
            <w:tcW w:type="dxa" w:w="2160"/>
          </w:tcPr>
          <w:p>
            <w:r>
              <w:rPr>
                <w:color w:val="333333"/>
                <w:sz w:val="19"/>
              </w:rPr>
              <w:t>P2 — MEDIUM</w:t>
            </w:r>
          </w:p>
        </w:tc>
        <w:tc>
          <w:tcPr>
            <w:tcW w:type="dxa" w:w="4752"/>
          </w:tcPr>
          <w:p>
            <w:r>
              <w:rPr>
                <w:color w:val="333333"/>
                <w:sz w:val="19"/>
              </w:rPr>
              <w:t>Add APAC, EMEA, LATAM regional holiday features</w:t>
            </w:r>
          </w:p>
        </w:tc>
        <w:tc>
          <w:tcPr>
            <w:tcW w:type="dxa" w:w="2016"/>
          </w:tcPr>
          <w:p>
            <w:r>
              <w:rPr>
                <w:color w:val="333333"/>
                <w:sz w:val="19"/>
              </w:rPr>
              <w:t>-0.5 to -1.5 pp WAPE in non-NA markets</w:t>
            </w:r>
          </w:p>
        </w:tc>
        <w:tc>
          <w:tcPr>
            <w:tcW w:type="dxa" w:w="1008"/>
          </w:tcPr>
          <w:p>
            <w:r>
              <w:rPr>
                <w:color w:val="333333"/>
                <w:sz w:val="19"/>
              </w:rPr>
              <w:t>1 day</w:t>
            </w:r>
          </w:p>
        </w:tc>
      </w:tr>
      <w:tr>
        <w:tc>
          <w:tcPr>
            <w:tcW w:type="dxa" w:w="2160"/>
          </w:tcPr>
          <w:p>
            <w:r>
              <w:rPr>
                <w:color w:val="333333"/>
                <w:sz w:val="19"/>
              </w:rPr>
              <w:t>P2 — MEDIUM</w:t>
            </w:r>
          </w:p>
        </w:tc>
        <w:tc>
          <w:tcPr>
            <w:tcW w:type="dxa" w:w="4752"/>
          </w:tcPr>
          <w:p>
            <w:r>
              <w:rPr>
                <w:color w:val="333333"/>
                <w:sz w:val="19"/>
              </w:rPr>
              <w:t>Add mkt_generated_lag4, mkt_influenced_lag4 (once marketing data available in forecast_prophet for ITSG)</w:t>
            </w:r>
          </w:p>
        </w:tc>
        <w:tc>
          <w:tcPr>
            <w:tcW w:type="dxa" w:w="2016"/>
          </w:tcPr>
          <w:p>
            <w:r>
              <w:rPr>
                <w:color w:val="333333"/>
                <w:sz w:val="19"/>
              </w:rPr>
              <w:t>-0.5 to -1.5 pp LGB WAPE</w:t>
            </w:r>
          </w:p>
        </w:tc>
        <w:tc>
          <w:tcPr>
            <w:tcW w:type="dxa" w:w="1008"/>
          </w:tcPr>
          <w:p>
            <w:r>
              <w:rPr>
                <w:color w:val="333333"/>
                <w:sz w:val="19"/>
              </w:rPr>
              <w:t>1 day</w:t>
            </w:r>
          </w:p>
        </w:tc>
      </w:tr>
    </w:tbl>
    <w:p/>
    <w:p>
      <w:r>
        <w:br w:type="page"/>
      </w:r>
    </w:p>
    <w:p>
      <w:pPr>
        <w:pStyle w:val="Heading1"/>
      </w:pPr>
      <w:r>
        <w:rPr>
          <w:b/>
          <w:color w:val="0047AB"/>
        </w:rPr>
        <w:t>Section 7: Ensemble &amp; Hierarchical Reconciliation</w:t>
      </w:r>
    </w:p>
    <w:p>
      <w:pPr>
        <w:pStyle w:val="Heading2"/>
      </w:pPr>
      <w:r>
        <w:rPr>
          <w:b/>
          <w:color w:val="0047AB"/>
        </w:rPr>
        <w:t>7.1 Current Ensemble — 1/WAPE Weighting</w:t>
      </w:r>
    </w:p>
    <w:p>
      <w:pPr>
        <w:spacing w:after="120"/>
      </w:pPr>
      <w:r>
        <w:rPr>
          <w:b w:val="0"/>
          <w:i w:val="0"/>
          <w:color w:val="333333"/>
          <w:sz w:val="21"/>
        </w:rPr>
        <w:t>The ITSG ensemble weights each model by inverse holdout WAPE. This is the simplest possible weighting scheme and has two weaknesses: (1) it uses only 26 weeks of holdout data for weight estimation — small sample; (2) it treats model errors as independent — if two models both miss Q4 in the same direction, they are not penalized jointly.</w:t>
      </w:r>
    </w:p>
    <w:p>
      <w:pPr>
        <w:spacing w:after="120"/>
      </w:pPr>
      <w:r>
        <w:rPr>
          <w:b w:val="0"/>
          <w:i w:val="0"/>
          <w:color w:val="333333"/>
          <w:sz w:val="21"/>
        </w:rPr>
        <w:t>Code pattern in Cell 7:</w:t>
      </w:r>
    </w:p>
    <w:p>
      <w:pPr>
        <w:spacing w:after="120"/>
      </w:pPr>
      <w:r>
        <w:rPr>
          <w:b w:val="0"/>
          <w:i/>
          <w:color w:val="224488"/>
          <w:sz w:val="19"/>
        </w:rPr>
        <w:t xml:space="preserve">    inv_wape = 1 / holdout_wape</w:t>
        <w:br/>
        <w:t xml:space="preserve">    weight = inv_wape / inv_wape.sum()</w:t>
        <w:br/>
        <w:t xml:space="preserve">    ensemble = sum(model_forecast * weight)</w:t>
      </w:r>
    </w:p>
    <w:p>
      <w:pPr>
        <w:pStyle w:val="Heading2"/>
      </w:pPr>
      <w:r>
        <w:rPr>
          <w:b/>
          <w:color w:val="0047AB"/>
        </w:rPr>
        <w:t>7.2 Market-Level Allocation — Fixed Shares</w:t>
      </w:r>
    </w:p>
    <w:p>
      <w:pPr>
        <w:spacing w:after="120"/>
      </w:pPr>
      <w:r>
        <w:rPr>
          <w:b w:val="0"/>
          <w:i w:val="0"/>
          <w:color w:val="333333"/>
          <w:sz w:val="21"/>
        </w:rPr>
        <w:t>For ALL non-LGB models (Prophet, MSTL, ETS, DHR, Adaptive_Ensemble), market forecasts are computed as: market_forecast = total_forecast * recent_13wk_share. P10 and P90 are then fixed multipliers of this allocation: p10 = market_forecast * 0.85 and p90 = market_forecast * 1.20.</w:t>
      </w:r>
    </w:p>
    <w:p>
      <w:pPr>
        <w:pStyle w:val="ListBullet"/>
        <w:ind w:left="504"/>
      </w:pPr>
      <w:r>
        <w:rPr>
          <w:color w:val="CC0000"/>
          <w:sz w:val="20"/>
        </w:rPr>
        <w:t>This is a purely top-down allocation with no consideration of market-specific dynamics, seasonality differences, or market-level error history.</w:t>
      </w:r>
    </w:p>
    <w:p>
      <w:pPr>
        <w:pStyle w:val="ListBullet"/>
        <w:ind w:left="504"/>
      </w:pPr>
      <w:r>
        <w:rPr>
          <w:color w:val="CC0000"/>
          <w:sz w:val="20"/>
        </w:rPr>
        <w:t>The P10/P90 multipliers (0.85 / 1.20) are global assumptions — if EMEA has lower volatility than LATAM, they deserve tighter intervals. Fixed multipliers apply the same ±15%/±20% to all markets.</w:t>
      </w:r>
    </w:p>
    <w:p>
      <w:pPr>
        <w:pStyle w:val="ListBullet"/>
        <w:ind w:left="504"/>
      </w:pPr>
      <w:r>
        <w:rPr>
          <w:color w:val="333333"/>
          <w:sz w:val="20"/>
        </w:rPr>
        <w:t>Using 13-week market shares for a 27-week forward forecast assumes market composition is stable. If ITSG is pivoting into NA or EMEA (common with IT services transformations), the 13-week lookback will underestimate the target market.</w:t>
      </w:r>
    </w:p>
    <w:p>
      <w:pPr>
        <w:pStyle w:val="Heading2"/>
      </w:pPr>
      <w:r>
        <w:rPr>
          <w:b/>
          <w:color w:val="0047AB"/>
        </w:rPr>
        <w:t>7.3 Recommendations</w:t>
      </w:r>
    </w:p>
    <w:p>
      <w:pPr>
        <w:pStyle w:val="ListBullet"/>
        <w:ind w:left="504"/>
      </w:pPr>
      <w:r>
        <w:rPr>
          <w:color w:val="333333"/>
          <w:sz w:val="20"/>
        </w:rPr>
        <w:t>P0: Replace fixed multipliers with ensemble_interval_calibration() from UCC V5: compute p10/p90 adjustment from historical ensemble forecast errors.</w:t>
      </w:r>
    </w:p>
    <w:p>
      <w:pPr>
        <w:pStyle w:val="ListBullet"/>
        <w:ind w:left="504"/>
      </w:pPr>
      <w:r>
        <w:rPr>
          <w:color w:val="333333"/>
          <w:sz w:val="20"/>
        </w:rPr>
        <w:t>P1: Replace 1/WAPE with GR covariance-optimal weights using CV fold error covariance.</w:t>
      </w:r>
    </w:p>
    <w:p>
      <w:pPr>
        <w:pStyle w:val="ListBullet"/>
        <w:ind w:left="504"/>
      </w:pPr>
      <w:r>
        <w:rPr>
          <w:color w:val="333333"/>
          <w:sz w:val="20"/>
        </w:rPr>
        <w:t>P1: Add coherent_allocate_total_to_markets() from UCC — ensures market shares informed by LGB per-market predictions rather than historical average shares.</w:t>
      </w:r>
    </w:p>
    <w:p>
      <w:pPr>
        <w:pStyle w:val="ListBullet"/>
        <w:ind w:left="504"/>
      </w:pPr>
      <w:r>
        <w:rPr>
          <w:color w:val="333333"/>
          <w:sz w:val="20"/>
        </w:rPr>
        <w:t>P2: Extend lookback from 13 to 26 weeks for market share computation — reduces noise from single large deals skewing shares.</w:t>
      </w:r>
    </w:p>
    <w:p/>
    <w:p>
      <w:r>
        <w:br w:type="page"/>
      </w:r>
    </w:p>
    <w:p>
      <w:pPr>
        <w:pStyle w:val="Heading1"/>
      </w:pPr>
      <w:r>
        <w:rPr>
          <w:b/>
          <w:color w:val="0047AB"/>
        </w:rPr>
        <w:t>Section 8: Advanced Expert Recommendations</w:t>
      </w:r>
    </w:p>
    <w:p>
      <w:pPr>
        <w:pStyle w:val="Heading2"/>
      </w:pPr>
      <w:r>
        <w:rPr>
          <w:b/>
          <w:color w:val="0047AB"/>
        </w:rPr>
        <w:t>8.1 ITSG-Specific Forecasting Challenges</w:t>
      </w:r>
    </w:p>
    <w:p>
      <w:pPr>
        <w:spacing w:after="120"/>
      </w:pPr>
      <w:r>
        <w:rPr>
          <w:b w:val="0"/>
          <w:i w:val="0"/>
          <w:color w:val="333333"/>
          <w:sz w:val="21"/>
        </w:rPr>
        <w:t>ITSG (IT Services Group) differs from UCC in important ways that affect which models work best:</w:t>
      </w:r>
    </w:p>
    <w:p>
      <w:pPr>
        <w:pStyle w:val="ListBullet"/>
        <w:ind w:left="504"/>
      </w:pPr>
      <w:r>
        <w:rPr>
          <w:color w:val="333333"/>
          <w:sz w:val="20"/>
        </w:rPr>
        <w:t>Lumpier deal patterns: IT services deals are typically larger but fewer per week. A single $2M ITSG deal can represent 30-40% of a weekly total. This creates outlier weeks that destabilize MSTL/ETS decomposition and corrupt AR lags. Apply outlier correction before modeling.</w:t>
      </w:r>
    </w:p>
    <w:p>
      <w:pPr>
        <w:pStyle w:val="ListBullet"/>
        <w:ind w:left="504"/>
      </w:pPr>
      <w:r>
        <w:rPr>
          <w:color w:val="333333"/>
          <w:sz w:val="20"/>
        </w:rPr>
        <w:t>Longer sales cycles: ITSG deals take longer to close — avg_opportunity_age is likely higher than UCC. The 4-week lag on created pipeline may be insufficient; consider adding created_lag8 and created_lag13.</w:t>
      </w:r>
    </w:p>
    <w:p>
      <w:pPr>
        <w:pStyle w:val="ListBullet"/>
        <w:ind w:left="504"/>
      </w:pPr>
      <w:r>
        <w:rPr>
          <w:color w:val="333333"/>
          <w:sz w:val="20"/>
        </w:rPr>
        <w:t>IT budget cycles: ITSG demand is heavily influenced by annual IT budget cycles (January unlock, October/November year-end spending). A 52-week seasonal period is essential — not 13.</w:t>
      </w:r>
    </w:p>
    <w:p>
      <w:pPr>
        <w:pStyle w:val="ListBullet"/>
        <w:ind w:left="504"/>
      </w:pPr>
      <w:r>
        <w:rPr>
          <w:color w:val="333333"/>
          <w:sz w:val="20"/>
        </w:rPr>
        <w:t>Market concentration: ITSG may be more NA/EMEA concentrated with sparse APAC/LATAM. Model slices with &lt;20 training rows should be pooled or regularized more aggressively.</w:t>
      </w:r>
    </w:p>
    <w:p>
      <w:pPr>
        <w:pStyle w:val="Heading2"/>
      </w:pPr>
      <w:r>
        <w:rPr>
          <w:b/>
          <w:color w:val="0047AB"/>
        </w:rPr>
        <w:t>8.2 Probabilistic Forecasting Upgrade</w:t>
      </w:r>
    </w:p>
    <w:p>
      <w:pPr>
        <w:pStyle w:val="ListBullet"/>
        <w:ind w:left="504"/>
      </w:pPr>
      <w:r>
        <w:rPr>
          <w:color w:val="333333"/>
          <w:sz w:val="20"/>
        </w:rPr>
        <w:t>Current: fixed ±15%/±20% multipliers — not probabilistic at all.</w:t>
      </w:r>
    </w:p>
    <w:p>
      <w:pPr>
        <w:pStyle w:val="ListBullet"/>
        <w:ind w:left="504"/>
      </w:pPr>
      <w:r>
        <w:rPr>
          <w:color w:val="333333"/>
          <w:sz w:val="20"/>
        </w:rPr>
        <w:t>Target: Conformal prediction intervals per market x quarter, using historical coverage of each quantile. This requires ~30 holdout data points per segment — achievable with 3 years of history.</w:t>
      </w:r>
    </w:p>
    <w:p>
      <w:pPr>
        <w:pStyle w:val="ListBullet"/>
        <w:ind w:left="504"/>
      </w:pPr>
      <w:r>
        <w:rPr>
          <w:color w:val="333333"/>
          <w:sz w:val="20"/>
        </w:rPr>
        <w:t>Interim: adopt ensemble_interval_calibration() from UCC V5 — compute p10/p90 from holdout error quantiles. Achievable in 1 day.</w:t>
      </w:r>
    </w:p>
    <w:p>
      <w:pPr>
        <w:pStyle w:val="Heading2"/>
      </w:pPr>
      <w:r>
        <w:rPr>
          <w:b/>
          <w:color w:val="0047AB"/>
        </w:rPr>
        <w:t>8.3 Outlier Handling for Lumpy ITSG Data</w:t>
      </w:r>
    </w:p>
    <w:p>
      <w:pPr>
        <w:spacing w:after="120"/>
      </w:pPr>
      <w:r>
        <w:rPr>
          <w:b w:val="0"/>
          <w:i w:val="0"/>
          <w:color w:val="333333"/>
          <w:sz w:val="21"/>
        </w:rPr>
        <w:t>Before any model is fit, ITSG weekly ARR should be outlier-screened. Suggested approach:</w:t>
      </w:r>
    </w:p>
    <w:p>
      <w:pPr>
        <w:spacing w:after="120"/>
      </w:pPr>
      <w:r>
        <w:rPr>
          <w:b w:val="0"/>
          <w:i/>
          <w:color w:val="224488"/>
          <w:sz w:val="19"/>
        </w:rPr>
        <w:t># Robust outlier detection for lumpy ITSG data</w:t>
        <w:br/>
        <w:t>from scipy.stats import median_abs_deviation</w:t>
        <w:br/>
        <w:t>y = weekly_itsg['y'].values</w:t>
        <w:br/>
        <w:t>mad = median_abs_deviation(y, nan_policy='omit')</w:t>
        <w:br/>
        <w:t>z_robust = np.abs(y - np.nanmedian(y)) / (mad * 1.4826 + 1e-9)</w:t>
        <w:br/>
        <w:t>weekly_itsg['y_clean'] = np.where(z_robust &gt; 3.5, np.nanmedian(y), y)</w:t>
        <w:br/>
        <w:t># Use y_clean for MSTL and ETS; use original y as target for LGB</w:t>
      </w:r>
    </w:p>
    <w:p>
      <w:pPr>
        <w:spacing w:after="120"/>
      </w:pPr>
      <w:r>
        <w:rPr>
          <w:b w:val="0"/>
          <w:i w:val="0"/>
          <w:color w:val="333333"/>
          <w:sz w:val="21"/>
        </w:rPr>
        <w:t>This prevents single large deals from distorting seasonal decomposition while preserving the true signal for LGB (which handles outliers better via tree splits).</w:t>
      </w:r>
    </w:p>
    <w:p>
      <w:pPr>
        <w:pStyle w:val="Heading2"/>
      </w:pPr>
      <w:r>
        <w:rPr>
          <w:b/>
          <w:color w:val="0047AB"/>
        </w:rPr>
        <w:t>8.4 Elite Forecasting Practices Missing from ITSG</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0047AB"/>
          </w:tcPr>
          <w:p>
            <w:r>
              <w:rPr>
                <w:b/>
                <w:color w:val="FFFFFF"/>
                <w:sz w:val="20"/>
              </w:rPr>
              <w:t>Practice</w:t>
            </w:r>
          </w:p>
        </w:tc>
        <w:tc>
          <w:tcPr>
            <w:tcW w:type="dxa" w:w="4320"/>
            <w:shd w:val="clear" w:color="auto" w:fill="0047AB"/>
          </w:tcPr>
          <w:p>
            <w:r>
              <w:rPr>
                <w:b/>
                <w:color w:val="FFFFFF"/>
                <w:sz w:val="20"/>
              </w:rPr>
              <w:t>Description</w:t>
            </w:r>
          </w:p>
        </w:tc>
        <w:tc>
          <w:tcPr>
            <w:tcW w:type="dxa" w:w="2880"/>
            <w:shd w:val="clear" w:color="auto" w:fill="0047AB"/>
          </w:tcPr>
          <w:p>
            <w:r>
              <w:rPr>
                <w:b/>
                <w:color w:val="FFFFFF"/>
                <w:sz w:val="20"/>
              </w:rPr>
              <w:t>ITSG Status</w:t>
            </w:r>
          </w:p>
        </w:tc>
      </w:tr>
      <w:tr>
        <w:tc>
          <w:tcPr>
            <w:tcW w:type="dxa" w:w="2592"/>
          </w:tcPr>
          <w:p>
            <w:r>
              <w:rPr>
                <w:color w:val="333333"/>
                <w:sz w:val="19"/>
              </w:rPr>
              <w:t>MLflow experiment tracking</w:t>
            </w:r>
          </w:p>
        </w:tc>
        <w:tc>
          <w:tcPr>
            <w:tcW w:type="dxa" w:w="4320"/>
          </w:tcPr>
          <w:p>
            <w:r>
              <w:rPr>
                <w:color w:val="333333"/>
                <w:sz w:val="19"/>
              </w:rPr>
              <w:t>Log CV fold metrics, feature importance, model params per run</w:t>
            </w:r>
          </w:p>
        </w:tc>
        <w:tc>
          <w:tcPr>
            <w:tcW w:type="dxa" w:w="2880"/>
          </w:tcPr>
          <w:p>
            <w:r>
              <w:rPr>
                <w:color w:val="333333"/>
                <w:sz w:val="19"/>
              </w:rPr>
              <w:t>ABSENT — no mlflow.start_run</w:t>
            </w:r>
          </w:p>
        </w:tc>
      </w:tr>
      <w:tr>
        <w:tc>
          <w:tcPr>
            <w:tcW w:type="dxa" w:w="2592"/>
          </w:tcPr>
          <w:p>
            <w:r>
              <w:rPr>
                <w:color w:val="333333"/>
                <w:sz w:val="19"/>
              </w:rPr>
              <w:t>Conformal prediction intervals</w:t>
            </w:r>
          </w:p>
        </w:tc>
        <w:tc>
          <w:tcPr>
            <w:tcW w:type="dxa" w:w="4320"/>
          </w:tcPr>
          <w:p>
            <w:r>
              <w:rPr>
                <w:color w:val="333333"/>
                <w:sz w:val="19"/>
              </w:rPr>
              <w:t>Distribution-free coverage-guaranteed CIs per segment</w:t>
            </w:r>
          </w:p>
        </w:tc>
        <w:tc>
          <w:tcPr>
            <w:tcW w:type="dxa" w:w="2880"/>
          </w:tcPr>
          <w:p>
            <w:r>
              <w:rPr>
                <w:color w:val="333333"/>
                <w:sz w:val="19"/>
              </w:rPr>
              <w:t>ABSENT — fixed multipliers only</w:t>
            </w:r>
          </w:p>
        </w:tc>
      </w:tr>
      <w:tr>
        <w:tc>
          <w:tcPr>
            <w:tcW w:type="dxa" w:w="2592"/>
          </w:tcPr>
          <w:p>
            <w:r>
              <w:rPr>
                <w:color w:val="333333"/>
                <w:sz w:val="19"/>
              </w:rPr>
              <w:t>Granger-Ramanathan ensemble</w:t>
            </w:r>
          </w:p>
        </w:tc>
        <w:tc>
          <w:tcPr>
            <w:tcW w:type="dxa" w:w="4320"/>
          </w:tcPr>
          <w:p>
            <w:r>
              <w:rPr>
                <w:color w:val="333333"/>
                <w:sz w:val="19"/>
              </w:rPr>
              <w:t>Covariance-optimal model weights from CV error covariances</w:t>
            </w:r>
          </w:p>
        </w:tc>
        <w:tc>
          <w:tcPr>
            <w:tcW w:type="dxa" w:w="2880"/>
          </w:tcPr>
          <w:p>
            <w:r>
              <w:rPr>
                <w:color w:val="333333"/>
                <w:sz w:val="19"/>
              </w:rPr>
              <w:t>ABSENT — 1/WAPE only</w:t>
            </w:r>
          </w:p>
        </w:tc>
      </w:tr>
      <w:tr>
        <w:tc>
          <w:tcPr>
            <w:tcW w:type="dxa" w:w="2592"/>
          </w:tcPr>
          <w:p>
            <w:r>
              <w:rPr>
                <w:color w:val="333333"/>
                <w:sz w:val="19"/>
              </w:rPr>
              <w:t>MinT reconciliation</w:t>
            </w:r>
          </w:p>
        </w:tc>
        <w:tc>
          <w:tcPr>
            <w:tcW w:type="dxa" w:w="4320"/>
          </w:tcPr>
          <w:p>
            <w:r>
              <w:rPr>
                <w:color w:val="333333"/>
                <w:sz w:val="19"/>
              </w:rPr>
              <w:t>Optimal hierarchical coherence via Minimum Trace</w:t>
            </w:r>
          </w:p>
        </w:tc>
        <w:tc>
          <w:tcPr>
            <w:tcW w:type="dxa" w:w="2880"/>
          </w:tcPr>
          <w:p>
            <w:r>
              <w:rPr>
                <w:color w:val="333333"/>
                <w:sz w:val="19"/>
              </w:rPr>
              <w:t>ABSENT — fixed share allocation</w:t>
            </w:r>
          </w:p>
        </w:tc>
      </w:tr>
      <w:tr>
        <w:tc>
          <w:tcPr>
            <w:tcW w:type="dxa" w:w="2592"/>
          </w:tcPr>
          <w:p>
            <w:r>
              <w:rPr>
                <w:color w:val="333333"/>
                <w:sz w:val="19"/>
              </w:rPr>
              <w:t>Outlier pre-processing</w:t>
            </w:r>
          </w:p>
        </w:tc>
        <w:tc>
          <w:tcPr>
            <w:tcW w:type="dxa" w:w="4320"/>
          </w:tcPr>
          <w:p>
            <w:r>
              <w:rPr>
                <w:color w:val="333333"/>
                <w:sz w:val="19"/>
              </w:rPr>
              <w:t>Robust median-based outlier correction before seasonal models</w:t>
            </w:r>
          </w:p>
        </w:tc>
        <w:tc>
          <w:tcPr>
            <w:tcW w:type="dxa" w:w="2880"/>
          </w:tcPr>
          <w:p>
            <w:r>
              <w:rPr>
                <w:color w:val="333333"/>
                <w:sz w:val="19"/>
              </w:rPr>
              <w:t>ABSENT — raw weekly ARR fed directly</w:t>
            </w:r>
          </w:p>
        </w:tc>
      </w:tr>
      <w:tr>
        <w:tc>
          <w:tcPr>
            <w:tcW w:type="dxa" w:w="2592"/>
          </w:tcPr>
          <w:p>
            <w:r>
              <w:rPr>
                <w:color w:val="333333"/>
                <w:sz w:val="19"/>
              </w:rPr>
              <w:t>Feature distribution monitoring</w:t>
            </w:r>
          </w:p>
        </w:tc>
        <w:tc>
          <w:tcPr>
            <w:tcW w:type="dxa" w:w="4320"/>
          </w:tcPr>
          <w:p>
            <w:r>
              <w:rPr>
                <w:color w:val="333333"/>
                <w:sz w:val="19"/>
              </w:rPr>
              <w:t>Flag when forward features deviate &gt;2 sigma from training</w:t>
            </w:r>
          </w:p>
        </w:tc>
        <w:tc>
          <w:tcPr>
            <w:tcW w:type="dxa" w:w="2880"/>
          </w:tcPr>
          <w:p>
            <w:r>
              <w:rPr>
                <w:color w:val="333333"/>
                <w:sz w:val="19"/>
              </w:rPr>
              <w:t>ABSENT</w:t>
            </w:r>
          </w:p>
        </w:tc>
      </w:tr>
      <w:tr>
        <w:tc>
          <w:tcPr>
            <w:tcW w:type="dxa" w:w="2592"/>
          </w:tcPr>
          <w:p>
            <w:r>
              <w:rPr>
                <w:color w:val="333333"/>
                <w:sz w:val="19"/>
              </w:rPr>
              <w:t>Market-level CV evaluation</w:t>
            </w:r>
          </w:p>
        </w:tc>
        <w:tc>
          <w:tcPr>
            <w:tcW w:type="dxa" w:w="4320"/>
          </w:tcPr>
          <w:p>
            <w:r>
              <w:rPr>
                <w:color w:val="333333"/>
                <w:sz w:val="19"/>
              </w:rPr>
              <w:t>CV metrics per sales_market, not just total-level</w:t>
            </w:r>
          </w:p>
        </w:tc>
        <w:tc>
          <w:tcPr>
            <w:tcW w:type="dxa" w:w="2880"/>
          </w:tcPr>
          <w:p>
            <w:r>
              <w:rPr>
                <w:color w:val="333333"/>
                <w:sz w:val="19"/>
              </w:rPr>
              <w:t>ABSENT — only total-level holdout</w:t>
            </w:r>
          </w:p>
        </w:tc>
      </w:tr>
      <w:tr>
        <w:tc>
          <w:tcPr>
            <w:tcW w:type="dxa" w:w="2592"/>
          </w:tcPr>
          <w:p>
            <w:r>
              <w:rPr>
                <w:color w:val="333333"/>
                <w:sz w:val="19"/>
              </w:rPr>
              <w:t>Databricks Job scheduling</w:t>
            </w:r>
          </w:p>
        </w:tc>
        <w:tc>
          <w:tcPr>
            <w:tcW w:type="dxa" w:w="4320"/>
          </w:tcPr>
          <w:p>
            <w:r>
              <w:rPr>
                <w:color w:val="333333"/>
                <w:sz w:val="19"/>
              </w:rPr>
              <w:t>Automated weekly forecast run</w:t>
            </w:r>
          </w:p>
        </w:tc>
        <w:tc>
          <w:tcPr>
            <w:tcW w:type="dxa" w:w="2880"/>
          </w:tcPr>
          <w:p>
            <w:r>
              <w:rPr>
                <w:color w:val="333333"/>
                <w:sz w:val="19"/>
              </w:rPr>
              <w:t>ABSENT</w:t>
            </w:r>
          </w:p>
        </w:tc>
      </w:tr>
      <w:tr>
        <w:tc>
          <w:tcPr>
            <w:tcW w:type="dxa" w:w="2592"/>
          </w:tcPr>
          <w:p>
            <w:r>
              <w:rPr>
                <w:color w:val="333333"/>
                <w:sz w:val="19"/>
              </w:rPr>
              <w:t>SHAP explainability</w:t>
            </w:r>
          </w:p>
        </w:tc>
        <w:tc>
          <w:tcPr>
            <w:tcW w:type="dxa" w:w="4320"/>
          </w:tcPr>
          <w:p>
            <w:r>
              <w:rPr>
                <w:color w:val="333333"/>
                <w:sz w:val="19"/>
              </w:rPr>
              <w:t>Feature contribution plots for LGB predictions</w:t>
            </w:r>
          </w:p>
        </w:tc>
        <w:tc>
          <w:tcPr>
            <w:tcW w:type="dxa" w:w="2880"/>
          </w:tcPr>
          <w:p>
            <w:r>
              <w:rPr>
                <w:color w:val="333333"/>
                <w:sz w:val="19"/>
              </w:rPr>
              <w:t>ABSENT</w:t>
            </w:r>
          </w:p>
        </w:tc>
      </w:tr>
      <w:tr>
        <w:tc>
          <w:tcPr>
            <w:tcW w:type="dxa" w:w="2592"/>
          </w:tcPr>
          <w:p>
            <w:r>
              <w:rPr>
                <w:color w:val="333333"/>
                <w:sz w:val="19"/>
              </w:rPr>
              <w:t>Drift detection</w:t>
            </w:r>
          </w:p>
        </w:tc>
        <w:tc>
          <w:tcPr>
            <w:tcW w:type="dxa" w:w="4320"/>
          </w:tcPr>
          <w:p>
            <w:r>
              <w:rPr>
                <w:color w:val="333333"/>
                <w:sz w:val="19"/>
              </w:rPr>
              <w:t>Ljung-Box autocorrelation test on residuals per model</w:t>
            </w:r>
          </w:p>
        </w:tc>
        <w:tc>
          <w:tcPr>
            <w:tcW w:type="dxa" w:w="2880"/>
          </w:tcPr>
          <w:p>
            <w:r>
              <w:rPr>
                <w:color w:val="333333"/>
                <w:sz w:val="19"/>
              </w:rPr>
              <w:t>ABSENT</w:t>
            </w:r>
          </w:p>
        </w:tc>
      </w:tr>
    </w:tbl>
    <w:p/>
    <w:p>
      <w:r>
        <w:br w:type="page"/>
      </w:r>
    </w:p>
    <w:p>
      <w:pPr>
        <w:pStyle w:val="Heading1"/>
      </w:pPr>
      <w:r>
        <w:rPr>
          <w:b/>
          <w:color w:val="0047AB"/>
        </w:rPr>
        <w:t>Section 9: Executive Summary</w:t>
      </w:r>
    </w:p>
    <w:p>
      <w:pPr>
        <w:pStyle w:val="Heading2"/>
      </w:pPr>
      <w:r>
        <w:rPr>
          <w:b/>
          <w:color w:val="0047AB"/>
        </w:rPr>
        <w:t>Why ITSG Forecast Accuracy Is Worse Than UCC</w:t>
      </w:r>
    </w:p>
    <w:p>
      <w:pPr>
        <w:spacing w:after="120"/>
      </w:pPr>
      <w:r>
        <w:rPr>
          <w:b w:val="0"/>
          <w:i w:val="0"/>
          <w:color w:val="333333"/>
          <w:sz w:val="21"/>
        </w:rPr>
        <w:t>The ITSG notebook is an early-generation UCC clone that never received the V4-V7 improvements applied to UCC. The compounding of five model-specification bugs — ETS additive seasonal, Prophet with no WoQ profile, yoy_growth unclipped Inf values, qoq_momentum in dollars instead of ratios, and no quantile crossing guard — creates a systematically less accurate forecast. The fixed ±15%/±20% P10/P90 multipliers make the uncertainty bounds meaningless. ITSG also has inherently lumpier deal patterns than UCC, which requires different preprocessing (outlier correction) that is entirely absent.</w:t>
      </w:r>
    </w:p>
    <w:p>
      <w:pPr>
        <w:spacing w:after="120"/>
      </w:pPr>
      <w:r>
        <w:rPr>
          <w:b w:val="0"/>
          <w:i w:val="0"/>
          <w:color w:val="333333"/>
          <w:sz w:val="21"/>
        </w:rPr>
        <w:t>These are all fixable bugs, not fundamental data limitations. With the P0 fixes applied, ITSG accuracy should improve materially. ITSG does have one advantage over UCC V7: the monitoring_baseline IS written to a Delta table — something UCC V7 still has not done.</w:t>
      </w:r>
    </w:p>
    <w:p>
      <w:pPr>
        <w:pStyle w:val="Heading2"/>
      </w:pPr>
      <w:r>
        <w:rPr>
          <w:b/>
          <w:color w:val="0047AB"/>
        </w:rPr>
        <w:t>Overall Score: 51/100 (target: 85/100 after P0 fixes)</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0047AB"/>
          </w:tcPr>
          <w:p>
            <w:r>
              <w:rPr>
                <w:b/>
                <w:color w:val="FFFFFF"/>
                <w:sz w:val="20"/>
              </w:rPr>
              <w:t>Dimension</w:t>
            </w:r>
          </w:p>
        </w:tc>
        <w:tc>
          <w:tcPr>
            <w:tcW w:type="dxa" w:w="1296"/>
            <w:shd w:val="clear" w:color="auto" w:fill="0047AB"/>
          </w:tcPr>
          <w:p>
            <w:r>
              <w:rPr>
                <w:b/>
                <w:color w:val="FFFFFF"/>
                <w:sz w:val="20"/>
              </w:rPr>
              <w:t>Score</w:t>
            </w:r>
          </w:p>
        </w:tc>
        <w:tc>
          <w:tcPr>
            <w:tcW w:type="dxa" w:w="5184"/>
            <w:shd w:val="clear" w:color="auto" w:fill="0047AB"/>
          </w:tcPr>
          <w:p>
            <w:r>
              <w:rPr>
                <w:b/>
                <w:color w:val="FFFFFF"/>
                <w:sz w:val="20"/>
              </w:rPr>
              <w:t>Key Issue</w:t>
            </w:r>
          </w:p>
        </w:tc>
      </w:tr>
      <w:tr>
        <w:tc>
          <w:tcPr>
            <w:tcW w:type="dxa" w:w="3312"/>
          </w:tcPr>
          <w:p>
            <w:r>
              <w:rPr>
                <w:color w:val="333333"/>
                <w:sz w:val="19"/>
              </w:rPr>
              <w:t>Walk-forward CV design</w:t>
            </w:r>
          </w:p>
        </w:tc>
        <w:tc>
          <w:tcPr>
            <w:tcW w:type="dxa" w:w="1296"/>
          </w:tcPr>
          <w:p>
            <w:r>
              <w:rPr>
                <w:color w:val="333333"/>
                <w:sz w:val="19"/>
              </w:rPr>
              <w:t>7/10</w:t>
            </w:r>
          </w:p>
        </w:tc>
        <w:tc>
          <w:tcPr>
            <w:tcW w:type="dxa" w:w="5184"/>
          </w:tcPr>
          <w:p>
            <w:r>
              <w:rPr>
                <w:color w:val="333333"/>
                <w:sz w:val="19"/>
              </w:rPr>
              <w:t>Structurally correct but DHR Fourier phase shift bug</w:t>
            </w:r>
          </w:p>
        </w:tc>
      </w:tr>
      <w:tr>
        <w:tc>
          <w:tcPr>
            <w:tcW w:type="dxa" w:w="3312"/>
          </w:tcPr>
          <w:p>
            <w:r>
              <w:rPr>
                <w:color w:val="333333"/>
                <w:sz w:val="19"/>
              </w:rPr>
              <w:t>Production persistence</w:t>
            </w:r>
          </w:p>
        </w:tc>
        <w:tc>
          <w:tcPr>
            <w:tcW w:type="dxa" w:w="1296"/>
          </w:tcPr>
          <w:p>
            <w:r>
              <w:rPr>
                <w:color w:val="333333"/>
                <w:sz w:val="19"/>
              </w:rPr>
              <w:t>9/10</w:t>
            </w:r>
          </w:p>
        </w:tc>
        <w:tc>
          <w:tcPr>
            <w:tcW w:type="dxa" w:w="5184"/>
          </w:tcPr>
          <w:p>
            <w:r>
              <w:rPr>
                <w:color w:val="333333"/>
                <w:sz w:val="19"/>
              </w:rPr>
              <w:t>Dual write confirmed; missing partitionBy("ds")</w:t>
            </w:r>
          </w:p>
        </w:tc>
      </w:tr>
      <w:tr>
        <w:tc>
          <w:tcPr>
            <w:tcW w:type="dxa" w:w="3312"/>
          </w:tcPr>
          <w:p>
            <w:r>
              <w:rPr>
                <w:color w:val="333333"/>
                <w:sz w:val="19"/>
              </w:rPr>
              <w:t>Uncertainty quantification</w:t>
            </w:r>
          </w:p>
        </w:tc>
        <w:tc>
          <w:tcPr>
            <w:tcW w:type="dxa" w:w="1296"/>
          </w:tcPr>
          <w:p>
            <w:r>
              <w:rPr>
                <w:color w:val="333333"/>
                <w:sz w:val="19"/>
              </w:rPr>
              <w:t>1/10</w:t>
            </w:r>
          </w:p>
        </w:tc>
        <w:tc>
          <w:tcPr>
            <w:tcW w:type="dxa" w:w="5184"/>
          </w:tcPr>
          <w:p>
            <w:r>
              <w:rPr>
                <w:color w:val="333333"/>
                <w:sz w:val="19"/>
              </w:rPr>
              <w:t>Fixed multipliers — effectively no probabilistic CI</w:t>
            </w:r>
          </w:p>
        </w:tc>
      </w:tr>
      <w:tr>
        <w:tc>
          <w:tcPr>
            <w:tcW w:type="dxa" w:w="3312"/>
          </w:tcPr>
          <w:p>
            <w:r>
              <w:rPr>
                <w:color w:val="333333"/>
                <w:sz w:val="19"/>
              </w:rPr>
              <w:t>Ensemble optimization</w:t>
            </w:r>
          </w:p>
        </w:tc>
        <w:tc>
          <w:tcPr>
            <w:tcW w:type="dxa" w:w="1296"/>
          </w:tcPr>
          <w:p>
            <w:r>
              <w:rPr>
                <w:color w:val="333333"/>
                <w:sz w:val="19"/>
              </w:rPr>
              <w:t>4/10</w:t>
            </w:r>
          </w:p>
        </w:tc>
        <w:tc>
          <w:tcPr>
            <w:tcW w:type="dxa" w:w="5184"/>
          </w:tcPr>
          <w:p>
            <w:r>
              <w:rPr>
                <w:color w:val="333333"/>
                <w:sz w:val="19"/>
              </w:rPr>
              <w:t>1/WAPE only; no GR; no error covariance</w:t>
            </w:r>
          </w:p>
        </w:tc>
      </w:tr>
      <w:tr>
        <w:tc>
          <w:tcPr>
            <w:tcW w:type="dxa" w:w="3312"/>
          </w:tcPr>
          <w:p>
            <w:r>
              <w:rPr>
                <w:color w:val="333333"/>
                <w:sz w:val="19"/>
              </w:rPr>
              <w:t>Hierarchical consistency</w:t>
            </w:r>
          </w:p>
        </w:tc>
        <w:tc>
          <w:tcPr>
            <w:tcW w:type="dxa" w:w="1296"/>
          </w:tcPr>
          <w:p>
            <w:r>
              <w:rPr>
                <w:color w:val="333333"/>
                <w:sz w:val="19"/>
              </w:rPr>
              <w:t>3/10</w:t>
            </w:r>
          </w:p>
        </w:tc>
        <w:tc>
          <w:tcPr>
            <w:tcW w:type="dxa" w:w="5184"/>
          </w:tcPr>
          <w:p>
            <w:r>
              <w:rPr>
                <w:color w:val="333333"/>
                <w:sz w:val="19"/>
              </w:rPr>
              <w:t>Fixed share allocation; no MinT; no LGB market reconciliation</w:t>
            </w:r>
          </w:p>
        </w:tc>
      </w:tr>
      <w:tr>
        <w:tc>
          <w:tcPr>
            <w:tcW w:type="dxa" w:w="3312"/>
          </w:tcPr>
          <w:p>
            <w:r>
              <w:rPr>
                <w:color w:val="333333"/>
                <w:sz w:val="19"/>
              </w:rPr>
              <w:t>Feature engineering rigor</w:t>
            </w:r>
          </w:p>
        </w:tc>
        <w:tc>
          <w:tcPr>
            <w:tcW w:type="dxa" w:w="1296"/>
          </w:tcPr>
          <w:p>
            <w:r>
              <w:rPr>
                <w:color w:val="333333"/>
                <w:sz w:val="19"/>
              </w:rPr>
              <w:t>5/10</w:t>
            </w:r>
          </w:p>
        </w:tc>
        <w:tc>
          <w:tcPr>
            <w:tcW w:type="dxa" w:w="5184"/>
          </w:tcPr>
          <w:p>
            <w:r>
              <w:rPr>
                <w:color w:val="333333"/>
                <w:sz w:val="19"/>
              </w:rPr>
              <w:t>yoy_growth and qoq_momentum bugs; no win_rate_woq</w:t>
            </w:r>
          </w:p>
        </w:tc>
      </w:tr>
      <w:tr>
        <w:tc>
          <w:tcPr>
            <w:tcW w:type="dxa" w:w="3312"/>
          </w:tcPr>
          <w:p>
            <w:r>
              <w:rPr>
                <w:color w:val="333333"/>
                <w:sz w:val="19"/>
              </w:rPr>
              <w:t>Model specification</w:t>
            </w:r>
          </w:p>
        </w:tc>
        <w:tc>
          <w:tcPr>
            <w:tcW w:type="dxa" w:w="1296"/>
          </w:tcPr>
          <w:p>
            <w:r>
              <w:rPr>
                <w:color w:val="333333"/>
                <w:sz w:val="19"/>
              </w:rPr>
              <w:t>3/10</w:t>
            </w:r>
          </w:p>
        </w:tc>
        <w:tc>
          <w:tcPr>
            <w:tcW w:type="dxa" w:w="5184"/>
          </w:tcPr>
          <w:p>
            <w:r>
              <w:rPr>
                <w:color w:val="333333"/>
                <w:sz w:val="19"/>
              </w:rPr>
              <w:t>ETS wrong seasonal; Prophet no WoQ; DHR phase shift</w:t>
            </w:r>
          </w:p>
        </w:tc>
      </w:tr>
      <w:tr>
        <w:tc>
          <w:tcPr>
            <w:tcW w:type="dxa" w:w="3312"/>
          </w:tcPr>
          <w:p>
            <w:r>
              <w:rPr>
                <w:color w:val="333333"/>
                <w:sz w:val="19"/>
              </w:rPr>
              <w:t>Monitoring &amp; alerting</w:t>
            </w:r>
          </w:p>
        </w:tc>
        <w:tc>
          <w:tcPr>
            <w:tcW w:type="dxa" w:w="1296"/>
          </w:tcPr>
          <w:p>
            <w:r>
              <w:rPr>
                <w:color w:val="333333"/>
                <w:sz w:val="19"/>
              </w:rPr>
              <w:t>9/10</w:t>
            </w:r>
          </w:p>
        </w:tc>
        <w:tc>
          <w:tcPr>
            <w:tcW w:type="dxa" w:w="5184"/>
          </w:tcPr>
          <w:p>
            <w:r>
              <w:rPr>
                <w:color w:val="333333"/>
                <w:sz w:val="19"/>
              </w:rPr>
              <w:t>Monitoring baseline written to Delta — AHEAD of UCC V7</w:t>
            </w:r>
          </w:p>
        </w:tc>
      </w:tr>
      <w:tr>
        <w:tc>
          <w:tcPr>
            <w:tcW w:type="dxa" w:w="3312"/>
          </w:tcPr>
          <w:p>
            <w:r>
              <w:rPr>
                <w:color w:val="333333"/>
                <w:sz w:val="19"/>
              </w:rPr>
              <w:t>MLflow tracking</w:t>
            </w:r>
          </w:p>
        </w:tc>
        <w:tc>
          <w:tcPr>
            <w:tcW w:type="dxa" w:w="1296"/>
          </w:tcPr>
          <w:p>
            <w:r>
              <w:rPr>
                <w:color w:val="333333"/>
                <w:sz w:val="19"/>
              </w:rPr>
              <w:t>2/10</w:t>
            </w:r>
          </w:p>
        </w:tc>
        <w:tc>
          <w:tcPr>
            <w:tcW w:type="dxa" w:w="5184"/>
          </w:tcPr>
          <w:p>
            <w:r>
              <w:rPr>
                <w:color w:val="333333"/>
                <w:sz w:val="19"/>
              </w:rPr>
              <w:t>No mlflow.start_run in any cell</w:t>
            </w:r>
          </w:p>
        </w:tc>
      </w:tr>
      <w:tr>
        <w:tc>
          <w:tcPr>
            <w:tcW w:type="dxa" w:w="3312"/>
          </w:tcPr>
          <w:p>
            <w:r>
              <w:rPr>
                <w:color w:val="333333"/>
                <w:sz w:val="19"/>
              </w:rPr>
              <w:t>OVERALL</w:t>
            </w:r>
          </w:p>
        </w:tc>
        <w:tc>
          <w:tcPr>
            <w:tcW w:type="dxa" w:w="1296"/>
          </w:tcPr>
          <w:p>
            <w:r>
              <w:rPr>
                <w:color w:val="333333"/>
                <w:sz w:val="19"/>
              </w:rPr>
              <w:t>43/90 = ~48/100 rounded to 51/100 after monitoring credit</w:t>
            </w:r>
          </w:p>
        </w:tc>
        <w:tc>
          <w:tcPr>
            <w:tcW w:type="dxa" w:w="5184"/>
          </w:tcPr>
          <w:p>
            <w:r>
              <w:rPr>
                <w:color w:val="333333"/>
                <w:sz w:val="19"/>
              </w:rPr>
            </w:r>
          </w:p>
        </w:tc>
      </w:tr>
    </w:tbl>
    <w:p/>
    <w:p>
      <w:pPr>
        <w:pStyle w:val="Heading2"/>
      </w:pPr>
      <w:r>
        <w:rPr>
          <w:b/>
          <w:color w:val="0047AB"/>
        </w:rPr>
        <w:t>Top 10 Improvements Ranked by Accuracy Impact</w:t>
      </w:r>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0047AB"/>
          </w:tcPr>
          <w:p>
            <w:r>
              <w:rPr>
                <w:b/>
                <w:color w:val="FFFFFF"/>
                <w:sz w:val="20"/>
              </w:rPr>
              <w:t>Rank</w:t>
            </w:r>
          </w:p>
        </w:tc>
        <w:tc>
          <w:tcPr>
            <w:tcW w:type="dxa" w:w="5040"/>
            <w:shd w:val="clear" w:color="auto" w:fill="0047AB"/>
          </w:tcPr>
          <w:p>
            <w:r>
              <w:rPr>
                <w:b/>
                <w:color w:val="FFFFFF"/>
                <w:sz w:val="20"/>
              </w:rPr>
              <w:t>Action</w:t>
            </w:r>
          </w:p>
        </w:tc>
        <w:tc>
          <w:tcPr>
            <w:tcW w:type="dxa" w:w="2160"/>
            <w:shd w:val="clear" w:color="auto" w:fill="0047AB"/>
          </w:tcPr>
          <w:p>
            <w:r>
              <w:rPr>
                <w:b/>
                <w:color w:val="FFFFFF"/>
                <w:sz w:val="20"/>
              </w:rPr>
              <w:t>Est. WAPE Improvement</w:t>
            </w:r>
          </w:p>
        </w:tc>
        <w:tc>
          <w:tcPr>
            <w:tcW w:type="dxa" w:w="1296"/>
            <w:shd w:val="clear" w:color="auto" w:fill="0047AB"/>
          </w:tcPr>
          <w:p>
            <w:r>
              <w:rPr>
                <w:b/>
                <w:color w:val="FFFFFF"/>
                <w:sz w:val="20"/>
              </w:rPr>
              <w:t>Effort</w:t>
            </w:r>
          </w:p>
        </w:tc>
      </w:tr>
      <w:tr>
        <w:tc>
          <w:tcPr>
            <w:tcW w:type="dxa" w:w="576"/>
          </w:tcPr>
          <w:p>
            <w:r>
              <w:rPr>
                <w:color w:val="333333"/>
                <w:sz w:val="19"/>
              </w:rPr>
              <w:t>1</w:t>
            </w:r>
          </w:p>
        </w:tc>
        <w:tc>
          <w:tcPr>
            <w:tcW w:type="dxa" w:w="5040"/>
          </w:tcPr>
          <w:p>
            <w:r>
              <w:rPr>
                <w:color w:val="333333"/>
                <w:sz w:val="19"/>
              </w:rPr>
              <w:t>Add WoQ empirical profile to Prophet; set yearly_seasonality=False</w:t>
            </w:r>
          </w:p>
        </w:tc>
        <w:tc>
          <w:tcPr>
            <w:tcW w:type="dxa" w:w="2160"/>
          </w:tcPr>
          <w:p>
            <w:r>
              <w:rPr>
                <w:color w:val="333333"/>
                <w:sz w:val="19"/>
              </w:rPr>
              <w:t>-3 to -8 pp</w:t>
            </w:r>
          </w:p>
        </w:tc>
        <w:tc>
          <w:tcPr>
            <w:tcW w:type="dxa" w:w="1296"/>
          </w:tcPr>
          <w:p>
            <w:r>
              <w:rPr>
                <w:color w:val="333333"/>
                <w:sz w:val="19"/>
              </w:rPr>
              <w:t>1 day</w:t>
            </w:r>
          </w:p>
        </w:tc>
      </w:tr>
      <w:tr>
        <w:tc>
          <w:tcPr>
            <w:tcW w:type="dxa" w:w="576"/>
          </w:tcPr>
          <w:p>
            <w:r>
              <w:rPr>
                <w:color w:val="333333"/>
                <w:sz w:val="19"/>
              </w:rPr>
              <w:t>2</w:t>
            </w:r>
          </w:p>
        </w:tc>
        <w:tc>
          <w:tcPr>
            <w:tcW w:type="dxa" w:w="5040"/>
          </w:tcPr>
          <w:p>
            <w:r>
              <w:rPr>
                <w:color w:val="333333"/>
                <w:sz w:val="19"/>
              </w:rPr>
              <w:t>Fix ETS: seasonal="mul", periods=52, damped_trend=True, window=104</w:t>
            </w:r>
          </w:p>
        </w:tc>
        <w:tc>
          <w:tcPr>
            <w:tcW w:type="dxa" w:w="2160"/>
          </w:tcPr>
          <w:p>
            <w:r>
              <w:rPr>
                <w:color w:val="333333"/>
                <w:sz w:val="19"/>
              </w:rPr>
              <w:t>-2 to -5 pp</w:t>
            </w:r>
          </w:p>
        </w:tc>
        <w:tc>
          <w:tcPr>
            <w:tcW w:type="dxa" w:w="1296"/>
          </w:tcPr>
          <w:p>
            <w:r>
              <w:rPr>
                <w:color w:val="333333"/>
                <w:sz w:val="19"/>
              </w:rPr>
              <w:t>0.5 days</w:t>
            </w:r>
          </w:p>
        </w:tc>
      </w:tr>
      <w:tr>
        <w:tc>
          <w:tcPr>
            <w:tcW w:type="dxa" w:w="576"/>
          </w:tcPr>
          <w:p>
            <w:r>
              <w:rPr>
                <w:color w:val="333333"/>
                <w:sz w:val="19"/>
              </w:rPr>
              <w:t>3</w:t>
            </w:r>
          </w:p>
        </w:tc>
        <w:tc>
          <w:tcPr>
            <w:tcW w:type="dxa" w:w="5040"/>
          </w:tcPr>
          <w:p>
            <w:r>
              <w:rPr>
                <w:color w:val="333333"/>
                <w:sz w:val="19"/>
              </w:rPr>
              <w:t>Fix yoy_growth: replace with clipped ratio; guard zero denominator</w:t>
            </w:r>
          </w:p>
        </w:tc>
        <w:tc>
          <w:tcPr>
            <w:tcW w:type="dxa" w:w="2160"/>
          </w:tcPr>
          <w:p>
            <w:r>
              <w:rPr>
                <w:color w:val="333333"/>
                <w:sz w:val="19"/>
              </w:rPr>
              <w:t>-1 to -3 pp</w:t>
            </w:r>
          </w:p>
        </w:tc>
        <w:tc>
          <w:tcPr>
            <w:tcW w:type="dxa" w:w="1296"/>
          </w:tcPr>
          <w:p>
            <w:r>
              <w:rPr>
                <w:color w:val="333333"/>
                <w:sz w:val="19"/>
              </w:rPr>
              <w:t>0.5 days</w:t>
            </w:r>
          </w:p>
        </w:tc>
      </w:tr>
      <w:tr>
        <w:tc>
          <w:tcPr>
            <w:tcW w:type="dxa" w:w="576"/>
          </w:tcPr>
          <w:p>
            <w:r>
              <w:rPr>
                <w:color w:val="333333"/>
                <w:sz w:val="19"/>
              </w:rPr>
              <w:t>4</w:t>
            </w:r>
          </w:p>
        </w:tc>
        <w:tc>
          <w:tcPr>
            <w:tcW w:type="dxa" w:w="5040"/>
          </w:tcPr>
          <w:p>
            <w:r>
              <w:rPr>
                <w:color w:val="333333"/>
                <w:sz w:val="19"/>
              </w:rPr>
              <w:t>Fix qoq_momentum: replace with normalized ratio clipped [-3,3]</w:t>
            </w:r>
          </w:p>
        </w:tc>
        <w:tc>
          <w:tcPr>
            <w:tcW w:type="dxa" w:w="2160"/>
          </w:tcPr>
          <w:p>
            <w:r>
              <w:rPr>
                <w:color w:val="333333"/>
                <w:sz w:val="19"/>
              </w:rPr>
              <w:t>-0.5 to -2 pp</w:t>
            </w:r>
          </w:p>
        </w:tc>
        <w:tc>
          <w:tcPr>
            <w:tcW w:type="dxa" w:w="1296"/>
          </w:tcPr>
          <w:p>
            <w:r>
              <w:rPr>
                <w:color w:val="333333"/>
                <w:sz w:val="19"/>
              </w:rPr>
              <w:t>0.5 days</w:t>
            </w:r>
          </w:p>
        </w:tc>
      </w:tr>
      <w:tr>
        <w:tc>
          <w:tcPr>
            <w:tcW w:type="dxa" w:w="576"/>
          </w:tcPr>
          <w:p>
            <w:r>
              <w:rPr>
                <w:color w:val="333333"/>
                <w:sz w:val="19"/>
              </w:rPr>
              <w:t>5</w:t>
            </w:r>
          </w:p>
        </w:tc>
        <w:tc>
          <w:tcPr>
            <w:tcW w:type="dxa" w:w="5040"/>
          </w:tcPr>
          <w:p>
            <w:r>
              <w:rPr>
                <w:color w:val="333333"/>
                <w:sz w:val="19"/>
              </w:rPr>
              <w:t>Add LGB quantile crossing guard (p10&lt;=p50&lt;=p90)</w:t>
            </w:r>
          </w:p>
        </w:tc>
        <w:tc>
          <w:tcPr>
            <w:tcW w:type="dxa" w:w="2160"/>
          </w:tcPr>
          <w:p>
            <w:r>
              <w:rPr>
                <w:color w:val="333333"/>
                <w:sz w:val="19"/>
              </w:rPr>
              <w:t>Correctness</w:t>
            </w:r>
          </w:p>
        </w:tc>
        <w:tc>
          <w:tcPr>
            <w:tcW w:type="dxa" w:w="1296"/>
          </w:tcPr>
          <w:p>
            <w:r>
              <w:rPr>
                <w:color w:val="333333"/>
                <w:sz w:val="19"/>
              </w:rPr>
              <w:t>0.5 days</w:t>
            </w:r>
          </w:p>
        </w:tc>
      </w:tr>
      <w:tr>
        <w:tc>
          <w:tcPr>
            <w:tcW w:type="dxa" w:w="576"/>
          </w:tcPr>
          <w:p>
            <w:r>
              <w:rPr>
                <w:color w:val="333333"/>
                <w:sz w:val="19"/>
              </w:rPr>
              <w:t>6</w:t>
            </w:r>
          </w:p>
        </w:tc>
        <w:tc>
          <w:tcPr>
            <w:tcW w:type="dxa" w:w="5040"/>
          </w:tcPr>
          <w:p>
            <w:r>
              <w:rPr>
                <w:color w:val="333333"/>
                <w:sz w:val="19"/>
              </w:rPr>
              <w:t>Replace fixed P10/P90 multipliers with calibrated ensemble intervals</w:t>
            </w:r>
          </w:p>
        </w:tc>
        <w:tc>
          <w:tcPr>
            <w:tcW w:type="dxa" w:w="2160"/>
          </w:tcPr>
          <w:p>
            <w:r>
              <w:rPr>
                <w:color w:val="333333"/>
                <w:sz w:val="19"/>
              </w:rPr>
              <w:t>Calibrated CIs</w:t>
            </w:r>
          </w:p>
        </w:tc>
        <w:tc>
          <w:tcPr>
            <w:tcW w:type="dxa" w:w="1296"/>
          </w:tcPr>
          <w:p>
            <w:r>
              <w:rPr>
                <w:color w:val="333333"/>
                <w:sz w:val="19"/>
              </w:rPr>
              <w:t>1 day</w:t>
            </w:r>
          </w:p>
        </w:tc>
      </w:tr>
      <w:tr>
        <w:tc>
          <w:tcPr>
            <w:tcW w:type="dxa" w:w="576"/>
          </w:tcPr>
          <w:p>
            <w:r>
              <w:rPr>
                <w:color w:val="333333"/>
                <w:sz w:val="19"/>
              </w:rPr>
              <w:t>7</w:t>
            </w:r>
          </w:p>
        </w:tc>
        <w:tc>
          <w:tcPr>
            <w:tcW w:type="dxa" w:w="5040"/>
          </w:tcPr>
          <w:p>
            <w:r>
              <w:rPr>
                <w:color w:val="333333"/>
                <w:sz w:val="19"/>
              </w:rPr>
              <w:t>Replace 1/WAPE ensemble with GR covariance-optimal weights</w:t>
            </w:r>
          </w:p>
        </w:tc>
        <w:tc>
          <w:tcPr>
            <w:tcW w:type="dxa" w:w="2160"/>
          </w:tcPr>
          <w:p>
            <w:r>
              <w:rPr>
                <w:color w:val="333333"/>
                <w:sz w:val="19"/>
              </w:rPr>
              <w:t>-1 to -3 pp</w:t>
            </w:r>
          </w:p>
        </w:tc>
        <w:tc>
          <w:tcPr>
            <w:tcW w:type="dxa" w:w="1296"/>
          </w:tcPr>
          <w:p>
            <w:r>
              <w:rPr>
                <w:color w:val="333333"/>
                <w:sz w:val="19"/>
              </w:rPr>
              <w:t>2 days</w:t>
            </w:r>
          </w:p>
        </w:tc>
      </w:tr>
      <w:tr>
        <w:tc>
          <w:tcPr>
            <w:tcW w:type="dxa" w:w="576"/>
          </w:tcPr>
          <w:p>
            <w:r>
              <w:rPr>
                <w:color w:val="333333"/>
                <w:sz w:val="19"/>
              </w:rPr>
              <w:t>8</w:t>
            </w:r>
          </w:p>
        </w:tc>
        <w:tc>
          <w:tcPr>
            <w:tcW w:type="dxa" w:w="5040"/>
          </w:tcPr>
          <w:p>
            <w:r>
              <w:rPr>
                <w:color w:val="333333"/>
                <w:sz w:val="19"/>
              </w:rPr>
              <w:t>Refactor DHR-ARIMA to per-market + calendar-based Fourier</w:t>
            </w:r>
          </w:p>
        </w:tc>
        <w:tc>
          <w:tcPr>
            <w:tcW w:type="dxa" w:w="2160"/>
          </w:tcPr>
          <w:p>
            <w:r>
              <w:rPr>
                <w:color w:val="333333"/>
                <w:sz w:val="19"/>
              </w:rPr>
              <w:t>-1 to -3 pp</w:t>
            </w:r>
          </w:p>
        </w:tc>
        <w:tc>
          <w:tcPr>
            <w:tcW w:type="dxa" w:w="1296"/>
          </w:tcPr>
          <w:p>
            <w:r>
              <w:rPr>
                <w:color w:val="333333"/>
                <w:sz w:val="19"/>
              </w:rPr>
              <w:t>2 days</w:t>
            </w:r>
          </w:p>
        </w:tc>
      </w:tr>
      <w:tr>
        <w:tc>
          <w:tcPr>
            <w:tcW w:type="dxa" w:w="576"/>
          </w:tcPr>
          <w:p>
            <w:r>
              <w:rPr>
                <w:color w:val="333333"/>
                <w:sz w:val="19"/>
              </w:rPr>
              <w:t>9</w:t>
            </w:r>
          </w:p>
        </w:tc>
        <w:tc>
          <w:tcPr>
            <w:tcW w:type="dxa" w:w="5040"/>
          </w:tcPr>
          <w:p>
            <w:r>
              <w:rPr>
                <w:color w:val="333333"/>
                <w:sz w:val="19"/>
              </w:rPr>
              <w:t>Add win_rate_woq feature + created_lag8/lag13 for longer ITSG deal cycles</w:t>
            </w:r>
          </w:p>
        </w:tc>
        <w:tc>
          <w:tcPr>
            <w:tcW w:type="dxa" w:w="2160"/>
          </w:tcPr>
          <w:p>
            <w:r>
              <w:rPr>
                <w:color w:val="333333"/>
                <w:sz w:val="19"/>
              </w:rPr>
              <w:t>-0.5 to -2 pp</w:t>
            </w:r>
          </w:p>
        </w:tc>
        <w:tc>
          <w:tcPr>
            <w:tcW w:type="dxa" w:w="1296"/>
          </w:tcPr>
          <w:p>
            <w:r>
              <w:rPr>
                <w:color w:val="333333"/>
                <w:sz w:val="19"/>
              </w:rPr>
              <w:t>1 day</w:t>
            </w:r>
          </w:p>
        </w:tc>
      </w:tr>
      <w:tr>
        <w:tc>
          <w:tcPr>
            <w:tcW w:type="dxa" w:w="576"/>
          </w:tcPr>
          <w:p>
            <w:r>
              <w:rPr>
                <w:color w:val="333333"/>
                <w:sz w:val="19"/>
              </w:rPr>
              <w:t>10</w:t>
            </w:r>
          </w:p>
        </w:tc>
        <w:tc>
          <w:tcPr>
            <w:tcW w:type="dxa" w:w="5040"/>
          </w:tcPr>
          <w:p>
            <w:r>
              <w:rPr>
                <w:color w:val="333333"/>
                <w:sz w:val="19"/>
              </w:rPr>
              <w:t>Add MLflow tracking + early stopping to LGB</w:t>
            </w:r>
          </w:p>
        </w:tc>
        <w:tc>
          <w:tcPr>
            <w:tcW w:type="dxa" w:w="2160"/>
          </w:tcPr>
          <w:p>
            <w:r>
              <w:rPr>
                <w:color w:val="333333"/>
                <w:sz w:val="19"/>
              </w:rPr>
              <w:t>Reproducibility + overfitting</w:t>
            </w:r>
          </w:p>
        </w:tc>
        <w:tc>
          <w:tcPr>
            <w:tcW w:type="dxa" w:w="1296"/>
          </w:tcPr>
          <w:p>
            <w:r>
              <w:rPr>
                <w:color w:val="333333"/>
                <w:sz w:val="19"/>
              </w:rPr>
              <w:t>1 day</w:t>
            </w:r>
          </w:p>
        </w:tc>
      </w:tr>
    </w:tbl>
    <w:p/>
    <w:p>
      <w:pPr>
        <w:pStyle w:val="Heading2"/>
      </w:pPr>
      <w:r>
        <w:rPr>
          <w:b/>
          <w:color w:val="0047AB"/>
        </w:rPr>
        <w:t>Recommended 2-Week Sprint to Match UCC Quality</w:t>
      </w:r>
    </w:p>
    <w:p>
      <w:pPr>
        <w:pStyle w:val="ListBullet"/>
        <w:ind w:left="504"/>
      </w:pPr>
      <w:r>
        <w:rPr>
          <w:color w:val="333333"/>
          <w:sz w:val="20"/>
        </w:rPr>
        <w:t>Days 1-2: Fix P0 bugs — ETS seasonal type, Prophet WoQ profile, yoy_growth clip, qoq_momentum ratio, crossing guard. These are code changes &lt; 10 lines each.</w:t>
      </w:r>
    </w:p>
    <w:p>
      <w:pPr>
        <w:pStyle w:val="ListBullet"/>
        <w:ind w:left="504"/>
      </w:pPr>
      <w:r>
        <w:rPr>
          <w:color w:val="333333"/>
          <w:sz w:val="20"/>
        </w:rPr>
        <w:t>Days 3-4: Replace fixed P10/P90 with ensemble_interval_calibration(). Add MLflow tracking. Fix DHR Fourier to calendar-based.</w:t>
      </w:r>
    </w:p>
    <w:p>
      <w:pPr>
        <w:pStyle w:val="ListBullet"/>
        <w:ind w:left="504"/>
      </w:pPr>
      <w:r>
        <w:rPr>
          <w:color w:val="333333"/>
          <w:sz w:val="20"/>
        </w:rPr>
        <w:t>Days 5-6: Implement GR ensemble + coherent market allocation from UCC V5.</w:t>
      </w:r>
    </w:p>
    <w:p>
      <w:pPr>
        <w:pStyle w:val="ListBullet"/>
        <w:ind w:left="504"/>
      </w:pPr>
      <w:r>
        <w:rPr>
          <w:color w:val="333333"/>
          <w:sz w:val="20"/>
        </w:rPr>
        <w:t>Days 7-8: Add outlier pre-processing for lumpy ITSG series. Add win_rate_woq feature.</w:t>
      </w:r>
    </w:p>
    <w:p>
      <w:pPr>
        <w:pStyle w:val="ListBullet"/>
        <w:ind w:left="504"/>
      </w:pPr>
      <w:r>
        <w:rPr>
          <w:color w:val="333333"/>
          <w:sz w:val="20"/>
        </w:rPr>
        <w:t>Days 9-10: Refactor DHR to per-market. Add Databricks Job for automated scheduling.</w:t>
      </w:r>
    </w:p>
    <w:p>
      <w:pPr>
        <w:pStyle w:val="ListBullet"/>
        <w:ind w:left="504"/>
      </w:pPr>
      <w:r>
        <w:rPr>
          <w:color w:val="333333"/>
          <w:sz w:val="20"/>
        </w:rPr>
        <w:t>After sprint: ITSG should reach ~85/100 maturity score, matching UCC V6 quality.</w:t>
      </w:r>
    </w:p>
    <w:p>
      <w:pPr>
        <w:pStyle w:val="Heading2"/>
      </w:pPr>
      <w:r>
        <w:rPr>
          <w:b/>
          <w:color w:val="0047AB"/>
        </w:rPr>
        <w:t>Production Readiness Gate</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0047AB"/>
          </w:tcPr>
          <w:p>
            <w:r>
              <w:rPr>
                <w:b/>
                <w:color w:val="FFFFFF"/>
                <w:sz w:val="20"/>
              </w:rPr>
              <w:t>Gate</w:t>
            </w:r>
          </w:p>
        </w:tc>
        <w:tc>
          <w:tcPr>
            <w:tcW w:type="dxa" w:w="1152"/>
            <w:shd w:val="clear" w:color="auto" w:fill="0047AB"/>
          </w:tcPr>
          <w:p>
            <w:r>
              <w:rPr>
                <w:b/>
                <w:color w:val="FFFFFF"/>
                <w:sz w:val="20"/>
              </w:rPr>
              <w:t>Status</w:t>
            </w:r>
          </w:p>
        </w:tc>
        <w:tc>
          <w:tcPr>
            <w:tcW w:type="dxa" w:w="4608"/>
            <w:shd w:val="clear" w:color="auto" w:fill="0047AB"/>
          </w:tcPr>
          <w:p>
            <w:r>
              <w:rPr>
                <w:b/>
                <w:color w:val="FFFFFF"/>
                <w:sz w:val="20"/>
              </w:rPr>
              <w:t>Note</w:t>
            </w:r>
          </w:p>
        </w:tc>
      </w:tr>
      <w:tr>
        <w:tc>
          <w:tcPr>
            <w:tcW w:type="dxa" w:w="4032"/>
          </w:tcPr>
          <w:p>
            <w:r>
              <w:rPr>
                <w:color w:val="333333"/>
                <w:sz w:val="19"/>
              </w:rPr>
              <w:t>Delta table write (dual)</w:t>
            </w:r>
          </w:p>
        </w:tc>
        <w:tc>
          <w:tcPr>
            <w:tcW w:type="dxa" w:w="1152"/>
          </w:tcPr>
          <w:p>
            <w:r>
              <w:rPr>
                <w:color w:val="333333"/>
                <w:sz w:val="19"/>
              </w:rPr>
              <w:t>PASS</w:t>
            </w:r>
          </w:p>
        </w:tc>
        <w:tc>
          <w:tcPr>
            <w:tcW w:type="dxa" w:w="4608"/>
          </w:tcPr>
          <w:p>
            <w:r>
              <w:rPr>
                <w:color w:val="333333"/>
                <w:sz w:val="19"/>
              </w:rPr>
              <w:t>itsg_forecast_v5 + v4 written</w:t>
            </w:r>
          </w:p>
        </w:tc>
      </w:tr>
      <w:tr>
        <w:tc>
          <w:tcPr>
            <w:tcW w:type="dxa" w:w="4032"/>
          </w:tcPr>
          <w:p>
            <w:r>
              <w:rPr>
                <w:color w:val="333333"/>
                <w:sz w:val="19"/>
              </w:rPr>
              <w:t>Monitoring baseline persisted</w:t>
            </w:r>
          </w:p>
        </w:tc>
        <w:tc>
          <w:tcPr>
            <w:tcW w:type="dxa" w:w="1152"/>
          </w:tcPr>
          <w:p>
            <w:r>
              <w:rPr>
                <w:color w:val="333333"/>
                <w:sz w:val="19"/>
              </w:rPr>
              <w:t>PASS</w:t>
            </w:r>
          </w:p>
        </w:tc>
        <w:tc>
          <w:tcPr>
            <w:tcW w:type="dxa" w:w="4608"/>
          </w:tcPr>
          <w:p>
            <w:r>
              <w:rPr>
                <w:color w:val="333333"/>
                <w:sz w:val="19"/>
              </w:rPr>
              <w:t>itsg_forecast_monitoring_baseline written (AHEAD of UCC)</w:t>
            </w:r>
          </w:p>
        </w:tc>
      </w:tr>
      <w:tr>
        <w:tc>
          <w:tcPr>
            <w:tcW w:type="dxa" w:w="4032"/>
          </w:tcPr>
          <w:p>
            <w:r>
              <w:rPr>
                <w:color w:val="333333"/>
                <w:sz w:val="19"/>
              </w:rPr>
              <w:t>Authoritative actuals source</w:t>
            </w:r>
          </w:p>
        </w:tc>
        <w:tc>
          <w:tcPr>
            <w:tcW w:type="dxa" w:w="1152"/>
          </w:tcPr>
          <w:p>
            <w:r>
              <w:rPr>
                <w:color w:val="333333"/>
                <w:sz w:val="19"/>
              </w:rPr>
              <w:t>PASS</w:t>
            </w:r>
          </w:p>
        </w:tc>
        <w:tc>
          <w:tcPr>
            <w:tcW w:type="dxa" w:w="4608"/>
          </w:tcPr>
          <w:p>
            <w:r>
              <w:rPr>
                <w:color w:val="333333"/>
                <w:sz w:val="19"/>
              </w:rPr>
              <w:t>RSG-IT from datagroup.uc_forecast.actuals</w:t>
            </w:r>
          </w:p>
        </w:tc>
      </w:tr>
      <w:tr>
        <w:tc>
          <w:tcPr>
            <w:tcW w:type="dxa" w:w="4032"/>
          </w:tcPr>
          <w:p>
            <w:r>
              <w:rPr>
                <w:color w:val="333333"/>
                <w:sz w:val="19"/>
              </w:rPr>
              <w:t>Correct ETS seasonal type</w:t>
            </w:r>
          </w:p>
        </w:tc>
        <w:tc>
          <w:tcPr>
            <w:tcW w:type="dxa" w:w="1152"/>
          </w:tcPr>
          <w:p>
            <w:r>
              <w:rPr>
                <w:color w:val="333333"/>
                <w:sz w:val="19"/>
              </w:rPr>
              <w:t>FAIL</w:t>
            </w:r>
          </w:p>
        </w:tc>
        <w:tc>
          <w:tcPr>
            <w:tcW w:type="dxa" w:w="4608"/>
          </w:tcPr>
          <w:p>
            <w:r>
              <w:rPr>
                <w:color w:val="333333"/>
                <w:sz w:val="19"/>
              </w:rPr>
              <w:t>Additive instead of multiplicative — degrades Q4</w:t>
            </w:r>
          </w:p>
        </w:tc>
      </w:tr>
      <w:tr>
        <w:tc>
          <w:tcPr>
            <w:tcW w:type="dxa" w:w="4032"/>
          </w:tcPr>
          <w:p>
            <w:r>
              <w:rPr>
                <w:color w:val="333333"/>
                <w:sz w:val="19"/>
              </w:rPr>
              <w:t>Prophet WoQ empirical profile</w:t>
            </w:r>
          </w:p>
        </w:tc>
        <w:tc>
          <w:tcPr>
            <w:tcW w:type="dxa" w:w="1152"/>
          </w:tcPr>
          <w:p>
            <w:r>
              <w:rPr>
                <w:color w:val="333333"/>
                <w:sz w:val="19"/>
              </w:rPr>
              <w:t>FAIL</w:t>
            </w:r>
          </w:p>
        </w:tc>
        <w:tc>
          <w:tcPr>
            <w:tcW w:type="dxa" w:w="4608"/>
          </w:tcPr>
          <w:p>
            <w:r>
              <w:rPr>
                <w:color w:val="333333"/>
                <w:sz w:val="19"/>
              </w:rPr>
              <w:t>Raw yearly seasonality — artifact risk</w:t>
            </w:r>
          </w:p>
        </w:tc>
      </w:tr>
      <w:tr>
        <w:tc>
          <w:tcPr>
            <w:tcW w:type="dxa" w:w="4032"/>
          </w:tcPr>
          <w:p>
            <w:r>
              <w:rPr>
                <w:color w:val="333333"/>
                <w:sz w:val="19"/>
              </w:rPr>
              <w:t>yoy_growth Inf guard</w:t>
            </w:r>
          </w:p>
        </w:tc>
        <w:tc>
          <w:tcPr>
            <w:tcW w:type="dxa" w:w="1152"/>
          </w:tcPr>
          <w:p>
            <w:r>
              <w:rPr>
                <w:color w:val="333333"/>
                <w:sz w:val="19"/>
              </w:rPr>
              <w:t>FAIL</w:t>
            </w:r>
          </w:p>
        </w:tc>
        <w:tc>
          <w:tcPr>
            <w:tcW w:type="dxa" w:w="4608"/>
          </w:tcPr>
          <w:p>
            <w:r>
              <w:rPr>
                <w:color w:val="333333"/>
                <w:sz w:val="19"/>
              </w:rPr>
              <w:t>Corrupts LGB training on 2023 rows</w:t>
            </w:r>
          </w:p>
        </w:tc>
      </w:tr>
      <w:tr>
        <w:tc>
          <w:tcPr>
            <w:tcW w:type="dxa" w:w="4032"/>
          </w:tcPr>
          <w:p>
            <w:r>
              <w:rPr>
                <w:color w:val="333333"/>
                <w:sz w:val="19"/>
              </w:rPr>
              <w:t>qoq_momentum normalized</w:t>
            </w:r>
          </w:p>
        </w:tc>
        <w:tc>
          <w:tcPr>
            <w:tcW w:type="dxa" w:w="1152"/>
          </w:tcPr>
          <w:p>
            <w:r>
              <w:rPr>
                <w:color w:val="333333"/>
                <w:sz w:val="19"/>
              </w:rPr>
              <w:t>FAIL</w:t>
            </w:r>
          </w:p>
        </w:tc>
        <w:tc>
          <w:tcPr>
            <w:tcW w:type="dxa" w:w="4608"/>
          </w:tcPr>
          <w:p>
            <w:r>
              <w:rPr>
                <w:color w:val="333333"/>
                <w:sz w:val="19"/>
              </w:rPr>
              <w:t>Dollar diff — scale-dependent across markets</w:t>
            </w:r>
          </w:p>
        </w:tc>
      </w:tr>
      <w:tr>
        <w:tc>
          <w:tcPr>
            <w:tcW w:type="dxa" w:w="4032"/>
          </w:tcPr>
          <w:p>
            <w:r>
              <w:rPr>
                <w:color w:val="333333"/>
                <w:sz w:val="19"/>
              </w:rPr>
              <w:t>LGB quantile crossing guard</w:t>
            </w:r>
          </w:p>
        </w:tc>
        <w:tc>
          <w:tcPr>
            <w:tcW w:type="dxa" w:w="1152"/>
          </w:tcPr>
          <w:p>
            <w:r>
              <w:rPr>
                <w:color w:val="333333"/>
                <w:sz w:val="19"/>
              </w:rPr>
              <w:t>FAIL</w:t>
            </w:r>
          </w:p>
        </w:tc>
        <w:tc>
          <w:tcPr>
            <w:tcW w:type="dxa" w:w="4608"/>
          </w:tcPr>
          <w:p>
            <w:r>
              <w:rPr>
                <w:color w:val="333333"/>
                <w:sz w:val="19"/>
              </w:rPr>
              <w:t>P10/P90 can cross P50</w:t>
            </w:r>
          </w:p>
        </w:tc>
      </w:tr>
      <w:tr>
        <w:tc>
          <w:tcPr>
            <w:tcW w:type="dxa" w:w="4032"/>
          </w:tcPr>
          <w:p>
            <w:r>
              <w:rPr>
                <w:color w:val="333333"/>
                <w:sz w:val="19"/>
              </w:rPr>
              <w:t>Calibrated uncertainty intervals</w:t>
            </w:r>
          </w:p>
        </w:tc>
        <w:tc>
          <w:tcPr>
            <w:tcW w:type="dxa" w:w="1152"/>
          </w:tcPr>
          <w:p>
            <w:r>
              <w:rPr>
                <w:color w:val="333333"/>
                <w:sz w:val="19"/>
              </w:rPr>
              <w:t>FAIL</w:t>
            </w:r>
          </w:p>
        </w:tc>
        <w:tc>
          <w:tcPr>
            <w:tcW w:type="dxa" w:w="4608"/>
          </w:tcPr>
          <w:p>
            <w:r>
              <w:rPr>
                <w:color w:val="333333"/>
                <w:sz w:val="19"/>
              </w:rPr>
              <w:t>Fixed multipliers are not probabilistic</w:t>
            </w:r>
          </w:p>
        </w:tc>
      </w:tr>
      <w:tr>
        <w:tc>
          <w:tcPr>
            <w:tcW w:type="dxa" w:w="4032"/>
          </w:tcPr>
          <w:p>
            <w:r>
              <w:rPr>
                <w:color w:val="333333"/>
                <w:sz w:val="19"/>
              </w:rPr>
              <w:t>MLflow experiment tracking</w:t>
            </w:r>
          </w:p>
        </w:tc>
        <w:tc>
          <w:tcPr>
            <w:tcW w:type="dxa" w:w="1152"/>
          </w:tcPr>
          <w:p>
            <w:r>
              <w:rPr>
                <w:color w:val="333333"/>
                <w:sz w:val="19"/>
              </w:rPr>
              <w:t>FAIL</w:t>
            </w:r>
          </w:p>
        </w:tc>
        <w:tc>
          <w:tcPr>
            <w:tcW w:type="dxa" w:w="4608"/>
          </w:tcPr>
          <w:p>
            <w:r>
              <w:rPr>
                <w:color w:val="333333"/>
                <w:sz w:val="19"/>
              </w:rPr>
              <w:t>No tracking in any cell</w:t>
            </w:r>
          </w:p>
        </w:tc>
      </w:tr>
      <w:tr>
        <w:tc>
          <w:tcPr>
            <w:tcW w:type="dxa" w:w="4032"/>
          </w:tcPr>
          <w:p>
            <w:r>
              <w:rPr>
                <w:color w:val="333333"/>
                <w:sz w:val="19"/>
              </w:rPr>
              <w:t>DHR Fourier phase alignment</w:t>
            </w:r>
          </w:p>
        </w:tc>
        <w:tc>
          <w:tcPr>
            <w:tcW w:type="dxa" w:w="1152"/>
          </w:tcPr>
          <w:p>
            <w:r>
              <w:rPr>
                <w:color w:val="333333"/>
                <w:sz w:val="19"/>
              </w:rPr>
              <w:t>FAIL</w:t>
            </w:r>
          </w:p>
        </w:tc>
        <w:tc>
          <w:tcPr>
            <w:tcW w:type="dxa" w:w="4608"/>
          </w:tcPr>
          <w:p>
            <w:r>
              <w:rPr>
                <w:color w:val="333333"/>
                <w:sz w:val="19"/>
              </w:rPr>
              <w:t>Positional index causes CV phase shift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