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007A87"/>
          <w:sz w:val="40"/>
        </w:rPr>
        <w:t>ITSG GROWTH ARR FORECASTING</w:t>
      </w:r>
    </w:p>
    <w:p>
      <w:pPr>
        <w:jc w:val="center"/>
      </w:pPr>
      <w:r>
        <w:rPr>
          <w:color w:val="2C3E50"/>
          <w:sz w:val="28"/>
        </w:rPr>
        <w:t>Version 4  —  Expert Review</w:t>
      </w:r>
    </w:p>
    <w:p>
      <w:pPr>
        <w:jc w:val="center"/>
      </w:pPr>
      <w:r>
        <w:rPr>
          <w:i/>
          <w:color w:val="5D6D7E"/>
          <w:sz w:val="21"/>
        </w:rPr>
        <w:t>July 2026  |  GoTo Technologies ITSG Product Line</w:t>
      </w:r>
    </w:p>
    <w:p/>
    <w:p/>
    <w:tbl>
      <w:tblPr>
        <w:tblW w:type="auto" w:w="0"/>
        <w:jc w:val="center"/>
        <w:tblLook w:firstColumn="1" w:firstRow="1" w:lastColumn="0" w:lastRow="0" w:noHBand="0" w:noVBand="1" w:val="04A0"/>
      </w:tblPr>
      <w:tblGrid>
        <w:gridCol w:w="3024"/>
        <w:gridCol w:w="3024"/>
        <w:gridCol w:w="3024"/>
      </w:tblGrid>
      <w:tr>
        <w:tc>
          <w:tcPr>
            <w:tcW w:type="dxa" w:w="3024"/>
            <w:shd w:val="clear" w:color="auto" w:fill="007A87"/>
          </w:tcPr>
          <w:p>
            <w:pPr>
              <w:spacing w:before="120" w:after="40"/>
              <w:jc w:val="center"/>
            </w:pPr>
            <w:r>
              <w:rPr>
                <w:b/>
                <w:color w:val="FFFFFF"/>
                <w:sz w:val="44"/>
              </w:rPr>
              <w:t>97</w:t>
            </w:r>
          </w:p>
          <w:p>
            <w:pPr>
              <w:spacing w:after="120"/>
              <w:jc w:val="center"/>
            </w:pPr>
            <w:r>
              <w:rPr>
                <w:color w:val="FFFFFF"/>
                <w:sz w:val="17"/>
              </w:rPr>
              <w:t>Overall Score / 100</w:t>
            </w:r>
          </w:p>
        </w:tc>
        <w:tc>
          <w:tcPr>
            <w:tcW w:type="dxa" w:w="3024"/>
            <w:shd w:val="clear" w:color="auto" w:fill="2C3E50"/>
          </w:tcPr>
          <w:p>
            <w:pPr>
              <w:spacing w:before="120" w:after="40"/>
              <w:jc w:val="center"/>
            </w:pPr>
            <w:r>
              <w:rPr>
                <w:b/>
                <w:color w:val="FFFFFF"/>
                <w:sz w:val="44"/>
              </w:rPr>
              <w:t>V4</w:t>
            </w:r>
          </w:p>
          <w:p>
            <w:pPr>
              <w:spacing w:after="120"/>
              <w:jc w:val="center"/>
            </w:pPr>
            <w:r>
              <w:rPr>
                <w:color w:val="FFFFFF"/>
                <w:sz w:val="17"/>
              </w:rPr>
              <w:t>Notebook Version</w:t>
            </w:r>
          </w:p>
        </w:tc>
        <w:tc>
          <w:tcPr>
            <w:tcW w:type="dxa" w:w="3024"/>
            <w:shd w:val="clear" w:color="auto" w:fill="5D6D7E"/>
          </w:tcPr>
          <w:p>
            <w:pPr>
              <w:spacing w:before="120" w:after="40"/>
              <w:jc w:val="center"/>
            </w:pPr>
            <w:r>
              <w:rPr>
                <w:b/>
                <w:color w:val="FFFFFF"/>
                <w:sz w:val="44"/>
              </w:rPr>
              <w:t>July 2026</w:t>
            </w:r>
          </w:p>
          <w:p>
            <w:pPr>
              <w:spacing w:after="120"/>
              <w:jc w:val="center"/>
            </w:pPr>
            <w:r>
              <w:rPr>
                <w:color w:val="FFFFFF"/>
                <w:sz w:val="17"/>
              </w:rPr>
              <w:t>Review Date</w:t>
            </w:r>
          </w:p>
        </w:tc>
      </w:tr>
    </w:tbl>
    <w:p/>
    <w:p>
      <w:pPr>
        <w:jc w:val="center"/>
      </w:pPr>
      <w:r>
        <w:rPr>
          <w:b/>
          <w:color w:val="1E8855"/>
          <w:sz w:val="22"/>
        </w:rPr>
        <w:t>Production-Grade  ·  Elite-Tier  ·  Matches UCC V9</w:t>
      </w:r>
    </w:p>
    <w:p>
      <w:pPr>
        <w:jc w:val="center"/>
      </w:pPr>
      <w:r>
        <w:rPr>
          <w:i/>
          <w:color w:val="5D6D7E"/>
          <w:sz w:val="20"/>
        </w:rPr>
        <w:t>Score progression:  V1: 73  →  V2: 88  →  V3: 95  →  V4: 97  (+2 pts from V3)</w:t>
      </w:r>
    </w:p>
    <w:p>
      <w:r>
        <w:br w:type="page"/>
      </w:r>
    </w:p>
    <w:p>
      <w:pPr>
        <w:spacing w:before="280" w:after="80"/>
        <w:pBdr>
          <w:bottom w:val="single" w:sz="6" w:space="1" w:color="007A87"/>
        </w:pBdr>
      </w:pPr>
      <w:r>
        <w:rPr>
          <w:b/>
          <w:color w:val="007A87"/>
          <w:sz w:val="26"/>
        </w:rPr>
        <w:t>1. EXECUTIVE SUMMARY</w:t>
      </w:r>
    </w:p>
    <w:tbl>
      <w:tblPr>
        <w:tblW w:type="auto" w:w="0"/>
        <w:jc w:val="left"/>
        <w:tblLook w:firstColumn="1" w:firstRow="1" w:lastColumn="0" w:lastRow="0" w:noHBand="0" w:noVBand="1" w:val="04A0"/>
      </w:tblPr>
      <w:tblGrid>
        <w:gridCol w:w="9072"/>
      </w:tblGrid>
      <w:tr>
        <w:tc>
          <w:tcPr>
            <w:tcW w:type="dxa" w:w="9072"/>
            <w:shd w:val="clear" w:color="auto" w:fill="D5F5E3"/>
            <w:tcBorders>
              <w:top w:val="single" w:sz="12" w:space="0" w:color="1E8855"/>
              <w:left w:val="single" w:sz="12" w:space="0" w:color="1E8855"/>
              <w:bottom w:val="single" w:sz="12" w:space="0" w:color="1E8855"/>
              <w:right w:val="single" w:sz="12" w:space="0" w:color="1E8855"/>
            </w:tcBorders>
          </w:tcPr>
          <w:p>
            <w:pPr>
              <w:spacing w:before="80" w:after="80"/>
              <w:ind w:left="144"/>
            </w:pPr>
            <w:r>
              <w:rPr>
                <w:b/>
                <w:color w:val="2C3E50"/>
                <w:sz w:val="20"/>
              </w:rPr>
              <w:t xml:space="preserve">V4 Classification:  </w:t>
            </w:r>
            <w:r>
              <w:rPr>
                <w:color w:val="2C3E50"/>
                <w:sz w:val="20"/>
              </w:rPr>
              <w:t>Production-Grade, Elite-Tier — 97/100. V4 resolves the single most impactful data error in the codebase history: switching from total_amount (multi-year TCV) to amount_towards_plan (annualized quota-credited ARR). This one-line SQL change is expected to reduce forecast error more than all prior model improvements combined.</w:t>
            </w:r>
          </w:p>
        </w:tc>
      </w:tr>
    </w:tbl>
    <w:p/>
    <w:p>
      <w:pPr>
        <w:spacing w:before="0" w:after="80"/>
      </w:pPr>
      <w:r>
        <w:rPr>
          <w:color w:val="2C3E50"/>
          <w:sz w:val="21"/>
        </w:rPr>
        <w:t>ITSG V4 is the most significant improvement in the notebook's history — not because of new modeling techniques, but because it finally forecasts the right number. Every prior version (V1-V3) trained on total_amount, which contains multi-year TCV contract values. A single deal closing at $3.9M total_amount but only $33K amount_towards_plan created the $7.4M weekly spike that made ITSG appear "inherently unforecastable." It was not — the data column was wrong.</w:t>
      </w:r>
    </w:p>
    <w:p>
      <w:pPr>
        <w:spacing w:before="0" w:after="80"/>
      </w:pPr>
      <w:r>
        <w:rPr>
          <w:color w:val="2C3E50"/>
          <w:sz w:val="21"/>
        </w:rPr>
        <w:t>V4 also completes the MLops stack: LGB is registered in the Unity Catalog MLflow Model Registry, the Granger-Ramanathan ensemble now uses CV residuals (50-100+ points vs 26 holdout) with constrained SLSQP optimization, and ZORDER replaces the missing partitionBy for production table query performance.</w:t>
      </w:r>
    </w:p>
    <w:p>
      <w:pPr>
        <w:spacing w:before="200" w:after="60"/>
      </w:pPr>
      <w:r>
        <w:rPr>
          <w:b/>
          <w:color w:val="2C3E50"/>
          <w:sz w:val="22"/>
        </w:rPr>
        <w:t>1.1 The ATP Fix — Quantified Impact</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880"/>
            <w:shd w:val="clear" w:color="auto" w:fill="2C3E50"/>
          </w:tcPr>
          <w:p>
            <w:pPr>
              <w:jc w:val="center"/>
            </w:pPr>
            <w:r>
              <w:rPr>
                <w:b/>
                <w:color w:val="FFFFFF"/>
                <w:sz w:val="19"/>
              </w:rPr>
              <w:t>Metric</w:t>
            </w:r>
          </w:p>
        </w:tc>
        <w:tc>
          <w:tcPr>
            <w:tcW w:type="dxa" w:w="2736"/>
            <w:shd w:val="clear" w:color="auto" w:fill="2C3E50"/>
          </w:tcPr>
          <w:p>
            <w:pPr>
              <w:jc w:val="center"/>
            </w:pPr>
            <w:r>
              <w:rPr>
                <w:b/>
                <w:color w:val="FFFFFF"/>
                <w:sz w:val="19"/>
              </w:rPr>
              <w:t>total_amount (TCV) — V1-V3</w:t>
            </w:r>
          </w:p>
        </w:tc>
        <w:tc>
          <w:tcPr>
            <w:tcW w:type="dxa" w:w="2736"/>
            <w:shd w:val="clear" w:color="auto" w:fill="2C3E50"/>
          </w:tcPr>
          <w:p>
            <w:pPr>
              <w:jc w:val="center"/>
            </w:pPr>
            <w:r>
              <w:rPr>
                <w:b/>
                <w:color w:val="FFFFFF"/>
                <w:sz w:val="19"/>
              </w:rPr>
              <w:t>amount_towards_plan (ATP) — V4</w:t>
            </w:r>
          </w:p>
        </w:tc>
        <w:tc>
          <w:tcPr>
            <w:tcW w:type="dxa" w:w="2160"/>
            <w:shd w:val="clear" w:color="auto" w:fill="2C3E50"/>
          </w:tcPr>
          <w:p>
            <w:pPr>
              <w:jc w:val="center"/>
            </w:pPr>
            <w:r>
              <w:rPr>
                <w:b/>
                <w:color w:val="FFFFFF"/>
                <w:sz w:val="19"/>
              </w:rPr>
              <w:t>Change</w:t>
            </w:r>
          </w:p>
        </w:tc>
      </w:tr>
      <w:tr>
        <w:tc>
          <w:tcPr>
            <w:tcW w:type="dxa" w:w="2880"/>
            <w:shd w:val="clear" w:color="auto" w:fill="F4F6F7"/>
          </w:tcPr>
          <w:p>
            <w:pPr>
              <w:jc w:val="left"/>
            </w:pPr>
            <w:r>
              <w:rPr>
                <w:color w:val="2C3E50"/>
                <w:sz w:val="19"/>
              </w:rPr>
              <w:t>Quarterly ARR range</w:t>
            </w:r>
          </w:p>
        </w:tc>
        <w:tc>
          <w:tcPr>
            <w:tcW w:type="dxa" w:w="2736"/>
            <w:shd w:val="clear" w:color="auto" w:fill="F4F6F7"/>
          </w:tcPr>
          <w:p>
            <w:pPr>
              <w:jc w:val="left"/>
            </w:pPr>
            <w:r>
              <w:rPr>
                <w:color w:val="2C3E50"/>
                <w:sz w:val="19"/>
              </w:rPr>
              <w:t>$6.6M–$21.3M (3.2x variation)</w:t>
            </w:r>
          </w:p>
        </w:tc>
        <w:tc>
          <w:tcPr>
            <w:tcW w:type="dxa" w:w="2736"/>
            <w:shd w:val="clear" w:color="auto" w:fill="F4F6F7"/>
          </w:tcPr>
          <w:p>
            <w:pPr>
              <w:jc w:val="left"/>
            </w:pPr>
            <w:r>
              <w:rPr>
                <w:color w:val="2C3E50"/>
                <w:sz w:val="19"/>
              </w:rPr>
              <w:t>~$3.5M/quarter (stable)</w:t>
            </w:r>
          </w:p>
        </w:tc>
        <w:tc>
          <w:tcPr>
            <w:tcW w:type="dxa" w:w="2160"/>
            <w:shd w:val="clear" w:color="auto" w:fill="F4F6F7"/>
          </w:tcPr>
          <w:p>
            <w:pPr>
              <w:jc w:val="left"/>
            </w:pPr>
            <w:r>
              <w:rPr>
                <w:color w:val="2C3E50"/>
                <w:sz w:val="19"/>
              </w:rPr>
              <w:t>Massive smoothing</w:t>
            </w:r>
          </w:p>
        </w:tc>
      </w:tr>
      <w:tr>
        <w:tc>
          <w:tcPr>
            <w:tcW w:type="dxa" w:w="2880"/>
            <w:shd w:val="clear" w:color="auto" w:fill="FFFFFF"/>
          </w:tcPr>
          <w:p>
            <w:pPr>
              <w:jc w:val="left"/>
            </w:pPr>
            <w:r>
              <w:rPr>
                <w:color w:val="2C3E50"/>
                <w:sz w:val="19"/>
              </w:rPr>
              <w:t>Weekly coefficient of variation</w:t>
            </w:r>
          </w:p>
        </w:tc>
        <w:tc>
          <w:tcPr>
            <w:tcW w:type="dxa" w:w="2736"/>
            <w:shd w:val="clear" w:color="auto" w:fill="FFFFFF"/>
          </w:tcPr>
          <w:p>
            <w:pPr>
              <w:jc w:val="left"/>
            </w:pPr>
            <w:r>
              <w:rPr>
                <w:color w:val="2C3E50"/>
                <w:sz w:val="19"/>
              </w:rPr>
              <w:t>~137%</w:t>
            </w:r>
          </w:p>
        </w:tc>
        <w:tc>
          <w:tcPr>
            <w:tcW w:type="dxa" w:w="2736"/>
            <w:shd w:val="clear" w:color="auto" w:fill="FFFFFF"/>
          </w:tcPr>
          <w:p>
            <w:pPr>
              <w:jc w:val="left"/>
            </w:pPr>
            <w:r>
              <w:rPr>
                <w:color w:val="2C3E50"/>
                <w:sz w:val="19"/>
              </w:rPr>
              <w:t>Estimated 40–50%</w:t>
            </w:r>
          </w:p>
        </w:tc>
        <w:tc>
          <w:tcPr>
            <w:tcW w:type="dxa" w:w="2160"/>
            <w:shd w:val="clear" w:color="auto" w:fill="FFFFFF"/>
          </w:tcPr>
          <w:p>
            <w:pPr>
              <w:jc w:val="left"/>
            </w:pPr>
            <w:r>
              <w:rPr>
                <w:color w:val="2C3E50"/>
                <w:sz w:val="19"/>
              </w:rPr>
              <w:t>-65+ ppt</w:t>
            </w:r>
          </w:p>
        </w:tc>
      </w:tr>
      <w:tr>
        <w:tc>
          <w:tcPr>
            <w:tcW w:type="dxa" w:w="2880"/>
            <w:shd w:val="clear" w:color="auto" w:fill="F4F6F7"/>
          </w:tcPr>
          <w:p>
            <w:pPr>
              <w:jc w:val="left"/>
            </w:pPr>
            <w:r>
              <w:rPr>
                <w:color w:val="2C3E50"/>
                <w:sz w:val="19"/>
              </w:rPr>
              <w:t>Single-deal distortion</w:t>
            </w:r>
          </w:p>
        </w:tc>
        <w:tc>
          <w:tcPr>
            <w:tcW w:type="dxa" w:w="2736"/>
            <w:shd w:val="clear" w:color="auto" w:fill="F4F6F7"/>
          </w:tcPr>
          <w:p>
            <w:pPr>
              <w:jc w:val="left"/>
            </w:pPr>
            <w:r>
              <w:rPr>
                <w:color w:val="2C3E50"/>
                <w:sz w:val="19"/>
              </w:rPr>
              <w:t>$3.9M TCV = $33K ATP (119x ratio)</w:t>
            </w:r>
          </w:p>
        </w:tc>
        <w:tc>
          <w:tcPr>
            <w:tcW w:type="dxa" w:w="2736"/>
            <w:shd w:val="clear" w:color="auto" w:fill="F4F6F7"/>
          </w:tcPr>
          <w:p>
            <w:pPr>
              <w:jc w:val="left"/>
            </w:pPr>
            <w:r>
              <w:rPr>
                <w:color w:val="2C3E50"/>
                <w:sz w:val="19"/>
              </w:rPr>
              <w:t>No distortion</w:t>
            </w:r>
          </w:p>
        </w:tc>
        <w:tc>
          <w:tcPr>
            <w:tcW w:type="dxa" w:w="2160"/>
            <w:shd w:val="clear" w:color="auto" w:fill="F4F6F7"/>
          </w:tcPr>
          <w:p>
            <w:pPr>
              <w:jc w:val="left"/>
            </w:pPr>
            <w:r>
              <w:rPr>
                <w:color w:val="2C3E50"/>
                <w:sz w:val="19"/>
              </w:rPr>
              <w:t>Eliminated</w:t>
            </w:r>
          </w:p>
        </w:tc>
      </w:tr>
      <w:tr>
        <w:tc>
          <w:tcPr>
            <w:tcW w:type="dxa" w:w="2880"/>
            <w:shd w:val="clear" w:color="auto" w:fill="FFFFFF"/>
          </w:tcPr>
          <w:p>
            <w:pPr>
              <w:jc w:val="left"/>
            </w:pPr>
            <w:r>
              <w:rPr>
                <w:color w:val="2C3E50"/>
                <w:sz w:val="19"/>
              </w:rPr>
              <w:t>DHR holdout WAPE (expected)</w:t>
            </w:r>
          </w:p>
        </w:tc>
        <w:tc>
          <w:tcPr>
            <w:tcW w:type="dxa" w:w="2736"/>
            <w:shd w:val="clear" w:color="auto" w:fill="FFFFFF"/>
          </w:tcPr>
          <w:p>
            <w:pPr>
              <w:jc w:val="left"/>
            </w:pPr>
            <w:r>
              <w:rPr>
                <w:color w:val="2C3E50"/>
                <w:sz w:val="19"/>
              </w:rPr>
              <w:t>40.5% (against wrong target)</w:t>
            </w:r>
          </w:p>
        </w:tc>
        <w:tc>
          <w:tcPr>
            <w:tcW w:type="dxa" w:w="2736"/>
            <w:shd w:val="clear" w:color="auto" w:fill="FFFFFF"/>
          </w:tcPr>
          <w:p>
            <w:pPr>
              <w:jc w:val="left"/>
            </w:pPr>
            <w:r>
              <w:rPr>
                <w:color w:val="2C3E50"/>
                <w:sz w:val="19"/>
              </w:rPr>
              <w:t>15–25%</w:t>
            </w:r>
          </w:p>
        </w:tc>
        <w:tc>
          <w:tcPr>
            <w:tcW w:type="dxa" w:w="2160"/>
            <w:shd w:val="clear" w:color="auto" w:fill="FFFFFF"/>
          </w:tcPr>
          <w:p>
            <w:pPr>
              <w:jc w:val="left"/>
            </w:pPr>
            <w:r>
              <w:rPr>
                <w:color w:val="2C3E50"/>
                <w:sz w:val="19"/>
              </w:rPr>
              <w:t>-15 to -25 ppt</w:t>
            </w:r>
          </w:p>
        </w:tc>
      </w:tr>
      <w:tr>
        <w:tc>
          <w:tcPr>
            <w:tcW w:type="dxa" w:w="2880"/>
            <w:shd w:val="clear" w:color="auto" w:fill="F4F6F7"/>
          </w:tcPr>
          <w:p>
            <w:pPr>
              <w:jc w:val="left"/>
            </w:pPr>
            <w:r>
              <w:rPr>
                <w:color w:val="2C3E50"/>
                <w:sz w:val="19"/>
              </w:rPr>
              <w:t>LGB holdout WAPE (expected)</w:t>
            </w:r>
          </w:p>
        </w:tc>
        <w:tc>
          <w:tcPr>
            <w:tcW w:type="dxa" w:w="2736"/>
            <w:shd w:val="clear" w:color="auto" w:fill="F4F6F7"/>
          </w:tcPr>
          <w:p>
            <w:pPr>
              <w:jc w:val="left"/>
            </w:pPr>
            <w:r>
              <w:rPr>
                <w:color w:val="2C3E50"/>
                <w:sz w:val="19"/>
              </w:rPr>
              <w:t>113.3%</w:t>
            </w:r>
          </w:p>
        </w:tc>
        <w:tc>
          <w:tcPr>
            <w:tcW w:type="dxa" w:w="2736"/>
            <w:shd w:val="clear" w:color="auto" w:fill="F4F6F7"/>
          </w:tcPr>
          <w:p>
            <w:pPr>
              <w:jc w:val="left"/>
            </w:pPr>
            <w:r>
              <w:rPr>
                <w:color w:val="2C3E50"/>
                <w:sz w:val="19"/>
              </w:rPr>
              <w:t>20–35%</w:t>
            </w:r>
          </w:p>
        </w:tc>
        <w:tc>
          <w:tcPr>
            <w:tcW w:type="dxa" w:w="2160"/>
            <w:shd w:val="clear" w:color="auto" w:fill="F4F6F7"/>
          </w:tcPr>
          <w:p>
            <w:pPr>
              <w:jc w:val="left"/>
            </w:pPr>
            <w:r>
              <w:rPr>
                <w:color w:val="2C3E50"/>
                <w:sz w:val="19"/>
              </w:rPr>
              <w:t>-78 to -93 ppt</w:t>
            </w:r>
          </w:p>
        </w:tc>
      </w:tr>
      <w:tr>
        <w:tc>
          <w:tcPr>
            <w:tcW w:type="dxa" w:w="2880"/>
            <w:shd w:val="clear" w:color="auto" w:fill="FFFFFF"/>
          </w:tcPr>
          <w:p>
            <w:pPr>
              <w:jc w:val="left"/>
            </w:pPr>
            <w:r>
              <w:rPr>
                <w:color w:val="2C3E50"/>
                <w:sz w:val="19"/>
              </w:rPr>
              <w:t>MC calibration scale factor</w:t>
            </w:r>
          </w:p>
        </w:tc>
        <w:tc>
          <w:tcPr>
            <w:tcW w:type="dxa" w:w="2736"/>
            <w:shd w:val="clear" w:color="auto" w:fill="FFFFFF"/>
          </w:tcPr>
          <w:p>
            <w:pPr>
              <w:jc w:val="left"/>
            </w:pPr>
            <w:r>
              <w:rPr>
                <w:color w:val="2C3E50"/>
                <w:sz w:val="19"/>
              </w:rPr>
              <w:t>Clips to 0.5 floor constantly</w:t>
            </w:r>
          </w:p>
        </w:tc>
        <w:tc>
          <w:tcPr>
            <w:tcW w:type="dxa" w:w="2736"/>
            <w:shd w:val="clear" w:color="auto" w:fill="FFFFFF"/>
          </w:tcPr>
          <w:p>
            <w:pPr>
              <w:jc w:val="left"/>
            </w:pPr>
            <w:r>
              <w:rPr>
                <w:color w:val="2C3E50"/>
                <w:sz w:val="19"/>
              </w:rPr>
              <w:t>Meaningful 0.8–1.2 range</w:t>
            </w:r>
          </w:p>
        </w:tc>
        <w:tc>
          <w:tcPr>
            <w:tcW w:type="dxa" w:w="2160"/>
            <w:shd w:val="clear" w:color="auto" w:fill="FFFFFF"/>
          </w:tcPr>
          <w:p>
            <w:pPr>
              <w:jc w:val="left"/>
            </w:pPr>
            <w:r>
              <w:rPr>
                <w:color w:val="2C3E50"/>
                <w:sz w:val="19"/>
              </w:rPr>
              <w:t>Now useful</w:t>
            </w:r>
          </w:p>
        </w:tc>
      </w:tr>
      <w:tr>
        <w:tc>
          <w:tcPr>
            <w:tcW w:type="dxa" w:w="2880"/>
            <w:shd w:val="clear" w:color="auto" w:fill="F4F6F7"/>
          </w:tcPr>
          <w:p>
            <w:pPr>
              <w:jc w:val="left"/>
            </w:pPr>
            <w:r>
              <w:rPr>
                <w:color w:val="2C3E50"/>
                <w:sz w:val="19"/>
              </w:rPr>
              <w:t>plan_gap signal quality</w:t>
            </w:r>
          </w:p>
        </w:tc>
        <w:tc>
          <w:tcPr>
            <w:tcW w:type="dxa" w:w="2736"/>
            <w:shd w:val="clear" w:color="auto" w:fill="F4F6F7"/>
          </w:tcPr>
          <w:p>
            <w:pPr>
              <w:jc w:val="left"/>
            </w:pPr>
            <w:r>
              <w:rPr>
                <w:color w:val="2C3E50"/>
                <w:sz w:val="19"/>
              </w:rPr>
              <w:t>Pure noise (TCV vs ATP quota)</w:t>
            </w:r>
          </w:p>
        </w:tc>
        <w:tc>
          <w:tcPr>
            <w:tcW w:type="dxa" w:w="2736"/>
            <w:shd w:val="clear" w:color="auto" w:fill="F4F6F7"/>
          </w:tcPr>
          <w:p>
            <w:pPr>
              <w:jc w:val="left"/>
            </w:pPr>
            <w:r>
              <w:rPr>
                <w:color w:val="2C3E50"/>
                <w:sz w:val="19"/>
              </w:rPr>
              <w:t>Real quota attainment gap</w:t>
            </w:r>
          </w:p>
        </w:tc>
        <w:tc>
          <w:tcPr>
            <w:tcW w:type="dxa" w:w="2160"/>
            <w:shd w:val="clear" w:color="auto" w:fill="F4F6F7"/>
          </w:tcPr>
          <w:p>
            <w:pPr>
              <w:jc w:val="left"/>
            </w:pPr>
            <w:r>
              <w:rPr>
                <w:color w:val="2C3E50"/>
                <w:sz w:val="19"/>
              </w:rPr>
              <w:t>Now meaningful</w:t>
            </w:r>
          </w:p>
        </w:tc>
      </w:tr>
      <w:tr>
        <w:tc>
          <w:tcPr>
            <w:tcW w:type="dxa" w:w="2880"/>
            <w:shd w:val="clear" w:color="auto" w:fill="FFFFFF"/>
          </w:tcPr>
          <w:p>
            <w:pPr>
              <w:jc w:val="left"/>
            </w:pPr>
            <w:r>
              <w:rPr>
                <w:color w:val="2C3E50"/>
                <w:sz w:val="19"/>
              </w:rPr>
              <w:t>Theoretical WAPE floor</w:t>
            </w:r>
          </w:p>
        </w:tc>
        <w:tc>
          <w:tcPr>
            <w:tcW w:type="dxa" w:w="2736"/>
            <w:shd w:val="clear" w:color="auto" w:fill="FFFFFF"/>
          </w:tcPr>
          <w:p>
            <w:pPr>
              <w:jc w:val="left"/>
            </w:pPr>
            <w:r>
              <w:rPr>
                <w:color w:val="2C3E50"/>
                <w:sz w:val="19"/>
              </w:rPr>
              <w:t>94.8% (TCV lumpiness artifact)</w:t>
            </w:r>
          </w:p>
        </w:tc>
        <w:tc>
          <w:tcPr>
            <w:tcW w:type="dxa" w:w="2736"/>
            <w:shd w:val="clear" w:color="auto" w:fill="FFFFFF"/>
          </w:tcPr>
          <w:p>
            <w:pPr>
              <w:jc w:val="left"/>
            </w:pPr>
            <w:r>
              <w:rPr>
                <w:color w:val="2C3E50"/>
                <w:sz w:val="19"/>
              </w:rPr>
              <w:t>~20–30% (real enterprise variability)</w:t>
            </w:r>
          </w:p>
        </w:tc>
        <w:tc>
          <w:tcPr>
            <w:tcW w:type="dxa" w:w="2160"/>
            <w:shd w:val="clear" w:color="auto" w:fill="FFFFFF"/>
          </w:tcPr>
          <w:p>
            <w:pPr>
              <w:jc w:val="left"/>
            </w:pPr>
            <w:r>
              <w:rPr>
                <w:color w:val="2C3E50"/>
                <w:sz w:val="19"/>
              </w:rPr>
              <w:t>Floor drops ~70 ppt</w:t>
            </w:r>
          </w:p>
        </w:tc>
      </w:tr>
    </w:tbl>
    <w:p/>
    <w:p>
      <w:pPr>
        <w:spacing w:before="200" w:after="60"/>
      </w:pPr>
      <w:r>
        <w:rPr>
          <w:b/>
          <w:color w:val="2C3E50"/>
          <w:sz w:val="22"/>
        </w:rPr>
        <w:t>1.2 V4 vs V3 — Complete Change Log</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880"/>
            <w:shd w:val="clear" w:color="auto" w:fill="2C3E50"/>
          </w:tcPr>
          <w:p>
            <w:pPr>
              <w:jc w:val="center"/>
            </w:pPr>
            <w:r>
              <w:rPr>
                <w:b/>
                <w:color w:val="FFFFFF"/>
                <w:sz w:val="19"/>
              </w:rPr>
              <w:t>Change</w:t>
            </w:r>
          </w:p>
        </w:tc>
        <w:tc>
          <w:tcPr>
            <w:tcW w:type="dxa" w:w="2880"/>
            <w:shd w:val="clear" w:color="auto" w:fill="2C3E50"/>
          </w:tcPr>
          <w:p>
            <w:pPr>
              <w:jc w:val="center"/>
            </w:pPr>
            <w:r>
              <w:rPr>
                <w:b/>
                <w:color w:val="FFFFFF"/>
                <w:sz w:val="19"/>
              </w:rPr>
              <w:t>V3 State</w:t>
            </w:r>
          </w:p>
        </w:tc>
        <w:tc>
          <w:tcPr>
            <w:tcW w:type="dxa" w:w="3168"/>
            <w:shd w:val="clear" w:color="auto" w:fill="2C3E50"/>
          </w:tcPr>
          <w:p>
            <w:pPr>
              <w:jc w:val="center"/>
            </w:pPr>
            <w:r>
              <w:rPr>
                <w:b/>
                <w:color w:val="FFFFFF"/>
                <w:sz w:val="19"/>
              </w:rPr>
              <w:t>V4 State</w:t>
            </w:r>
          </w:p>
        </w:tc>
        <w:tc>
          <w:tcPr>
            <w:tcW w:type="dxa" w:w="1584"/>
            <w:shd w:val="clear" w:color="auto" w:fill="2C3E50"/>
          </w:tcPr>
          <w:p>
            <w:pPr>
              <w:jc w:val="center"/>
            </w:pPr>
            <w:r>
              <w:rPr>
                <w:b/>
                <w:color w:val="FFFFFF"/>
                <w:sz w:val="19"/>
              </w:rPr>
              <w:t>Impact</w:t>
            </w:r>
          </w:p>
        </w:tc>
      </w:tr>
      <w:tr>
        <w:tc>
          <w:tcPr>
            <w:tcW w:type="dxa" w:w="2880"/>
            <w:shd w:val="clear" w:color="auto" w:fill="F4F6F7"/>
          </w:tcPr>
          <w:p>
            <w:pPr>
              <w:jc w:val="left"/>
            </w:pPr>
            <w:r>
              <w:rPr>
                <w:color w:val="2C3E50"/>
                <w:sz w:val="19"/>
              </w:rPr>
              <w:t>Target variable y</w:t>
            </w:r>
          </w:p>
        </w:tc>
        <w:tc>
          <w:tcPr>
            <w:tcW w:type="dxa" w:w="2880"/>
            <w:shd w:val="clear" w:color="auto" w:fill="F4F6F7"/>
          </w:tcPr>
          <w:p>
            <w:pPr>
              <w:jc w:val="left"/>
            </w:pPr>
            <w:r>
              <w:rPr>
                <w:color w:val="2C3E50"/>
                <w:sz w:val="19"/>
              </w:rPr>
              <w:t>total_amount (multi-year TCV)</w:t>
            </w:r>
          </w:p>
        </w:tc>
        <w:tc>
          <w:tcPr>
            <w:tcW w:type="dxa" w:w="3168"/>
            <w:shd w:val="clear" w:color="auto" w:fill="F4F6F7"/>
          </w:tcPr>
          <w:p>
            <w:pPr>
              <w:jc w:val="left"/>
            </w:pPr>
            <w:r>
              <w:rPr>
                <w:color w:val="2C3E50"/>
                <w:sz w:val="19"/>
              </w:rPr>
              <w:t>amount_towards_plan (ATP)</w:t>
            </w:r>
          </w:p>
        </w:tc>
        <w:tc>
          <w:tcPr>
            <w:tcW w:type="dxa" w:w="1584"/>
            <w:shd w:val="clear" w:color="auto" w:fill="F4F6F7"/>
          </w:tcPr>
          <w:p>
            <w:pPr>
              <w:jc w:val="left"/>
            </w:pPr>
            <w:r>
              <w:rPr>
                <w:color w:val="2C3E50"/>
                <w:sz w:val="19"/>
              </w:rPr>
              <w:t>Transformational</w:t>
            </w:r>
          </w:p>
        </w:tc>
      </w:tr>
      <w:tr>
        <w:tc>
          <w:tcPr>
            <w:tcW w:type="dxa" w:w="2880"/>
            <w:shd w:val="clear" w:color="auto" w:fill="FFFFFF"/>
          </w:tcPr>
          <w:p>
            <w:pPr>
              <w:jc w:val="left"/>
            </w:pPr>
            <w:r>
              <w:rPr>
                <w:color w:val="2C3E50"/>
                <w:sz w:val="19"/>
              </w:rPr>
              <w:t>GR covariance source</w:t>
            </w:r>
          </w:p>
        </w:tc>
        <w:tc>
          <w:tcPr>
            <w:tcW w:type="dxa" w:w="2880"/>
            <w:shd w:val="clear" w:color="auto" w:fill="FFFFFF"/>
          </w:tcPr>
          <w:p>
            <w:pPr>
              <w:jc w:val="left"/>
            </w:pPr>
            <w:r>
              <w:rPr>
                <w:color w:val="2C3E50"/>
                <w:sz w:val="19"/>
              </w:rPr>
              <w:t>Holdout only (26 pts) — falls back to equal weights</w:t>
            </w:r>
          </w:p>
        </w:tc>
        <w:tc>
          <w:tcPr>
            <w:tcW w:type="dxa" w:w="3168"/>
            <w:shd w:val="clear" w:color="auto" w:fill="FFFFFF"/>
          </w:tcPr>
          <w:p>
            <w:pPr>
              <w:jc w:val="left"/>
            </w:pPr>
            <w:r>
              <w:rPr>
                <w:color w:val="2C3E50"/>
                <w:sz w:val="19"/>
              </w:rPr>
              <w:t>CV residuals (50-100+ pts) + SLSQP constrained opt</w:t>
            </w:r>
          </w:p>
        </w:tc>
        <w:tc>
          <w:tcPr>
            <w:tcW w:type="dxa" w:w="1584"/>
            <w:shd w:val="clear" w:color="auto" w:fill="FFFFFF"/>
          </w:tcPr>
          <w:p>
            <w:pPr>
              <w:jc w:val="left"/>
            </w:pPr>
            <w:r>
              <w:rPr>
                <w:color w:val="2C3E50"/>
                <w:sz w:val="19"/>
              </w:rPr>
              <w:t>High</w:t>
            </w:r>
          </w:p>
        </w:tc>
      </w:tr>
      <w:tr>
        <w:tc>
          <w:tcPr>
            <w:tcW w:type="dxa" w:w="2880"/>
            <w:shd w:val="clear" w:color="auto" w:fill="F4F6F7"/>
          </w:tcPr>
          <w:p>
            <w:pPr>
              <w:jc w:val="left"/>
            </w:pPr>
            <w:r>
              <w:rPr>
                <w:color w:val="2C3E50"/>
                <w:sz w:val="19"/>
              </w:rPr>
              <w:t>Condition number monitoring</w:t>
            </w:r>
          </w:p>
        </w:tc>
        <w:tc>
          <w:tcPr>
            <w:tcW w:type="dxa" w:w="2880"/>
            <w:shd w:val="clear" w:color="auto" w:fill="F4F6F7"/>
          </w:tcPr>
          <w:p>
            <w:pPr>
              <w:jc w:val="left"/>
            </w:pPr>
            <w:r>
              <w:rPr>
                <w:color w:val="2C3E50"/>
                <w:sz w:val="19"/>
              </w:rPr>
              <w:t>Not tracked</w:t>
            </w:r>
          </w:p>
        </w:tc>
        <w:tc>
          <w:tcPr>
            <w:tcW w:type="dxa" w:w="3168"/>
            <w:shd w:val="clear" w:color="auto" w:fill="F4F6F7"/>
          </w:tcPr>
          <w:p>
            <w:pPr>
              <w:jc w:val="left"/>
            </w:pPr>
            <w:r>
              <w:rPr>
                <w:color w:val="2C3E50"/>
                <w:sz w:val="19"/>
              </w:rPr>
              <w:t>np.linalg.cond() logged to MLflow</w:t>
            </w:r>
          </w:p>
        </w:tc>
        <w:tc>
          <w:tcPr>
            <w:tcW w:type="dxa" w:w="1584"/>
            <w:shd w:val="clear" w:color="auto" w:fill="F4F6F7"/>
          </w:tcPr>
          <w:p>
            <w:pPr>
              <w:jc w:val="left"/>
            </w:pPr>
            <w:r>
              <w:rPr>
                <w:color w:val="2C3E50"/>
                <w:sz w:val="19"/>
              </w:rPr>
              <w:t>Medium</w:t>
            </w:r>
          </w:p>
        </w:tc>
      </w:tr>
      <w:tr>
        <w:tc>
          <w:tcPr>
            <w:tcW w:type="dxa" w:w="2880"/>
            <w:shd w:val="clear" w:color="auto" w:fill="FFFFFF"/>
          </w:tcPr>
          <w:p>
            <w:pPr>
              <w:jc w:val="left"/>
            </w:pPr>
            <w:r>
              <w:rPr>
                <w:color w:val="2C3E50"/>
                <w:sz w:val="19"/>
              </w:rPr>
              <w:t>MLflow Model Registry</w:t>
            </w:r>
          </w:p>
        </w:tc>
        <w:tc>
          <w:tcPr>
            <w:tcW w:type="dxa" w:w="2880"/>
            <w:shd w:val="clear" w:color="auto" w:fill="FFFFFF"/>
          </w:tcPr>
          <w:p>
            <w:pPr>
              <w:jc w:val="left"/>
            </w:pPr>
            <w:r>
              <w:rPr>
                <w:color w:val="2C3E50"/>
                <w:sz w:val="19"/>
              </w:rPr>
              <w:t>Not registered</w:t>
            </w:r>
          </w:p>
        </w:tc>
        <w:tc>
          <w:tcPr>
            <w:tcW w:type="dxa" w:w="3168"/>
            <w:shd w:val="clear" w:color="auto" w:fill="FFFFFF"/>
          </w:tcPr>
          <w:p>
            <w:pPr>
              <w:jc w:val="left"/>
            </w:pPr>
            <w:r>
              <w:rPr>
                <w:color w:val="2C3E50"/>
                <w:sz w:val="19"/>
              </w:rPr>
              <w:t>Unity Catalog: itsg_global_lgb_p50</w:t>
            </w:r>
          </w:p>
        </w:tc>
        <w:tc>
          <w:tcPr>
            <w:tcW w:type="dxa" w:w="1584"/>
            <w:shd w:val="clear" w:color="auto" w:fill="FFFFFF"/>
          </w:tcPr>
          <w:p>
            <w:pPr>
              <w:jc w:val="left"/>
            </w:pPr>
            <w:r>
              <w:rPr>
                <w:color w:val="2C3E50"/>
                <w:sz w:val="19"/>
              </w:rPr>
              <w:t>Medium</w:t>
            </w:r>
          </w:p>
        </w:tc>
      </w:tr>
      <w:tr>
        <w:tc>
          <w:tcPr>
            <w:tcW w:type="dxa" w:w="2880"/>
            <w:shd w:val="clear" w:color="auto" w:fill="F4F6F7"/>
          </w:tcPr>
          <w:p>
            <w:pPr>
              <w:jc w:val="left"/>
            </w:pPr>
            <w:r>
              <w:rPr>
                <w:color w:val="2C3E50"/>
                <w:sz w:val="19"/>
              </w:rPr>
              <w:t>Query performance</w:t>
            </w:r>
          </w:p>
        </w:tc>
        <w:tc>
          <w:tcPr>
            <w:tcW w:type="dxa" w:w="2880"/>
            <w:shd w:val="clear" w:color="auto" w:fill="F4F6F7"/>
          </w:tcPr>
          <w:p>
            <w:pPr>
              <w:jc w:val="left"/>
            </w:pPr>
            <w:r>
              <w:rPr>
                <w:color w:val="2C3E50"/>
                <w:sz w:val="19"/>
              </w:rPr>
              <w:t>No partitionBy or ZORDER</w:t>
            </w:r>
          </w:p>
        </w:tc>
        <w:tc>
          <w:tcPr>
            <w:tcW w:type="dxa" w:w="3168"/>
            <w:shd w:val="clear" w:color="auto" w:fill="F4F6F7"/>
          </w:tcPr>
          <w:p>
            <w:pPr>
              <w:jc w:val="left"/>
            </w:pPr>
            <w:r>
              <w:rPr>
                <w:color w:val="2C3E50"/>
                <w:sz w:val="19"/>
              </w:rPr>
              <w:t>OPTIMIZE ZORDER BY (run_date_utc) post-write</w:t>
            </w:r>
          </w:p>
        </w:tc>
        <w:tc>
          <w:tcPr>
            <w:tcW w:type="dxa" w:w="1584"/>
            <w:shd w:val="clear" w:color="auto" w:fill="F4F6F7"/>
          </w:tcPr>
          <w:p>
            <w:pPr>
              <w:jc w:val="left"/>
            </w:pPr>
            <w:r>
              <w:rPr>
                <w:color w:val="2C3E50"/>
                <w:sz w:val="19"/>
              </w:rPr>
              <w:t>Medium</w:t>
            </w:r>
          </w:p>
        </w:tc>
      </w:tr>
      <w:tr>
        <w:tc>
          <w:tcPr>
            <w:tcW w:type="dxa" w:w="2880"/>
            <w:shd w:val="clear" w:color="auto" w:fill="FFFFFF"/>
          </w:tcPr>
          <w:p>
            <w:pPr>
              <w:jc w:val="left"/>
            </w:pPr>
            <w:r>
              <w:rPr>
                <w:color w:val="2C3E50"/>
                <w:sz w:val="19"/>
              </w:rPr>
              <w:t>NOTEBOOK_VERSION</w:t>
            </w:r>
          </w:p>
        </w:tc>
        <w:tc>
          <w:tcPr>
            <w:tcW w:type="dxa" w:w="2880"/>
            <w:shd w:val="clear" w:color="auto" w:fill="FFFFFF"/>
          </w:tcPr>
          <w:p>
            <w:pPr>
              <w:jc w:val="left"/>
            </w:pPr>
            <w:r>
              <w:rPr>
                <w:color w:val="2C3E50"/>
                <w:sz w:val="19"/>
              </w:rPr>
              <w:t>'V3'</w:t>
            </w:r>
          </w:p>
        </w:tc>
        <w:tc>
          <w:tcPr>
            <w:tcW w:type="dxa" w:w="3168"/>
            <w:shd w:val="clear" w:color="auto" w:fill="FFFFFF"/>
          </w:tcPr>
          <w:p>
            <w:pPr>
              <w:jc w:val="left"/>
            </w:pPr>
            <w:r>
              <w:rPr>
                <w:color w:val="2C3E50"/>
                <w:sz w:val="19"/>
              </w:rPr>
              <w:t>'V4' — correct</w:t>
            </w:r>
          </w:p>
        </w:tc>
        <w:tc>
          <w:tcPr>
            <w:tcW w:type="dxa" w:w="1584"/>
            <w:shd w:val="clear" w:color="auto" w:fill="FFFFFF"/>
          </w:tcPr>
          <w:p>
            <w:pPr>
              <w:jc w:val="left"/>
            </w:pPr>
            <w:r>
              <w:rPr>
                <w:color w:val="2C3E50"/>
                <w:sz w:val="19"/>
              </w:rPr>
              <w:t>Low</w:t>
            </w:r>
          </w:p>
        </w:tc>
      </w:tr>
      <w:tr>
        <w:tc>
          <w:tcPr>
            <w:tcW w:type="dxa" w:w="2880"/>
            <w:shd w:val="clear" w:color="auto" w:fill="F4F6F7"/>
          </w:tcPr>
          <w:p>
            <w:pPr>
              <w:jc w:val="left"/>
            </w:pPr>
            <w:r>
              <w:rPr>
                <w:color w:val="2C3E50"/>
                <w:sz w:val="19"/>
              </w:rPr>
              <w:t>Cell 8 exec summary</w:t>
            </w:r>
          </w:p>
        </w:tc>
        <w:tc>
          <w:tcPr>
            <w:tcW w:type="dxa" w:w="2880"/>
            <w:shd w:val="clear" w:color="auto" w:fill="F4F6F7"/>
          </w:tcPr>
          <w:p>
            <w:pPr>
              <w:jc w:val="left"/>
            </w:pPr>
            <w:r>
              <w:rPr>
                <w:color w:val="2C3E50"/>
                <w:sz w:val="19"/>
              </w:rPr>
              <w:t>V3 content, TCV-era WAPE figures</w:t>
            </w:r>
          </w:p>
        </w:tc>
        <w:tc>
          <w:tcPr>
            <w:tcW w:type="dxa" w:w="3168"/>
            <w:shd w:val="clear" w:color="auto" w:fill="F4F6F7"/>
          </w:tcPr>
          <w:p>
            <w:pPr>
              <w:jc w:val="left"/>
            </w:pPr>
            <w:r>
              <w:rPr>
                <w:color w:val="2C3E50"/>
                <w:sz w:val="19"/>
              </w:rPr>
              <w:t>Still shows V3 label + TCV figures</w:t>
            </w:r>
          </w:p>
        </w:tc>
        <w:tc>
          <w:tcPr>
            <w:tcW w:type="dxa" w:w="1584"/>
            <w:shd w:val="clear" w:color="auto" w:fill="F4F6F7"/>
          </w:tcPr>
          <w:p>
            <w:pPr>
              <w:jc w:val="left"/>
            </w:pPr>
            <w:r>
              <w:rPr>
                <w:color w:val="2C3E50"/>
                <w:sz w:val="19"/>
              </w:rPr>
              <w:t>Bug (not updated)</w:t>
            </w:r>
          </w:p>
        </w:tc>
      </w:tr>
    </w:tbl>
    <w:p/>
    <w:p>
      <w:pPr>
        <w:spacing w:before="200" w:after="60"/>
      </w:pPr>
      <w:r>
        <w:rPr>
          <w:b/>
          <w:color w:val="2C3E50"/>
          <w:sz w:val="22"/>
        </w:rPr>
        <w:t>1.3 Remaining Gaps (3 pts)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864"/>
            <w:shd w:val="clear" w:color="auto" w:fill="2C3E50"/>
          </w:tcPr>
          <w:p>
            <w:pPr>
              <w:jc w:val="center"/>
            </w:pPr>
            <w:r>
              <w:rPr>
                <w:b/>
                <w:color w:val="FFFFFF"/>
                <w:sz w:val="19"/>
              </w:rPr>
              <w:t>Priority</w:t>
            </w:r>
          </w:p>
        </w:tc>
        <w:tc>
          <w:tcPr>
            <w:tcW w:type="dxa" w:w="4032"/>
            <w:shd w:val="clear" w:color="auto" w:fill="2C3E50"/>
          </w:tcPr>
          <w:p>
            <w:pPr>
              <w:jc w:val="center"/>
            </w:pPr>
            <w:r>
              <w:rPr>
                <w:b/>
                <w:color w:val="FFFFFF"/>
                <w:sz w:val="19"/>
              </w:rPr>
              <w:t>Gap</w:t>
            </w:r>
          </w:p>
        </w:tc>
        <w:tc>
          <w:tcPr>
            <w:tcW w:type="dxa" w:w="1008"/>
            <w:shd w:val="clear" w:color="auto" w:fill="2C3E50"/>
          </w:tcPr>
          <w:p>
            <w:pPr>
              <w:jc w:val="center"/>
            </w:pPr>
            <w:r>
              <w:rPr>
                <w:b/>
                <w:color w:val="FFFFFF"/>
                <w:sz w:val="19"/>
              </w:rPr>
              <w:t>Pts Lost</w:t>
            </w:r>
          </w:p>
        </w:tc>
        <w:tc>
          <w:tcPr>
            <w:tcW w:type="dxa" w:w="3744"/>
            <w:shd w:val="clear" w:color="auto" w:fill="2C3E50"/>
          </w:tcPr>
          <w:p>
            <w:pPr>
              <w:jc w:val="center"/>
            </w:pPr>
            <w:r>
              <w:rPr>
                <w:b/>
                <w:color w:val="FFFFFF"/>
                <w:sz w:val="19"/>
              </w:rPr>
              <w:t>Fix</w:t>
            </w:r>
          </w:p>
        </w:tc>
      </w:tr>
      <w:tr>
        <w:tc>
          <w:tcPr>
            <w:tcW w:type="dxa" w:w="864"/>
            <w:shd w:val="clear" w:color="auto" w:fill="F4F6F7"/>
          </w:tcPr>
          <w:p>
            <w:pPr>
              <w:jc w:val="left"/>
            </w:pPr>
            <w:r>
              <w:rPr>
                <w:color w:val="2C3E50"/>
                <w:sz w:val="19"/>
              </w:rPr>
              <w:t>P1</w:t>
            </w:r>
          </w:p>
        </w:tc>
        <w:tc>
          <w:tcPr>
            <w:tcW w:type="dxa" w:w="4032"/>
            <w:shd w:val="clear" w:color="auto" w:fill="F4F6F7"/>
          </w:tcPr>
          <w:p>
            <w:pPr>
              <w:jc w:val="left"/>
            </w:pPr>
            <w:r>
              <w:rPr>
                <w:color w:val="2C3E50"/>
                <w:sz w:val="19"/>
              </w:rPr>
              <w:t>Cell 8 exec summary still labeled V3 with TCV-era WAPE values</w:t>
            </w:r>
          </w:p>
        </w:tc>
        <w:tc>
          <w:tcPr>
            <w:tcW w:type="dxa" w:w="1008"/>
            <w:shd w:val="clear" w:color="auto" w:fill="F4F6F7"/>
          </w:tcPr>
          <w:p>
            <w:pPr>
              <w:jc w:val="left"/>
            </w:pPr>
            <w:r>
              <w:rPr>
                <w:color w:val="2C3E50"/>
                <w:sz w:val="19"/>
              </w:rPr>
              <w:t>-0.5</w:t>
            </w:r>
          </w:p>
        </w:tc>
        <w:tc>
          <w:tcPr>
            <w:tcW w:type="dxa" w:w="3744"/>
            <w:shd w:val="clear" w:color="auto" w:fill="F4F6F7"/>
          </w:tcPr>
          <w:p>
            <w:pPr>
              <w:jc w:val="left"/>
            </w:pPr>
            <w:r>
              <w:rPr>
                <w:color w:val="2C3E50"/>
                <w:sz w:val="19"/>
              </w:rPr>
              <w:t>Re-run notebook; update Cell 8 with ATP actuals and new WAPE figures</w:t>
            </w:r>
          </w:p>
        </w:tc>
      </w:tr>
      <w:tr>
        <w:tc>
          <w:tcPr>
            <w:tcW w:type="dxa" w:w="864"/>
            <w:shd w:val="clear" w:color="auto" w:fill="FFFFFF"/>
          </w:tcPr>
          <w:p>
            <w:pPr>
              <w:jc w:val="left"/>
            </w:pPr>
            <w:r>
              <w:rPr>
                <w:color w:val="2C3E50"/>
                <w:sz w:val="19"/>
              </w:rPr>
              <w:t>P2</w:t>
            </w:r>
          </w:p>
        </w:tc>
        <w:tc>
          <w:tcPr>
            <w:tcW w:type="dxa" w:w="4032"/>
            <w:shd w:val="clear" w:color="auto" w:fill="FFFFFF"/>
          </w:tcPr>
          <w:p>
            <w:pPr>
              <w:jc w:val="left"/>
            </w:pPr>
            <w:r>
              <w:rPr>
                <w:color w:val="2C3E50"/>
                <w:sz w:val="19"/>
              </w:rPr>
              <w:t>No Databricks Job / automated weekly scheduler</w:t>
            </w:r>
          </w:p>
        </w:tc>
        <w:tc>
          <w:tcPr>
            <w:tcW w:type="dxa" w:w="1008"/>
            <w:shd w:val="clear" w:color="auto" w:fill="FFFFFF"/>
          </w:tcPr>
          <w:p>
            <w:pPr>
              <w:jc w:val="left"/>
            </w:pPr>
            <w:r>
              <w:rPr>
                <w:color w:val="2C3E50"/>
                <w:sz w:val="19"/>
              </w:rPr>
              <w:t>-1</w:t>
            </w:r>
          </w:p>
        </w:tc>
        <w:tc>
          <w:tcPr>
            <w:tcW w:type="dxa" w:w="3744"/>
            <w:shd w:val="clear" w:color="auto" w:fill="FFFFFF"/>
          </w:tcPr>
          <w:p>
            <w:pPr>
              <w:jc w:val="left"/>
            </w:pPr>
            <w:r>
              <w:rPr>
                <w:color w:val="2C3E50"/>
                <w:sz w:val="19"/>
              </w:rPr>
              <w:t>Register notebook as Databricks Workflow with weekly trigger + alerts</w:t>
            </w:r>
          </w:p>
        </w:tc>
      </w:tr>
      <w:tr>
        <w:tc>
          <w:tcPr>
            <w:tcW w:type="dxa" w:w="864"/>
            <w:shd w:val="clear" w:color="auto" w:fill="F4F6F7"/>
          </w:tcPr>
          <w:p>
            <w:pPr>
              <w:jc w:val="left"/>
            </w:pPr>
            <w:r>
              <w:rPr>
                <w:color w:val="2C3E50"/>
                <w:sz w:val="19"/>
              </w:rPr>
              <w:t>P2</w:t>
            </w:r>
          </w:p>
        </w:tc>
        <w:tc>
          <w:tcPr>
            <w:tcW w:type="dxa" w:w="4032"/>
            <w:shd w:val="clear" w:color="auto" w:fill="F4F6F7"/>
          </w:tcPr>
          <w:p>
            <w:pPr>
              <w:jc w:val="left"/>
            </w:pPr>
            <w:r>
              <w:rPr>
                <w:color w:val="2C3E50"/>
                <w:sz w:val="19"/>
              </w:rPr>
              <w:t>Dual-table write (v4 + v5) without documented deprecation plan</w:t>
            </w:r>
          </w:p>
        </w:tc>
        <w:tc>
          <w:tcPr>
            <w:tcW w:type="dxa" w:w="1008"/>
            <w:shd w:val="clear" w:color="auto" w:fill="F4F6F7"/>
          </w:tcPr>
          <w:p>
            <w:pPr>
              <w:jc w:val="left"/>
            </w:pPr>
            <w:r>
              <w:rPr>
                <w:color w:val="2C3E50"/>
                <w:sz w:val="19"/>
              </w:rPr>
              <w:t>-0.5</w:t>
            </w:r>
          </w:p>
        </w:tc>
        <w:tc>
          <w:tcPr>
            <w:tcW w:type="dxa" w:w="3744"/>
            <w:shd w:val="clear" w:color="auto" w:fill="F4F6F7"/>
          </w:tcPr>
          <w:p>
            <w:pPr>
              <w:jc w:val="left"/>
            </w:pPr>
            <w:r>
              <w:rPr>
                <w:color w:val="2C3E50"/>
                <w:sz w:val="19"/>
              </w:rPr>
              <w:t>Add deprecation timeline comment; create consumer migration ticket</w:t>
            </w:r>
          </w:p>
        </w:tc>
      </w:tr>
      <w:tr>
        <w:tc>
          <w:tcPr>
            <w:tcW w:type="dxa" w:w="864"/>
            <w:shd w:val="clear" w:color="auto" w:fill="FFFFFF"/>
          </w:tcPr>
          <w:p>
            <w:pPr>
              <w:jc w:val="left"/>
            </w:pPr>
            <w:r>
              <w:rPr>
                <w:color w:val="2C3E50"/>
                <w:sz w:val="19"/>
              </w:rPr>
              <w:t>P3</w:t>
            </w:r>
          </w:p>
        </w:tc>
        <w:tc>
          <w:tcPr>
            <w:tcW w:type="dxa" w:w="4032"/>
            <w:shd w:val="clear" w:color="auto" w:fill="FFFFFF"/>
          </w:tcPr>
          <w:p>
            <w:pPr>
              <w:jc w:val="left"/>
            </w:pPr>
            <w:r>
              <w:rPr>
                <w:color w:val="2C3E50"/>
                <w:sz w:val="19"/>
              </w:rPr>
              <w:t>No build_profile_lookup for future panel imputation fallback</w:t>
            </w:r>
          </w:p>
        </w:tc>
        <w:tc>
          <w:tcPr>
            <w:tcW w:type="dxa" w:w="1008"/>
            <w:shd w:val="clear" w:color="auto" w:fill="FFFFFF"/>
          </w:tcPr>
          <w:p>
            <w:pPr>
              <w:jc w:val="left"/>
            </w:pPr>
            <w:r>
              <w:rPr>
                <w:color w:val="2C3E50"/>
                <w:sz w:val="19"/>
              </w:rPr>
              <w:t>-0.5</w:t>
            </w:r>
          </w:p>
        </w:tc>
        <w:tc>
          <w:tcPr>
            <w:tcW w:type="dxa" w:w="3744"/>
            <w:shd w:val="clear" w:color="auto" w:fill="FFFFFF"/>
          </w:tcPr>
          <w:p>
            <w:pPr>
              <w:jc w:val="left"/>
            </w:pPr>
            <w:r>
              <w:rPr>
                <w:color w:val="2C3E50"/>
                <w:sz w:val="19"/>
              </w:rPr>
              <w:t>Add WoQ median profile for weeks where feature_source_future is empty</w:t>
            </w:r>
          </w:p>
        </w:tc>
      </w:tr>
      <w:tr>
        <w:tc>
          <w:tcPr>
            <w:tcW w:type="dxa" w:w="864"/>
            <w:shd w:val="clear" w:color="auto" w:fill="F4F6F7"/>
          </w:tcPr>
          <w:p>
            <w:pPr>
              <w:jc w:val="left"/>
            </w:pPr>
            <w:r>
              <w:rPr>
                <w:color w:val="2C3E50"/>
                <w:sz w:val="19"/>
              </w:rPr>
              <w:t>P3</w:t>
            </w:r>
          </w:p>
        </w:tc>
        <w:tc>
          <w:tcPr>
            <w:tcW w:type="dxa" w:w="4032"/>
            <w:shd w:val="clear" w:color="auto" w:fill="F4F6F7"/>
          </w:tcPr>
          <w:p>
            <w:pPr>
              <w:jc w:val="left"/>
            </w:pPr>
            <w:r>
              <w:rPr>
                <w:color w:val="2C3E50"/>
                <w:sz w:val="19"/>
              </w:rPr>
              <w:t>ZORDER runs post-write inline — adds latency to notebook execution</w:t>
            </w:r>
          </w:p>
        </w:tc>
        <w:tc>
          <w:tcPr>
            <w:tcW w:type="dxa" w:w="1008"/>
            <w:shd w:val="clear" w:color="auto" w:fill="F4F6F7"/>
          </w:tcPr>
          <w:p>
            <w:pPr>
              <w:jc w:val="left"/>
            </w:pPr>
            <w:r>
              <w:rPr>
                <w:color w:val="2C3E50"/>
                <w:sz w:val="19"/>
              </w:rPr>
              <w:t>-0.5</w:t>
            </w:r>
          </w:p>
        </w:tc>
        <w:tc>
          <w:tcPr>
            <w:tcW w:type="dxa" w:w="3744"/>
            <w:shd w:val="clear" w:color="auto" w:fill="F4F6F7"/>
          </w:tcPr>
          <w:p>
            <w:pPr>
              <w:jc w:val="left"/>
            </w:pPr>
            <w:r>
              <w:rPr>
                <w:color w:val="2C3E50"/>
                <w:sz w:val="19"/>
              </w:rPr>
              <w:t>Move ZORDER to a separate maintenance job; run async</w:t>
            </w:r>
          </w:p>
        </w:tc>
      </w:tr>
    </w:tbl>
    <w:p/>
    <w:p>
      <w:r>
        <w:br w:type="page"/>
      </w:r>
    </w:p>
    <w:p>
      <w:pPr>
        <w:spacing w:before="280" w:after="80"/>
        <w:pBdr>
          <w:bottom w:val="single" w:sz="6" w:space="1" w:color="007A87"/>
        </w:pBdr>
      </w:pPr>
      <w:r>
        <w:rPr>
          <w:b/>
          <w:color w:val="007A87"/>
          <w:sz w:val="26"/>
        </w:rPr>
        <w:t>2. DATA PIPELINE &amp; THE ATP FIX</w:t>
      </w:r>
    </w:p>
    <w:tbl>
      <w:tblPr>
        <w:tblW w:type="auto" w:w="0"/>
        <w:jc w:val="left"/>
        <w:tblLook w:firstColumn="1" w:firstRow="1" w:lastColumn="0" w:lastRow="0" w:noHBand="0" w:noVBand="1" w:val="04A0"/>
      </w:tblPr>
      <w:tblGrid>
        <w:gridCol w:w="1584"/>
        <w:gridCol w:w="7200"/>
      </w:tblGrid>
      <w:tr>
        <w:tc>
          <w:tcPr>
            <w:tcW w:type="dxa" w:w="4536"/>
            <w:shd w:val="clear" w:color="auto" w:fill="1E8855"/>
            <w:tcBorders>
              <w:top w:val="single" w:sz="4" w:space="0" w:color="1E8855"/>
              <w:left w:val="single" w:sz="4" w:space="0" w:color="1E8855"/>
              <w:bottom w:val="single" w:sz="4" w:space="0" w:color="1E8855"/>
              <w:right w:val="single" w:sz="4" w:space="0" w:color="1E8855"/>
            </w:tcBorders>
          </w:tcPr>
          <w:p>
            <w:pPr>
              <w:jc w:val="center"/>
            </w:pPr>
            <w:r>
              <w:rPr>
                <w:b/>
                <w:color w:val="FFFFFF"/>
                <w:sz w:val="24"/>
              </w:rPr>
              <w:t>20/20</w:t>
            </w:r>
          </w:p>
        </w:tc>
        <w:tc>
          <w:tcPr>
            <w:tcW w:type="dxa" w:w="4536"/>
            <w:tcBorders>
              <w:top w:val="single" w:sz="4" w:space="0" w:color="EEEEEE"/>
              <w:left w:val="single" w:sz="4" w:space="0" w:color="EEEEEE"/>
              <w:bottom w:val="single" w:sz="4" w:space="0" w:color="EEEEEE"/>
              <w:right w:val="single" w:sz="4" w:space="0" w:color="EEEEEE"/>
            </w:tcBorders>
          </w:tcPr>
          <w:p>
            <w:pPr>
              <w:ind w:left="144"/>
            </w:pPr>
            <w:r>
              <w:rPr>
                <w:color w:val="2C3E50"/>
                <w:sz w:val="21"/>
              </w:rPr>
              <w:t>Data Pipeline &amp; Feature Engineering  (20/20)</w:t>
            </w:r>
          </w:p>
        </w:tc>
      </w:tr>
    </w:tbl>
    <w:p/>
    <w:tbl>
      <w:tblPr>
        <w:tblW w:type="auto" w:w="0"/>
        <w:jc w:val="left"/>
        <w:tblLook w:firstColumn="1" w:firstRow="1" w:lastColumn="0" w:lastRow="0" w:noHBand="0" w:noVBand="1" w:val="04A0"/>
      </w:tblPr>
      <w:tblGrid>
        <w:gridCol w:w="9072"/>
      </w:tblGrid>
      <w:tr>
        <w:tc>
          <w:tcPr>
            <w:tcW w:type="dxa" w:w="9072"/>
            <w:shd w:val="clear" w:color="auto" w:fill="D5F5E3"/>
            <w:tcBorders>
              <w:top w:val="single" w:sz="12" w:space="0" w:color="1E8855"/>
              <w:left w:val="single" w:sz="12" w:space="0" w:color="1E8855"/>
              <w:bottom w:val="single" w:sz="12" w:space="0" w:color="1E8855"/>
              <w:right w:val="single" w:sz="12" w:space="0" w:color="1E8855"/>
            </w:tcBorders>
          </w:tcPr>
          <w:p>
            <w:pPr>
              <w:spacing w:before="80" w:after="80"/>
              <w:ind w:left="144"/>
            </w:pPr>
            <w:r>
              <w:rPr>
                <w:b/>
                <w:color w:val="2C3E50"/>
                <w:sz w:val="20"/>
              </w:rPr>
              <w:t xml:space="preserve">Perfect Score — Root Cause Resolved:  </w:t>
            </w:r>
            <w:r>
              <w:rPr>
                <w:color w:val="2C3E50"/>
                <w:sz w:val="20"/>
              </w:rPr>
              <w:t>V4 is the first ITSG version to use the correct ARR target. This resolves the #1 data quality issue that corrupted every prior model.</w:t>
            </w:r>
          </w:p>
        </w:tc>
      </w:tr>
    </w:tbl>
    <w:p/>
    <w:p>
      <w:pPr>
        <w:spacing w:before="200" w:after="60"/>
      </w:pPr>
      <w:r>
        <w:rPr>
          <w:b/>
          <w:color w:val="2C3E50"/>
          <w:sz w:val="22"/>
        </w:rPr>
        <w:t>2.1 The Fundamental Data Error — Diagnosed and Fixed</w:t>
      </w:r>
    </w:p>
    <w:p>
      <w:pPr>
        <w:spacing w:before="0" w:after="80"/>
      </w:pPr>
      <w:r>
        <w:rPr>
          <w:color w:val="2C3E50"/>
          <w:sz w:val="21"/>
        </w:rPr>
        <w:t>Versions V1 through V3 used CAST(total_amount AS DOUBLE) AS arr as the forecast target y. total_amount in cds_sfdc_opp_products_latest is the Total Contract Value (TCV) — the full multi-year value of the contract, not the annualized quota-credited ARR. This caused catastrophic model degradation:</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2016"/>
            <w:shd w:val="clear" w:color="auto" w:fill="2C3E50"/>
          </w:tcPr>
          <w:p>
            <w:pPr>
              <w:jc w:val="center"/>
            </w:pPr>
            <w:r>
              <w:rPr>
                <w:b/>
                <w:color w:val="FFFFFF"/>
                <w:sz w:val="19"/>
              </w:rPr>
              <w:t>Quarter</w:t>
            </w:r>
          </w:p>
        </w:tc>
        <w:tc>
          <w:tcPr>
            <w:tcW w:type="dxa" w:w="2016"/>
            <w:shd w:val="clear" w:color="auto" w:fill="2C3E50"/>
          </w:tcPr>
          <w:p>
            <w:pPr>
              <w:jc w:val="center"/>
            </w:pPr>
            <w:r>
              <w:rPr>
                <w:b/>
                <w:color w:val="FFFFFF"/>
                <w:sz w:val="19"/>
              </w:rPr>
              <w:t>total_amount (TCV)</w:t>
            </w:r>
          </w:p>
        </w:tc>
        <w:tc>
          <w:tcPr>
            <w:tcW w:type="dxa" w:w="2304"/>
            <w:shd w:val="clear" w:color="auto" w:fill="2C3E50"/>
          </w:tcPr>
          <w:p>
            <w:pPr>
              <w:jc w:val="center"/>
            </w:pPr>
            <w:r>
              <w:rPr>
                <w:b/>
                <w:color w:val="FFFFFF"/>
                <w:sz w:val="19"/>
              </w:rPr>
              <w:t>amount_towards_plan (ATP)</w:t>
            </w:r>
          </w:p>
        </w:tc>
        <w:tc>
          <w:tcPr>
            <w:tcW w:type="dxa" w:w="1008"/>
            <w:shd w:val="clear" w:color="auto" w:fill="2C3E50"/>
          </w:tcPr>
          <w:p>
            <w:pPr>
              <w:jc w:val="center"/>
            </w:pPr>
            <w:r>
              <w:rPr>
                <w:b/>
                <w:color w:val="FFFFFF"/>
                <w:sz w:val="19"/>
              </w:rPr>
              <w:t>Ratio</w:t>
            </w:r>
          </w:p>
        </w:tc>
        <w:tc>
          <w:tcPr>
            <w:tcW w:type="dxa" w:w="3168"/>
            <w:shd w:val="clear" w:color="auto" w:fill="2C3E50"/>
          </w:tcPr>
          <w:p>
            <w:pPr>
              <w:jc w:val="center"/>
            </w:pPr>
            <w:r>
              <w:rPr>
                <w:b/>
                <w:color w:val="FFFFFF"/>
                <w:sz w:val="19"/>
              </w:rPr>
              <w:t>Effect on Model</w:t>
            </w:r>
          </w:p>
        </w:tc>
      </w:tr>
      <w:tr>
        <w:tc>
          <w:tcPr>
            <w:tcW w:type="dxa" w:w="2016"/>
            <w:shd w:val="clear" w:color="auto" w:fill="F4F6F7"/>
          </w:tcPr>
          <w:p>
            <w:pPr>
              <w:jc w:val="left"/>
            </w:pPr>
            <w:r>
              <w:rPr>
                <w:color w:val="2C3E50"/>
                <w:sz w:val="19"/>
              </w:rPr>
              <w:t>Q1 2025</w:t>
            </w:r>
          </w:p>
        </w:tc>
        <w:tc>
          <w:tcPr>
            <w:tcW w:type="dxa" w:w="2016"/>
            <w:shd w:val="clear" w:color="auto" w:fill="F4F6F7"/>
          </w:tcPr>
          <w:p>
            <w:pPr>
              <w:jc w:val="left"/>
            </w:pPr>
            <w:r>
              <w:rPr>
                <w:color w:val="2C3E50"/>
                <w:sz w:val="19"/>
              </w:rPr>
              <w:t>$5.2M</w:t>
            </w:r>
          </w:p>
        </w:tc>
        <w:tc>
          <w:tcPr>
            <w:tcW w:type="dxa" w:w="2304"/>
            <w:shd w:val="clear" w:color="auto" w:fill="F4F6F7"/>
          </w:tcPr>
          <w:p>
            <w:pPr>
              <w:jc w:val="left"/>
            </w:pPr>
            <w:r>
              <w:rPr>
                <w:color w:val="2C3E50"/>
                <w:sz w:val="19"/>
              </w:rPr>
              <w:t>$3.7M</w:t>
            </w:r>
          </w:p>
        </w:tc>
        <w:tc>
          <w:tcPr>
            <w:tcW w:type="dxa" w:w="1008"/>
            <w:shd w:val="clear" w:color="auto" w:fill="F4F6F7"/>
          </w:tcPr>
          <w:p>
            <w:pPr>
              <w:jc w:val="left"/>
            </w:pPr>
            <w:r>
              <w:rPr>
                <w:color w:val="2C3E50"/>
                <w:sz w:val="19"/>
              </w:rPr>
              <w:t>1.4x</w:t>
            </w:r>
          </w:p>
        </w:tc>
        <w:tc>
          <w:tcPr>
            <w:tcW w:type="dxa" w:w="3168"/>
            <w:shd w:val="clear" w:color="auto" w:fill="F4F6F7"/>
          </w:tcPr>
          <w:p>
            <w:pPr>
              <w:jc w:val="left"/>
            </w:pPr>
            <w:r>
              <w:rPr>
                <w:color w:val="2C3E50"/>
                <w:sz w:val="19"/>
              </w:rPr>
              <w:t>Minor distortion</w:t>
            </w:r>
          </w:p>
        </w:tc>
      </w:tr>
      <w:tr>
        <w:tc>
          <w:tcPr>
            <w:tcW w:type="dxa" w:w="2016"/>
            <w:shd w:val="clear" w:color="auto" w:fill="FFFFFF"/>
          </w:tcPr>
          <w:p>
            <w:pPr>
              <w:jc w:val="left"/>
            </w:pPr>
            <w:r>
              <w:rPr>
                <w:color w:val="2C3E50"/>
                <w:sz w:val="19"/>
              </w:rPr>
              <w:t>Q4 2025</w:t>
            </w:r>
          </w:p>
        </w:tc>
        <w:tc>
          <w:tcPr>
            <w:tcW w:type="dxa" w:w="2016"/>
            <w:shd w:val="clear" w:color="auto" w:fill="FFFFFF"/>
          </w:tcPr>
          <w:p>
            <w:pPr>
              <w:jc w:val="left"/>
            </w:pPr>
            <w:r>
              <w:rPr>
                <w:color w:val="2C3E50"/>
                <w:sz w:val="19"/>
              </w:rPr>
              <w:t>$21.3M</w:t>
            </w:r>
          </w:p>
        </w:tc>
        <w:tc>
          <w:tcPr>
            <w:tcW w:type="dxa" w:w="2304"/>
            <w:shd w:val="clear" w:color="auto" w:fill="FFFFFF"/>
          </w:tcPr>
          <w:p>
            <w:pPr>
              <w:jc w:val="left"/>
            </w:pPr>
            <w:r>
              <w:rPr>
                <w:color w:val="2C3E50"/>
                <w:sz w:val="19"/>
              </w:rPr>
              <w:t>$4.2M</w:t>
            </w:r>
          </w:p>
        </w:tc>
        <w:tc>
          <w:tcPr>
            <w:tcW w:type="dxa" w:w="1008"/>
            <w:shd w:val="clear" w:color="auto" w:fill="FFFFFF"/>
          </w:tcPr>
          <w:p>
            <w:pPr>
              <w:jc w:val="left"/>
            </w:pPr>
            <w:r>
              <w:rPr>
                <w:color w:val="2C3E50"/>
                <w:sz w:val="19"/>
              </w:rPr>
              <w:t>5.0x</w:t>
            </w:r>
          </w:p>
        </w:tc>
        <w:tc>
          <w:tcPr>
            <w:tcW w:type="dxa" w:w="3168"/>
            <w:shd w:val="clear" w:color="auto" w:fill="FFFFFF"/>
          </w:tcPr>
          <w:p>
            <w:pPr>
              <w:jc w:val="left"/>
            </w:pPr>
            <w:r>
              <w:rPr>
                <w:color w:val="2C3E50"/>
                <w:sz w:val="19"/>
              </w:rPr>
              <w:t>Severe distortion</w:t>
            </w:r>
          </w:p>
        </w:tc>
      </w:tr>
      <w:tr>
        <w:tc>
          <w:tcPr>
            <w:tcW w:type="dxa" w:w="2016"/>
            <w:shd w:val="clear" w:color="auto" w:fill="F4F6F7"/>
          </w:tcPr>
          <w:p>
            <w:pPr>
              <w:jc w:val="left"/>
            </w:pPr>
            <w:r>
              <w:rPr>
                <w:color w:val="2C3E50"/>
                <w:sz w:val="19"/>
              </w:rPr>
              <w:t>Q1 2026</w:t>
            </w:r>
          </w:p>
        </w:tc>
        <w:tc>
          <w:tcPr>
            <w:tcW w:type="dxa" w:w="2016"/>
            <w:shd w:val="clear" w:color="auto" w:fill="F4F6F7"/>
          </w:tcPr>
          <w:p>
            <w:pPr>
              <w:jc w:val="left"/>
            </w:pPr>
            <w:r>
              <w:rPr>
                <w:color w:val="2C3E50"/>
                <w:sz w:val="19"/>
              </w:rPr>
              <w:t>$7.1M</w:t>
            </w:r>
          </w:p>
        </w:tc>
        <w:tc>
          <w:tcPr>
            <w:tcW w:type="dxa" w:w="2304"/>
            <w:shd w:val="clear" w:color="auto" w:fill="F4F6F7"/>
          </w:tcPr>
          <w:p>
            <w:pPr>
              <w:jc w:val="left"/>
            </w:pPr>
            <w:r>
              <w:rPr>
                <w:color w:val="2C3E50"/>
                <w:sz w:val="19"/>
              </w:rPr>
              <w:t>$3.5M</w:t>
            </w:r>
          </w:p>
        </w:tc>
        <w:tc>
          <w:tcPr>
            <w:tcW w:type="dxa" w:w="1008"/>
            <w:shd w:val="clear" w:color="auto" w:fill="F4F6F7"/>
          </w:tcPr>
          <w:p>
            <w:pPr>
              <w:jc w:val="left"/>
            </w:pPr>
            <w:r>
              <w:rPr>
                <w:color w:val="2C3E50"/>
                <w:sz w:val="19"/>
              </w:rPr>
              <w:t>2.0x</w:t>
            </w:r>
          </w:p>
        </w:tc>
        <w:tc>
          <w:tcPr>
            <w:tcW w:type="dxa" w:w="3168"/>
            <w:shd w:val="clear" w:color="auto" w:fill="F4F6F7"/>
          </w:tcPr>
          <w:p>
            <w:pPr>
              <w:jc w:val="left"/>
            </w:pPr>
            <w:r>
              <w:rPr>
                <w:color w:val="2C3E50"/>
                <w:sz w:val="19"/>
              </w:rPr>
              <w:t>Significant distortion</w:t>
            </w:r>
          </w:p>
        </w:tc>
      </w:tr>
      <w:tr>
        <w:tc>
          <w:tcPr>
            <w:tcW w:type="dxa" w:w="2016"/>
            <w:shd w:val="clear" w:color="auto" w:fill="FFFFFF"/>
          </w:tcPr>
          <w:p>
            <w:pPr>
              <w:jc w:val="left"/>
            </w:pPr>
            <w:r>
              <w:rPr>
                <w:color w:val="2C3E50"/>
                <w:sz w:val="19"/>
              </w:rPr>
              <w:t>Q2 2026</w:t>
            </w:r>
          </w:p>
        </w:tc>
        <w:tc>
          <w:tcPr>
            <w:tcW w:type="dxa" w:w="2016"/>
            <w:shd w:val="clear" w:color="auto" w:fill="FFFFFF"/>
          </w:tcPr>
          <w:p>
            <w:pPr>
              <w:jc w:val="left"/>
            </w:pPr>
            <w:r>
              <w:rPr>
                <w:color w:val="2C3E50"/>
                <w:sz w:val="19"/>
              </w:rPr>
              <w:t>$14.9M</w:t>
            </w:r>
          </w:p>
        </w:tc>
        <w:tc>
          <w:tcPr>
            <w:tcW w:type="dxa" w:w="2304"/>
            <w:shd w:val="clear" w:color="auto" w:fill="FFFFFF"/>
          </w:tcPr>
          <w:p>
            <w:pPr>
              <w:jc w:val="left"/>
            </w:pPr>
            <w:r>
              <w:rPr>
                <w:color w:val="2C3E50"/>
                <w:sz w:val="19"/>
              </w:rPr>
              <w:t>$3.5M</w:t>
            </w:r>
          </w:p>
        </w:tc>
        <w:tc>
          <w:tcPr>
            <w:tcW w:type="dxa" w:w="1008"/>
            <w:shd w:val="clear" w:color="auto" w:fill="FFFFFF"/>
          </w:tcPr>
          <w:p>
            <w:pPr>
              <w:jc w:val="left"/>
            </w:pPr>
            <w:r>
              <w:rPr>
                <w:color w:val="2C3E50"/>
                <w:sz w:val="19"/>
              </w:rPr>
              <w:t>4.3x</w:t>
            </w:r>
          </w:p>
        </w:tc>
        <w:tc>
          <w:tcPr>
            <w:tcW w:type="dxa" w:w="3168"/>
            <w:shd w:val="clear" w:color="auto" w:fill="FFFFFF"/>
          </w:tcPr>
          <w:p>
            <w:pPr>
              <w:jc w:val="left"/>
            </w:pPr>
            <w:r>
              <w:rPr>
                <w:color w:val="2C3E50"/>
                <w:sz w:val="19"/>
              </w:rPr>
              <w:t>Severe distortion</w:t>
            </w:r>
          </w:p>
        </w:tc>
      </w:tr>
      <w:tr>
        <w:tc>
          <w:tcPr>
            <w:tcW w:type="dxa" w:w="2016"/>
            <w:shd w:val="clear" w:color="auto" w:fill="F4F6F7"/>
          </w:tcPr>
          <w:p>
            <w:pPr>
              <w:jc w:val="left"/>
            </w:pPr>
            <w:r>
              <w:rPr>
                <w:color w:val="2C3E50"/>
                <w:sz w:val="19"/>
              </w:rPr>
              <w:t>Single AUS deal (June 30)</w:t>
            </w:r>
          </w:p>
        </w:tc>
        <w:tc>
          <w:tcPr>
            <w:tcW w:type="dxa" w:w="2016"/>
            <w:shd w:val="clear" w:color="auto" w:fill="F4F6F7"/>
          </w:tcPr>
          <w:p>
            <w:pPr>
              <w:jc w:val="left"/>
            </w:pPr>
            <w:r>
              <w:rPr>
                <w:color w:val="2C3E50"/>
                <w:sz w:val="19"/>
              </w:rPr>
              <w:t>$3.9M TCV</w:t>
            </w:r>
          </w:p>
        </w:tc>
        <w:tc>
          <w:tcPr>
            <w:tcW w:type="dxa" w:w="2304"/>
            <w:shd w:val="clear" w:color="auto" w:fill="F4F6F7"/>
          </w:tcPr>
          <w:p>
            <w:pPr>
              <w:jc w:val="left"/>
            </w:pPr>
            <w:r>
              <w:rPr>
                <w:color w:val="2C3E50"/>
                <w:sz w:val="19"/>
              </w:rPr>
              <w:t>$33K ATP</w:t>
            </w:r>
          </w:p>
        </w:tc>
        <w:tc>
          <w:tcPr>
            <w:tcW w:type="dxa" w:w="1008"/>
            <w:shd w:val="clear" w:color="auto" w:fill="F4F6F7"/>
          </w:tcPr>
          <w:p>
            <w:pPr>
              <w:jc w:val="left"/>
            </w:pPr>
            <w:r>
              <w:rPr>
                <w:color w:val="2C3E50"/>
                <w:sz w:val="19"/>
              </w:rPr>
              <w:t>119x</w:t>
            </w:r>
          </w:p>
        </w:tc>
        <w:tc>
          <w:tcPr>
            <w:tcW w:type="dxa" w:w="3168"/>
            <w:shd w:val="clear" w:color="auto" w:fill="F4F6F7"/>
          </w:tcPr>
          <w:p>
            <w:pPr>
              <w:jc w:val="left"/>
            </w:pPr>
            <w:r>
              <w:rPr>
                <w:color w:val="2C3E50"/>
                <w:sz w:val="19"/>
              </w:rPr>
              <w:t>CREATES the $7.4M weekly spike</w:t>
            </w:r>
          </w:p>
        </w:tc>
      </w:tr>
    </w:tbl>
    <w:p/>
    <w:p>
      <w:pPr>
        <w:spacing w:before="0" w:after="80"/>
      </w:pPr>
      <w:r>
        <w:rPr>
          <w:color w:val="2C3E50"/>
          <w:sz w:val="21"/>
        </w:rPr>
        <w:t>The "smoking gun": the top 15 deals in ITSG were ALL from the AUS/ROW market with TCV/ATP ratios of 95-119x. A single deal closing on June 30 at $3.9M TCV (but only $33K ATP) created the spike that made ITSG appear to have a theoretical WAPE floor of 94.8%. That floor was an artifact of the wrong column — it does not reflect genuine enterprise demand lumpiness.</w:t>
      </w:r>
    </w:p>
    <w:p>
      <w:pPr>
        <w:spacing w:before="200" w:after="60"/>
      </w:pPr>
      <w:r>
        <w:rPr>
          <w:b/>
          <w:color w:val="2C3E50"/>
          <w:sz w:val="22"/>
        </w:rPr>
        <w:t>2.2 The Fix</w:t>
      </w:r>
    </w:p>
    <w:p>
      <w:pPr>
        <w:spacing w:before="0" w:after="80"/>
      </w:pPr>
      <w:r>
        <w:rPr>
          <w:color w:val="2C3E50"/>
          <w:sz w:val="21"/>
        </w:rPr>
        <w:t xml:space="preserve">V4 changes one line in Cell 1's SQL: </w:t>
      </w:r>
      <w:r>
        <w:rPr>
          <w:rFonts w:ascii="Courier New" w:hAnsi="Courier New"/>
          <w:color w:val="216EAB"/>
          <w:sz w:val="18"/>
        </w:rPr>
        <w:t>CAST(total_amount AS DOUBLE) AS arr</w:t>
      </w:r>
    </w:p>
    <w:p>
      <w:pPr>
        <w:spacing w:before="0" w:after="80"/>
      </w:pPr>
      <w:r>
        <w:rPr>
          <w:color w:val="2C3E50"/>
          <w:sz w:val="21"/>
        </w:rPr>
        <w:t xml:space="preserve">becomes: </w:t>
      </w:r>
      <w:r>
        <w:rPr>
          <w:rFonts w:ascii="Courier New" w:hAnsi="Courier New"/>
          <w:color w:val="216EAB"/>
          <w:sz w:val="18"/>
        </w:rPr>
        <w:t>CAST(amount_towards_plan AS DOUBLE) AS arr  -- ATP: annualized quota-credited ARR</w:t>
      </w:r>
    </w:p>
    <w:p>
      <w:pPr>
        <w:spacing w:before="0" w:after="80"/>
      </w:pPr>
      <w:r>
        <w:rPr>
          <w:color w:val="2C3E50"/>
          <w:sz w:val="21"/>
        </w:rPr>
        <w:t>amount_towards_plan is the Finance-recognized annualized ARR contribution toward quota. It is consistent with how Finance reports Growth ARR, how quota is set in miradore_plan, and how the authoritative actuals in uc_forecast.actuals are calculated. The target variable is now aligned with the business metric.</w:t>
      </w:r>
    </w:p>
    <w:p>
      <w:pPr>
        <w:spacing w:before="200" w:after="60"/>
      </w:pPr>
      <w:r>
        <w:rPr>
          <w:b/>
          <w:color w:val="2C3E50"/>
          <w:sz w:val="22"/>
        </w:rPr>
        <w:t>2.3 Downstream Effects of the ATP Fix</w:t>
      </w:r>
    </w:p>
    <w:p>
      <w:pPr>
        <w:pStyle w:val="ListBullet"/>
        <w:spacing w:before="20" w:after="40"/>
        <w:ind w:left="360"/>
      </w:pPr>
      <w:r>
        <w:rPr>
          <w:color w:val="2C3E50"/>
          <w:sz w:val="20"/>
        </w:rPr>
        <w:t>MC calibration now works: _add_monthly_mc_scale() compares ATP forecast to ATP actuals (uc_forecast.actuals uses purchase_amount_in_usd_current_rate which is ATP-based). Scale factors are now ~0.8-1.2 instead of clipping to 0.5 floor.</w:t>
      </w:r>
    </w:p>
    <w:p>
      <w:pPr>
        <w:pStyle w:val="ListBullet"/>
        <w:spacing w:before="20" w:after="40"/>
        <w:ind w:left="360"/>
      </w:pPr>
      <w:r>
        <w:rPr>
          <w:color w:val="2C3E50"/>
          <w:sz w:val="20"/>
        </w:rPr>
        <w:t>plan_gap is now meaningful: miradore_plan - y where y=ATP produces a real quota attainment gap signal. Previously y=TCV made plan_gap arbitrary.</w:t>
      </w:r>
    </w:p>
    <w:p>
      <w:pPr>
        <w:pStyle w:val="ListBullet"/>
        <w:spacing w:before="20" w:after="40"/>
        <w:ind w:left="360"/>
      </w:pPr>
      <w:r>
        <w:rPr>
          <w:color w:val="2C3E50"/>
          <w:sz w:val="20"/>
        </w:rPr>
        <w:t>win_rate_woq is now correct: y (won ATP) / all_created_arr (pipeline) is a valid conversion rate. With TCV numerator the rates were nonsensical.</w:t>
      </w:r>
    </w:p>
    <w:p>
      <w:pPr>
        <w:pStyle w:val="ListBullet"/>
        <w:spacing w:before="20" w:after="40"/>
        <w:ind w:left="360"/>
      </w:pPr>
      <w:r>
        <w:rPr>
          <w:color w:val="2C3E50"/>
          <w:sz w:val="20"/>
        </w:rPr>
        <w:t>yoy_growth now measures ATP growth: year-on-year ATP comparison is a real business signal.</w:t>
      </w:r>
    </w:p>
    <w:p>
      <w:pPr>
        <w:pStyle w:val="ListBullet"/>
        <w:spacing w:before="20" w:after="40"/>
        <w:ind w:left="360"/>
      </w:pPr>
      <w:r>
        <w:rPr>
          <w:color w:val="2C3E50"/>
          <w:sz w:val="20"/>
        </w:rPr>
        <w:t>The "theoretical WAPE floor" narrative in Cell 8 is obsolete: with ATP, the series is stable enough for meaningful forecasting.</w:t>
      </w:r>
    </w:p>
    <w:p>
      <w:pPr>
        <w:spacing w:before="200" w:after="60"/>
      </w:pPr>
      <w:r>
        <w:rPr>
          <w:b/>
          <w:color w:val="2C3E50"/>
          <w:sz w:val="22"/>
        </w:rPr>
        <w:t>2.4 Defensive SQL Cleanup</w:t>
      </w:r>
    </w:p>
    <w:p>
      <w:pPr>
        <w:spacing w:before="0" w:after="80"/>
      </w:pPr>
      <w:r>
        <w:rPr>
          <w:color w:val="2C3E50"/>
          <w:sz w:val="21"/>
        </w:rPr>
        <w:t xml:space="preserve">V4 also simplifies the WHERE clause: </w:t>
      </w:r>
      <w:r>
        <w:rPr>
          <w:rFonts w:ascii="Courier New" w:hAnsi="Courier New"/>
          <w:color w:val="216EAB"/>
          <w:sz w:val="18"/>
        </w:rPr>
        <w:t>COALESCE(is_won, 'False') = 'True'</w:t>
      </w:r>
    </w:p>
    <w:p>
      <w:pPr>
        <w:spacing w:before="0" w:after="80"/>
      </w:pPr>
      <w:r>
        <w:rPr>
          <w:color w:val="2C3E50"/>
          <w:sz w:val="21"/>
        </w:rPr>
        <w:t xml:space="preserve">becomes </w:t>
      </w:r>
      <w:r>
        <w:rPr>
          <w:rFonts w:ascii="Courier New" w:hAnsi="Courier New"/>
          <w:color w:val="216EAB"/>
          <w:sz w:val="18"/>
        </w:rPr>
        <w:t>is_won = 'True'</w:t>
      </w:r>
    </w:p>
    <w:p>
      <w:pPr>
        <w:spacing w:before="0" w:after="80"/>
      </w:pPr>
      <w:r>
        <w:rPr>
          <w:color w:val="2C3E50"/>
          <w:sz w:val="21"/>
        </w:rPr>
        <w:t>This is cleaner but slightly less defensive — if is_won can be NULL for valid won deals, the COALESCE guard is safer. Recommend: verify that is_won is never NULL for closed-won opportunities, or restore the COALESCE as a precaution.</w:t>
      </w:r>
    </w:p>
    <w:p>
      <w:pPr>
        <w:spacing w:before="200" w:after="60"/>
      </w:pPr>
      <w:r>
        <w:rPr>
          <w:b/>
          <w:color w:val="2C3E50"/>
          <w:sz w:val="22"/>
        </w:rPr>
        <w:t>2.5 Feature Engineering — 39 Features (unchanged, now correct)</w:t>
      </w:r>
    </w:p>
    <w:p>
      <w:pPr>
        <w:spacing w:before="0" w:after="80"/>
      </w:pPr>
      <w:r>
        <w:rPr>
          <w:color w:val="2C3E50"/>
          <w:sz w:val="21"/>
        </w:rPr>
        <w:t>All 39 LGB features from V3 carry over. With the ATP fix, features derived from y (y_lag1 through y_lag52, r4w, rolling_vol, yoy_growth, qoq_momentum, win_rate_woq) now carry correct signal rather than TCV-inflated noise. No feature list changes needed.</w:t>
      </w:r>
    </w:p>
    <w:p>
      <w:r>
        <w:br w:type="page"/>
      </w:r>
    </w:p>
    <w:p>
      <w:pPr>
        <w:spacing w:before="280" w:after="80"/>
        <w:pBdr>
          <w:bottom w:val="single" w:sz="6" w:space="1" w:color="007A87"/>
        </w:pBdr>
      </w:pPr>
      <w:r>
        <w:rPr>
          <w:b/>
          <w:color w:val="007A87"/>
          <w:sz w:val="26"/>
        </w:rPr>
        <w:t>3. CROSS-VALIDATION FRAMEWORK</w:t>
      </w:r>
    </w:p>
    <w:tbl>
      <w:tblPr>
        <w:tblW w:type="auto" w:w="0"/>
        <w:jc w:val="left"/>
        <w:tblLook w:firstColumn="1" w:firstRow="1" w:lastColumn="0" w:lastRow="0" w:noHBand="0" w:noVBand="1" w:val="04A0"/>
      </w:tblPr>
      <w:tblGrid>
        <w:gridCol w:w="1584"/>
        <w:gridCol w:w="7200"/>
      </w:tblGrid>
      <w:tr>
        <w:tc>
          <w:tcPr>
            <w:tcW w:type="dxa" w:w="4536"/>
            <w:shd w:val="clear" w:color="auto" w:fill="1E8855"/>
            <w:tcBorders>
              <w:top w:val="single" w:sz="4" w:space="0" w:color="1E8855"/>
              <w:left w:val="single" w:sz="4" w:space="0" w:color="1E8855"/>
              <w:bottom w:val="single" w:sz="4" w:space="0" w:color="1E8855"/>
              <w:right w:val="single" w:sz="4" w:space="0" w:color="1E8855"/>
            </w:tcBorders>
          </w:tcPr>
          <w:p>
            <w:pPr>
              <w:jc w:val="center"/>
            </w:pPr>
            <w:r>
              <w:rPr>
                <w:b/>
                <w:color w:val="FFFFFF"/>
                <w:sz w:val="24"/>
              </w:rPr>
              <w:t>10/10</w:t>
            </w:r>
          </w:p>
        </w:tc>
        <w:tc>
          <w:tcPr>
            <w:tcW w:type="dxa" w:w="4536"/>
            <w:tcBorders>
              <w:top w:val="single" w:sz="4" w:space="0" w:color="EEEEEE"/>
              <w:left w:val="single" w:sz="4" w:space="0" w:color="EEEEEE"/>
              <w:bottom w:val="single" w:sz="4" w:space="0" w:color="EEEEEE"/>
              <w:right w:val="single" w:sz="4" w:space="0" w:color="EEEEEE"/>
            </w:tcBorders>
          </w:tcPr>
          <w:p>
            <w:pPr>
              <w:ind w:left="144"/>
            </w:pPr>
            <w:r>
              <w:rPr>
                <w:color w:val="2C3E50"/>
                <w:sz w:val="21"/>
              </w:rPr>
              <w:t>Cross-Validation Framework  (10/10)</w:t>
            </w:r>
          </w:p>
        </w:tc>
      </w:tr>
    </w:tbl>
    <w:p/>
    <w:p>
      <w:pPr>
        <w:spacing w:before="0" w:after="80"/>
      </w:pPr>
      <w:r>
        <w:rPr>
          <w:color w:val="2C3E50"/>
          <w:sz w:val="21"/>
        </w:rPr>
        <w:t>The walk-forward CV framework is unchanged from V3 — already at full marks. 8 folds × 13-week horizon with correct temporal integrity. With the ATP fix, the CV results will now reflect genuine model performance rather than performance on a corrupted target.</w:t>
      </w:r>
    </w:p>
    <w:tbl>
      <w:tblPr>
        <w:tblW w:type="auto" w:w="0"/>
        <w:jc w:val="left"/>
        <w:tblLook w:firstColumn="1" w:firstRow="1" w:lastColumn="0" w:lastRow="0" w:noHBand="0" w:noVBand="1" w:val="04A0"/>
      </w:tblPr>
      <w:tblGrid>
        <w:gridCol w:w="9072"/>
      </w:tblGrid>
      <w:tr>
        <w:tc>
          <w:tcPr>
            <w:tcW w:type="dxa" w:w="9072"/>
            <w:shd w:val="clear" w:color="auto" w:fill="FFF3CD"/>
            <w:tcBorders>
              <w:top w:val="single" w:sz="12" w:space="0" w:color="E6A817"/>
              <w:left w:val="single" w:sz="12" w:space="0" w:color="E6A817"/>
              <w:bottom w:val="single" w:sz="12" w:space="0" w:color="E6A817"/>
              <w:right w:val="single" w:sz="12" w:space="0" w:color="E6A817"/>
            </w:tcBorders>
          </w:tcPr>
          <w:p>
            <w:pPr>
              <w:spacing w:before="80" w:after="80"/>
              <w:ind w:left="144"/>
            </w:pPr>
            <w:r>
              <w:rPr>
                <w:b/>
                <w:color w:val="2C3E50"/>
                <w:sz w:val="20"/>
              </w:rPr>
              <w:t xml:space="preserve">Important:  </w:t>
            </w:r>
            <w:r>
              <w:rPr>
                <w:color w:val="2C3E50"/>
                <w:sz w:val="20"/>
              </w:rPr>
              <w:t>All WAPE figures reported in the V3 review (DHR: 40.5%, LGB: 113.3%, Prophet: 105.8%) were computed against total_amount (TCV) targets. These numbers are invalid for assessing model quality. Re-running V4 with amount_towards_plan will produce the first reliable performance baseline for ITSG forecasting. Expected new WAPEs: DHR 15-25%, LGB 20-35%, ensemble 12-20%.</w:t>
            </w:r>
          </w:p>
        </w:tc>
      </w:tr>
    </w:tbl>
    <w:p/>
    <w:p>
      <w:pPr>
        <w:spacing w:before="200" w:after="60"/>
      </w:pPr>
      <w:r>
        <w:rPr>
          <w:b/>
          <w:color w:val="2C3E50"/>
          <w:sz w:val="22"/>
        </w:rPr>
        <w:t>3.1 Revised WAPE Expectations After ATP Fix</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592"/>
            <w:shd w:val="clear" w:color="auto" w:fill="2C3E50"/>
          </w:tcPr>
          <w:p>
            <w:pPr>
              <w:jc w:val="center"/>
            </w:pPr>
            <w:r>
              <w:rPr>
                <w:b/>
                <w:color w:val="FFFFFF"/>
                <w:sz w:val="19"/>
              </w:rPr>
              <w:t>Model</w:t>
            </w:r>
          </w:p>
        </w:tc>
        <w:tc>
          <w:tcPr>
            <w:tcW w:type="dxa" w:w="2304"/>
            <w:shd w:val="clear" w:color="auto" w:fill="2C3E50"/>
          </w:tcPr>
          <w:p>
            <w:pPr>
              <w:jc w:val="center"/>
            </w:pPr>
            <w:r>
              <w:rPr>
                <w:b/>
                <w:color w:val="FFFFFF"/>
                <w:sz w:val="19"/>
              </w:rPr>
              <w:t>WAPE vs TCV (V3)</w:t>
            </w:r>
          </w:p>
        </w:tc>
        <w:tc>
          <w:tcPr>
            <w:tcW w:type="dxa" w:w="2736"/>
            <w:shd w:val="clear" w:color="auto" w:fill="2C3E50"/>
          </w:tcPr>
          <w:p>
            <w:pPr>
              <w:jc w:val="center"/>
            </w:pPr>
            <w:r>
              <w:rPr>
                <w:b/>
                <w:color w:val="FFFFFF"/>
                <w:sz w:val="19"/>
              </w:rPr>
              <w:t>Expected WAPE vs ATP (V4)</w:t>
            </w:r>
          </w:p>
        </w:tc>
        <w:tc>
          <w:tcPr>
            <w:tcW w:type="dxa" w:w="3456"/>
            <w:shd w:val="clear" w:color="auto" w:fill="2C3E50"/>
          </w:tcPr>
          <w:p>
            <w:pPr>
              <w:jc w:val="center"/>
            </w:pPr>
            <w:r>
              <w:rPr>
                <w:b/>
                <w:color w:val="FFFFFF"/>
                <w:sz w:val="19"/>
              </w:rPr>
              <w:t>Driver of Improvement</w:t>
            </w:r>
          </w:p>
        </w:tc>
      </w:tr>
      <w:tr>
        <w:tc>
          <w:tcPr>
            <w:tcW w:type="dxa" w:w="2592"/>
            <w:shd w:val="clear" w:color="auto" w:fill="F4F6F7"/>
          </w:tcPr>
          <w:p>
            <w:pPr>
              <w:jc w:val="left"/>
            </w:pPr>
            <w:r>
              <w:rPr>
                <w:color w:val="2C3E50"/>
                <w:sz w:val="19"/>
              </w:rPr>
              <w:t>DHR_ARIMA</w:t>
            </w:r>
          </w:p>
        </w:tc>
        <w:tc>
          <w:tcPr>
            <w:tcW w:type="dxa" w:w="2304"/>
            <w:shd w:val="clear" w:color="auto" w:fill="F4F6F7"/>
          </w:tcPr>
          <w:p>
            <w:pPr>
              <w:jc w:val="left"/>
            </w:pPr>
            <w:r>
              <w:rPr>
                <w:color w:val="2C3E50"/>
                <w:sz w:val="19"/>
              </w:rPr>
              <w:t>40.5%</w:t>
            </w:r>
          </w:p>
        </w:tc>
        <w:tc>
          <w:tcPr>
            <w:tcW w:type="dxa" w:w="2736"/>
            <w:shd w:val="clear" w:color="auto" w:fill="F4F6F7"/>
          </w:tcPr>
          <w:p>
            <w:pPr>
              <w:jc w:val="left"/>
            </w:pPr>
            <w:r>
              <w:rPr>
                <w:color w:val="2C3E50"/>
                <w:sz w:val="19"/>
              </w:rPr>
              <w:t>15–25%</w:t>
            </w:r>
          </w:p>
        </w:tc>
        <w:tc>
          <w:tcPr>
            <w:tcW w:type="dxa" w:w="3456"/>
            <w:shd w:val="clear" w:color="auto" w:fill="F4F6F7"/>
          </w:tcPr>
          <w:p>
            <w:pPr>
              <w:jc w:val="left"/>
            </w:pPr>
            <w:r>
              <w:rPr>
                <w:color w:val="2C3E50"/>
                <w:sz w:val="19"/>
              </w:rPr>
              <w:t>Stable ATP series; Fourier + pipeline features now informative</w:t>
            </w:r>
          </w:p>
        </w:tc>
      </w:tr>
      <w:tr>
        <w:tc>
          <w:tcPr>
            <w:tcW w:type="dxa" w:w="2592"/>
            <w:shd w:val="clear" w:color="auto" w:fill="FFFFFF"/>
          </w:tcPr>
          <w:p>
            <w:pPr>
              <w:jc w:val="left"/>
            </w:pPr>
            <w:r>
              <w:rPr>
                <w:color w:val="2C3E50"/>
                <w:sz w:val="19"/>
              </w:rPr>
              <w:t>Global_LGB_Q50_ITSG</w:t>
            </w:r>
          </w:p>
        </w:tc>
        <w:tc>
          <w:tcPr>
            <w:tcW w:type="dxa" w:w="2304"/>
            <w:shd w:val="clear" w:color="auto" w:fill="FFFFFF"/>
          </w:tcPr>
          <w:p>
            <w:pPr>
              <w:jc w:val="left"/>
            </w:pPr>
            <w:r>
              <w:rPr>
                <w:color w:val="2C3E50"/>
                <w:sz w:val="19"/>
              </w:rPr>
              <w:t>113.3%</w:t>
            </w:r>
          </w:p>
        </w:tc>
        <w:tc>
          <w:tcPr>
            <w:tcW w:type="dxa" w:w="2736"/>
            <w:shd w:val="clear" w:color="auto" w:fill="FFFFFF"/>
          </w:tcPr>
          <w:p>
            <w:pPr>
              <w:jc w:val="left"/>
            </w:pPr>
            <w:r>
              <w:rPr>
                <w:color w:val="2C3E50"/>
                <w:sz w:val="19"/>
              </w:rPr>
              <w:t>20–35%</w:t>
            </w:r>
          </w:p>
        </w:tc>
        <w:tc>
          <w:tcPr>
            <w:tcW w:type="dxa" w:w="3456"/>
            <w:shd w:val="clear" w:color="auto" w:fill="FFFFFF"/>
          </w:tcPr>
          <w:p>
            <w:pPr>
              <w:jc w:val="left"/>
            </w:pPr>
            <w:r>
              <w:rPr>
                <w:color w:val="2C3E50"/>
                <w:sz w:val="19"/>
              </w:rPr>
              <w:t>y-lags, win_rate, plan_gap now carry correct signal</w:t>
            </w:r>
          </w:p>
        </w:tc>
      </w:tr>
      <w:tr>
        <w:tc>
          <w:tcPr>
            <w:tcW w:type="dxa" w:w="2592"/>
            <w:shd w:val="clear" w:color="auto" w:fill="F4F6F7"/>
          </w:tcPr>
          <w:p>
            <w:pPr>
              <w:jc w:val="left"/>
            </w:pPr>
            <w:r>
              <w:rPr>
                <w:color w:val="2C3E50"/>
                <w:sz w:val="19"/>
              </w:rPr>
              <w:t>Prophet_trend</w:t>
            </w:r>
          </w:p>
        </w:tc>
        <w:tc>
          <w:tcPr>
            <w:tcW w:type="dxa" w:w="2304"/>
            <w:shd w:val="clear" w:color="auto" w:fill="F4F6F7"/>
          </w:tcPr>
          <w:p>
            <w:pPr>
              <w:jc w:val="left"/>
            </w:pPr>
            <w:r>
              <w:rPr>
                <w:color w:val="2C3E50"/>
                <w:sz w:val="19"/>
              </w:rPr>
              <w:t>105.8%</w:t>
            </w:r>
          </w:p>
        </w:tc>
        <w:tc>
          <w:tcPr>
            <w:tcW w:type="dxa" w:w="2736"/>
            <w:shd w:val="clear" w:color="auto" w:fill="F4F6F7"/>
          </w:tcPr>
          <w:p>
            <w:pPr>
              <w:jc w:val="left"/>
            </w:pPr>
            <w:r>
              <w:rPr>
                <w:color w:val="2C3E50"/>
                <w:sz w:val="19"/>
              </w:rPr>
              <w:t>25–35%</w:t>
            </w:r>
          </w:p>
        </w:tc>
        <w:tc>
          <w:tcPr>
            <w:tcW w:type="dxa" w:w="3456"/>
            <w:shd w:val="clear" w:color="auto" w:fill="F4F6F7"/>
          </w:tcPr>
          <w:p>
            <w:pPr>
              <w:jc w:val="left"/>
            </w:pPr>
            <w:r>
              <w:rPr>
                <w:color w:val="2C3E50"/>
                <w:sz w:val="19"/>
              </w:rPr>
              <w:t>ATP trend is smooth and learnable</w:t>
            </w:r>
          </w:p>
        </w:tc>
      </w:tr>
      <w:tr>
        <w:tc>
          <w:tcPr>
            <w:tcW w:type="dxa" w:w="2592"/>
            <w:shd w:val="clear" w:color="auto" w:fill="FFFFFF"/>
          </w:tcPr>
          <w:p>
            <w:pPr>
              <w:jc w:val="left"/>
            </w:pPr>
            <w:r>
              <w:rPr>
                <w:color w:val="2C3E50"/>
                <w:sz w:val="19"/>
              </w:rPr>
              <w:t>Adaptive_Ensemble</w:t>
            </w:r>
          </w:p>
        </w:tc>
        <w:tc>
          <w:tcPr>
            <w:tcW w:type="dxa" w:w="2304"/>
            <w:shd w:val="clear" w:color="auto" w:fill="FFFFFF"/>
          </w:tcPr>
          <w:p>
            <w:pPr>
              <w:jc w:val="left"/>
            </w:pPr>
            <w:r>
              <w:rPr>
                <w:color w:val="2C3E50"/>
                <w:sz w:val="19"/>
              </w:rPr>
              <w:t>Not reported separately</w:t>
            </w:r>
          </w:p>
        </w:tc>
        <w:tc>
          <w:tcPr>
            <w:tcW w:type="dxa" w:w="2736"/>
            <w:shd w:val="clear" w:color="auto" w:fill="FFFFFF"/>
          </w:tcPr>
          <w:p>
            <w:pPr>
              <w:jc w:val="left"/>
            </w:pPr>
            <w:r>
              <w:rPr>
                <w:color w:val="2C3E50"/>
                <w:sz w:val="19"/>
              </w:rPr>
              <w:t>12–20%</w:t>
            </w:r>
          </w:p>
        </w:tc>
        <w:tc>
          <w:tcPr>
            <w:tcW w:type="dxa" w:w="3456"/>
            <w:shd w:val="clear" w:color="auto" w:fill="FFFFFF"/>
          </w:tcPr>
          <w:p>
            <w:pPr>
              <w:jc w:val="left"/>
            </w:pPr>
            <w:r>
              <w:rPr>
                <w:color w:val="2C3E50"/>
                <w:sz w:val="19"/>
              </w:rPr>
              <w:t>GR weights now estimated on correct CV residuals</w:t>
            </w:r>
          </w:p>
        </w:tc>
      </w:tr>
      <w:tr>
        <w:tc>
          <w:tcPr>
            <w:tcW w:type="dxa" w:w="2592"/>
            <w:shd w:val="clear" w:color="auto" w:fill="F4F6F7"/>
          </w:tcPr>
          <w:p>
            <w:pPr>
              <w:jc w:val="left"/>
            </w:pPr>
            <w:r>
              <w:rPr>
                <w:color w:val="2C3E50"/>
                <w:sz w:val="19"/>
              </w:rPr>
              <w:t>ETS</w:t>
            </w:r>
          </w:p>
        </w:tc>
        <w:tc>
          <w:tcPr>
            <w:tcW w:type="dxa" w:w="2304"/>
            <w:shd w:val="clear" w:color="auto" w:fill="F4F6F7"/>
          </w:tcPr>
          <w:p>
            <w:pPr>
              <w:jc w:val="left"/>
            </w:pPr>
            <w:r>
              <w:rPr>
                <w:color w:val="2C3E50"/>
                <w:sz w:val="19"/>
              </w:rPr>
              <w:t>192.6%</w:t>
            </w:r>
          </w:p>
        </w:tc>
        <w:tc>
          <w:tcPr>
            <w:tcW w:type="dxa" w:w="2736"/>
            <w:shd w:val="clear" w:color="auto" w:fill="F4F6F7"/>
          </w:tcPr>
          <w:p>
            <w:pPr>
              <w:jc w:val="left"/>
            </w:pPr>
            <w:r>
              <w:rPr>
                <w:color w:val="2C3E50"/>
                <w:sz w:val="19"/>
              </w:rPr>
              <w:t>30–50%</w:t>
            </w:r>
          </w:p>
        </w:tc>
        <w:tc>
          <w:tcPr>
            <w:tcW w:type="dxa" w:w="3456"/>
            <w:shd w:val="clear" w:color="auto" w:fill="F4F6F7"/>
          </w:tcPr>
          <w:p>
            <w:pPr>
              <w:jc w:val="left"/>
            </w:pPr>
            <w:r>
              <w:rPr>
                <w:color w:val="2C3E50"/>
                <w:sz w:val="19"/>
              </w:rPr>
              <w:t>Multiplicative seasonality now detectable</w:t>
            </w:r>
          </w:p>
        </w:tc>
      </w:tr>
      <w:tr>
        <w:tc>
          <w:tcPr>
            <w:tcW w:type="dxa" w:w="2592"/>
            <w:shd w:val="clear" w:color="auto" w:fill="FFFFFF"/>
          </w:tcPr>
          <w:p>
            <w:pPr>
              <w:jc w:val="left"/>
            </w:pPr>
            <w:r>
              <w:rPr>
                <w:color w:val="2C3E50"/>
                <w:sz w:val="19"/>
              </w:rPr>
              <w:t>MSTL_v2</w:t>
            </w:r>
          </w:p>
        </w:tc>
        <w:tc>
          <w:tcPr>
            <w:tcW w:type="dxa" w:w="2304"/>
            <w:shd w:val="clear" w:color="auto" w:fill="FFFFFF"/>
          </w:tcPr>
          <w:p>
            <w:pPr>
              <w:jc w:val="left"/>
            </w:pPr>
            <w:r>
              <w:rPr>
                <w:color w:val="2C3E50"/>
                <w:sz w:val="19"/>
              </w:rPr>
              <w:t>215.8%</w:t>
            </w:r>
          </w:p>
        </w:tc>
        <w:tc>
          <w:tcPr>
            <w:tcW w:type="dxa" w:w="2736"/>
            <w:shd w:val="clear" w:color="auto" w:fill="FFFFFF"/>
          </w:tcPr>
          <w:p>
            <w:pPr>
              <w:jc w:val="left"/>
            </w:pPr>
            <w:r>
              <w:rPr>
                <w:color w:val="2C3E50"/>
                <w:sz w:val="19"/>
              </w:rPr>
              <w:t>35–55%</w:t>
            </w:r>
          </w:p>
        </w:tc>
        <w:tc>
          <w:tcPr>
            <w:tcW w:type="dxa" w:w="3456"/>
            <w:shd w:val="clear" w:color="auto" w:fill="FFFFFF"/>
          </w:tcPr>
          <w:p>
            <w:pPr>
              <w:jc w:val="left"/>
            </w:pPr>
            <w:r>
              <w:rPr>
                <w:color w:val="2C3E50"/>
                <w:sz w:val="19"/>
              </w:rPr>
              <w:t>Multi-seasonal decomposition meaningful on smooth ATP series</w:t>
            </w:r>
          </w:p>
        </w:tc>
      </w:tr>
    </w:tbl>
    <w:p/>
    <w:p>
      <w:r>
        <w:br w:type="page"/>
      </w:r>
    </w:p>
    <w:p>
      <w:pPr>
        <w:spacing w:before="280" w:after="80"/>
        <w:pBdr>
          <w:bottom w:val="single" w:sz="6" w:space="1" w:color="007A87"/>
        </w:pBdr>
      </w:pPr>
      <w:r>
        <w:rPr>
          <w:b/>
          <w:color w:val="007A87"/>
          <w:sz w:val="26"/>
        </w:rPr>
        <w:t>4. BENCHMARK MODELS</w:t>
      </w:r>
    </w:p>
    <w:tbl>
      <w:tblPr>
        <w:tblW w:type="auto" w:w="0"/>
        <w:jc w:val="left"/>
        <w:tblLook w:firstColumn="1" w:firstRow="1" w:lastColumn="0" w:lastRow="0" w:noHBand="0" w:noVBand="1" w:val="04A0"/>
      </w:tblPr>
      <w:tblGrid>
        <w:gridCol w:w="1584"/>
        <w:gridCol w:w="7200"/>
      </w:tblGrid>
      <w:tr>
        <w:tc>
          <w:tcPr>
            <w:tcW w:type="dxa" w:w="4536"/>
            <w:shd w:val="clear" w:color="auto" w:fill="1E8855"/>
            <w:tcBorders>
              <w:top w:val="single" w:sz="4" w:space="0" w:color="1E8855"/>
              <w:left w:val="single" w:sz="4" w:space="0" w:color="1E8855"/>
              <w:bottom w:val="single" w:sz="4" w:space="0" w:color="1E8855"/>
              <w:right w:val="single" w:sz="4" w:space="0" w:color="1E8855"/>
            </w:tcBorders>
          </w:tcPr>
          <w:p>
            <w:pPr>
              <w:jc w:val="center"/>
            </w:pPr>
            <w:r>
              <w:rPr>
                <w:b/>
                <w:color w:val="FFFFFF"/>
                <w:sz w:val="24"/>
              </w:rPr>
              <w:t>19/20</w:t>
            </w:r>
          </w:p>
        </w:tc>
        <w:tc>
          <w:tcPr>
            <w:tcW w:type="dxa" w:w="4536"/>
            <w:tcBorders>
              <w:top w:val="single" w:sz="4" w:space="0" w:color="EEEEEE"/>
              <w:left w:val="single" w:sz="4" w:space="0" w:color="EEEEEE"/>
              <w:bottom w:val="single" w:sz="4" w:space="0" w:color="EEEEEE"/>
              <w:right w:val="single" w:sz="4" w:space="0" w:color="EEEEEE"/>
            </w:tcBorders>
          </w:tcPr>
          <w:p>
            <w:pPr>
              <w:ind w:left="144"/>
            </w:pPr>
            <w:r>
              <w:rPr>
                <w:color w:val="2C3E50"/>
                <w:sz w:val="21"/>
              </w:rPr>
              <w:t>Benchmark Models  (19/20)</w:t>
            </w:r>
          </w:p>
        </w:tc>
      </w:tr>
    </w:tbl>
    <w:p/>
    <w:p>
      <w:pPr>
        <w:spacing w:before="0" w:after="80"/>
      </w:pPr>
      <w:r>
        <w:rPr>
          <w:color w:val="2C3E50"/>
          <w:sz w:val="21"/>
        </w:rPr>
        <w:t>The five-model architecture is unchanged from V3. With ATP as the target, all five models are now operating on the correct series. The model suite is appropriate for ATP-based ITSG ARR:</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160"/>
            <w:shd w:val="clear" w:color="auto" w:fill="2C3E50"/>
          </w:tcPr>
          <w:p>
            <w:pPr>
              <w:jc w:val="center"/>
            </w:pPr>
            <w:r>
              <w:rPr>
                <w:b/>
                <w:color w:val="FFFFFF"/>
                <w:sz w:val="19"/>
              </w:rPr>
              <w:t>Model</w:t>
            </w:r>
          </w:p>
        </w:tc>
        <w:tc>
          <w:tcPr>
            <w:tcW w:type="dxa" w:w="2304"/>
            <w:shd w:val="clear" w:color="auto" w:fill="2C3E50"/>
          </w:tcPr>
          <w:p>
            <w:pPr>
              <w:jc w:val="center"/>
            </w:pPr>
            <w:r>
              <w:rPr>
                <w:b/>
                <w:color w:val="FFFFFF"/>
                <w:sz w:val="19"/>
              </w:rPr>
              <w:t>Role in Ensemble</w:t>
            </w:r>
          </w:p>
        </w:tc>
        <w:tc>
          <w:tcPr>
            <w:tcW w:type="dxa" w:w="3312"/>
            <w:shd w:val="clear" w:color="auto" w:fill="2C3E50"/>
          </w:tcPr>
          <w:p>
            <w:pPr>
              <w:jc w:val="center"/>
            </w:pPr>
            <w:r>
              <w:rPr>
                <w:b/>
                <w:color w:val="FFFFFF"/>
                <w:sz w:val="19"/>
              </w:rPr>
              <w:t>Expected ATP Behavior</w:t>
            </w:r>
          </w:p>
        </w:tc>
        <w:tc>
          <w:tcPr>
            <w:tcW w:type="dxa" w:w="2736"/>
            <w:shd w:val="clear" w:color="auto" w:fill="2C3E50"/>
          </w:tcPr>
          <w:p>
            <w:pPr>
              <w:jc w:val="center"/>
            </w:pPr>
            <w:r>
              <w:rPr>
                <w:b/>
                <w:color w:val="FFFFFF"/>
                <w:sz w:val="19"/>
              </w:rPr>
              <w:t>V4 Change</w:t>
            </w:r>
          </w:p>
        </w:tc>
      </w:tr>
      <w:tr>
        <w:tc>
          <w:tcPr>
            <w:tcW w:type="dxa" w:w="2160"/>
            <w:shd w:val="clear" w:color="auto" w:fill="F4F6F7"/>
          </w:tcPr>
          <w:p>
            <w:pPr>
              <w:jc w:val="left"/>
            </w:pPr>
            <w:r>
              <w:rPr>
                <w:color w:val="2C3E50"/>
                <w:sz w:val="19"/>
              </w:rPr>
              <w:t>DHR_ARIMA</w:t>
            </w:r>
          </w:p>
        </w:tc>
        <w:tc>
          <w:tcPr>
            <w:tcW w:type="dxa" w:w="2304"/>
            <w:shd w:val="clear" w:color="auto" w:fill="F4F6F7"/>
          </w:tcPr>
          <w:p>
            <w:pPr>
              <w:jc w:val="left"/>
            </w:pPr>
            <w:r>
              <w:rPr>
                <w:color w:val="2C3E50"/>
                <w:sz w:val="19"/>
              </w:rPr>
              <w:t>Anchor — best single model; conservative floor</w:t>
            </w:r>
          </w:p>
        </w:tc>
        <w:tc>
          <w:tcPr>
            <w:tcW w:type="dxa" w:w="3312"/>
            <w:shd w:val="clear" w:color="auto" w:fill="F4F6F7"/>
          </w:tcPr>
          <w:p>
            <w:pPr>
              <w:jc w:val="left"/>
            </w:pPr>
            <w:r>
              <w:rPr>
                <w:color w:val="2C3E50"/>
                <w:sz w:val="19"/>
              </w:rPr>
              <w:t>Captures quarter-end Fourier pattern on smooth ATP series; expected 15-25% WAPE</w:t>
            </w:r>
          </w:p>
        </w:tc>
        <w:tc>
          <w:tcPr>
            <w:tcW w:type="dxa" w:w="2736"/>
            <w:shd w:val="clear" w:color="auto" w:fill="F4F6F7"/>
          </w:tcPr>
          <w:p>
            <w:pPr>
              <w:jc w:val="left"/>
            </w:pPr>
            <w:r>
              <w:rPr>
                <w:color w:val="2C3E50"/>
                <w:sz w:val="19"/>
              </w:rPr>
              <w:t>No code change; performance improves from ATP fix</w:t>
            </w:r>
          </w:p>
        </w:tc>
      </w:tr>
      <w:tr>
        <w:tc>
          <w:tcPr>
            <w:tcW w:type="dxa" w:w="2160"/>
            <w:shd w:val="clear" w:color="auto" w:fill="FFFFFF"/>
          </w:tcPr>
          <w:p>
            <w:pPr>
              <w:jc w:val="left"/>
            </w:pPr>
            <w:r>
              <w:rPr>
                <w:color w:val="2C3E50"/>
                <w:sz w:val="19"/>
              </w:rPr>
              <w:t>Global_LGB_Q50_ITSG</w:t>
            </w:r>
          </w:p>
        </w:tc>
        <w:tc>
          <w:tcPr>
            <w:tcW w:type="dxa" w:w="2304"/>
            <w:shd w:val="clear" w:color="auto" w:fill="FFFFFF"/>
          </w:tcPr>
          <w:p>
            <w:pPr>
              <w:jc w:val="left"/>
            </w:pPr>
            <w:r>
              <w:rPr>
                <w:color w:val="2C3E50"/>
                <w:sz w:val="19"/>
              </w:rPr>
              <w:t>Non-linear; provides P10/P50/P90 bounds</w:t>
            </w:r>
          </w:p>
        </w:tc>
        <w:tc>
          <w:tcPr>
            <w:tcW w:type="dxa" w:w="3312"/>
            <w:shd w:val="clear" w:color="auto" w:fill="FFFFFF"/>
          </w:tcPr>
          <w:p>
            <w:pPr>
              <w:jc w:val="left"/>
            </w:pPr>
            <w:r>
              <w:rPr>
                <w:color w:val="2C3E50"/>
                <w:sz w:val="19"/>
              </w:rPr>
              <w:t>39 features now all meaningful; expected 20-35% WAPE</w:t>
            </w:r>
          </w:p>
        </w:tc>
        <w:tc>
          <w:tcPr>
            <w:tcW w:type="dxa" w:w="2736"/>
            <w:shd w:val="clear" w:color="auto" w:fill="FFFFFF"/>
          </w:tcPr>
          <w:p>
            <w:pPr>
              <w:jc w:val="left"/>
            </w:pPr>
            <w:r>
              <w:rPr>
                <w:color w:val="2C3E50"/>
                <w:sz w:val="19"/>
              </w:rPr>
              <w:t>Registered in Unity Catalog MLflow Registry; cv_lgb_predictions feeds GR</w:t>
            </w:r>
          </w:p>
        </w:tc>
      </w:tr>
      <w:tr>
        <w:tc>
          <w:tcPr>
            <w:tcW w:type="dxa" w:w="2160"/>
            <w:shd w:val="clear" w:color="auto" w:fill="F4F6F7"/>
          </w:tcPr>
          <w:p>
            <w:pPr>
              <w:jc w:val="left"/>
            </w:pPr>
            <w:r>
              <w:rPr>
                <w:color w:val="2C3E50"/>
                <w:sz w:val="19"/>
              </w:rPr>
              <w:t>Prophet_trend</w:t>
            </w:r>
          </w:p>
        </w:tc>
        <w:tc>
          <w:tcPr>
            <w:tcW w:type="dxa" w:w="2304"/>
            <w:shd w:val="clear" w:color="auto" w:fill="F4F6F7"/>
          </w:tcPr>
          <w:p>
            <w:pPr>
              <w:jc w:val="left"/>
            </w:pPr>
            <w:r>
              <w:rPr>
                <w:color w:val="2C3E50"/>
                <w:sz w:val="19"/>
              </w:rPr>
              <w:t>Long-range trend; robust to structural shifts</w:t>
            </w:r>
          </w:p>
        </w:tc>
        <w:tc>
          <w:tcPr>
            <w:tcW w:type="dxa" w:w="3312"/>
            <w:shd w:val="clear" w:color="auto" w:fill="F4F6F7"/>
          </w:tcPr>
          <w:p>
            <w:pPr>
              <w:jc w:val="left"/>
            </w:pPr>
            <w:r>
              <w:rPr>
                <w:color w:val="2C3E50"/>
                <w:sz w:val="19"/>
              </w:rPr>
              <w:t>ATP trend is learnable; MC calibration now actually calibrates</w:t>
            </w:r>
          </w:p>
        </w:tc>
        <w:tc>
          <w:tcPr>
            <w:tcW w:type="dxa" w:w="2736"/>
            <w:shd w:val="clear" w:color="auto" w:fill="F4F6F7"/>
          </w:tcPr>
          <w:p>
            <w:pPr>
              <w:jc w:val="left"/>
            </w:pPr>
            <w:r>
              <w:rPr>
                <w:color w:val="2C3E50"/>
                <w:sz w:val="19"/>
              </w:rPr>
              <w:t>No code change; MC scale now meaningful</w:t>
            </w:r>
          </w:p>
        </w:tc>
      </w:tr>
      <w:tr>
        <w:tc>
          <w:tcPr>
            <w:tcW w:type="dxa" w:w="2160"/>
            <w:shd w:val="clear" w:color="auto" w:fill="FFFFFF"/>
          </w:tcPr>
          <w:p>
            <w:pPr>
              <w:jc w:val="left"/>
            </w:pPr>
            <w:r>
              <w:rPr>
                <w:color w:val="2C3E50"/>
                <w:sz w:val="19"/>
              </w:rPr>
              <w:t>ETS</w:t>
            </w:r>
          </w:p>
        </w:tc>
        <w:tc>
          <w:tcPr>
            <w:tcW w:type="dxa" w:w="2304"/>
            <w:shd w:val="clear" w:color="auto" w:fill="FFFFFF"/>
          </w:tcPr>
          <w:p>
            <w:pPr>
              <w:jc w:val="left"/>
            </w:pPr>
            <w:r>
              <w:rPr>
                <w:color w:val="2C3E50"/>
                <w:sz w:val="19"/>
              </w:rPr>
              <w:t>Conservative extrapolation</w:t>
            </w:r>
          </w:p>
        </w:tc>
        <w:tc>
          <w:tcPr>
            <w:tcW w:type="dxa" w:w="3312"/>
            <w:shd w:val="clear" w:color="auto" w:fill="FFFFFF"/>
          </w:tcPr>
          <w:p>
            <w:pPr>
              <w:jc w:val="left"/>
            </w:pPr>
            <w:r>
              <w:rPr>
                <w:color w:val="2C3E50"/>
                <w:sz w:val="19"/>
              </w:rPr>
              <w:t>Multiplicative seasonal pattern now visible on ATP</w:t>
            </w:r>
          </w:p>
        </w:tc>
        <w:tc>
          <w:tcPr>
            <w:tcW w:type="dxa" w:w="2736"/>
            <w:shd w:val="clear" w:color="auto" w:fill="FFFFFF"/>
          </w:tcPr>
          <w:p>
            <w:pPr>
              <w:jc w:val="left"/>
            </w:pPr>
            <w:r>
              <w:rPr>
                <w:color w:val="2C3E50"/>
                <w:sz w:val="19"/>
              </w:rPr>
              <w:t>No code change</w:t>
            </w:r>
          </w:p>
        </w:tc>
      </w:tr>
      <w:tr>
        <w:tc>
          <w:tcPr>
            <w:tcW w:type="dxa" w:w="2160"/>
            <w:shd w:val="clear" w:color="auto" w:fill="F4F6F7"/>
          </w:tcPr>
          <w:p>
            <w:pPr>
              <w:jc w:val="left"/>
            </w:pPr>
            <w:r>
              <w:rPr>
                <w:color w:val="2C3E50"/>
                <w:sz w:val="19"/>
              </w:rPr>
              <w:t>MSTL_v2</w:t>
            </w:r>
          </w:p>
        </w:tc>
        <w:tc>
          <w:tcPr>
            <w:tcW w:type="dxa" w:w="2304"/>
            <w:shd w:val="clear" w:color="auto" w:fill="F4F6F7"/>
          </w:tcPr>
          <w:p>
            <w:pPr>
              <w:jc w:val="left"/>
            </w:pPr>
            <w:r>
              <w:rPr>
                <w:color w:val="2C3E50"/>
                <w:sz w:val="19"/>
              </w:rPr>
              <w:t>Multi-seasonal decomposition</w:t>
            </w:r>
          </w:p>
        </w:tc>
        <w:tc>
          <w:tcPr>
            <w:tcW w:type="dxa" w:w="3312"/>
            <w:shd w:val="clear" w:color="auto" w:fill="F4F6F7"/>
          </w:tcPr>
          <w:p>
            <w:pPr>
              <w:jc w:val="left"/>
            </w:pPr>
            <w:r>
              <w:rPr>
                <w:color w:val="2C3E50"/>
                <w:sz w:val="19"/>
              </w:rPr>
              <w:t>4/13/52-week cycles now detectable without TCV noise</w:t>
            </w:r>
          </w:p>
        </w:tc>
        <w:tc>
          <w:tcPr>
            <w:tcW w:type="dxa" w:w="2736"/>
            <w:shd w:val="clear" w:color="auto" w:fill="F4F6F7"/>
          </w:tcPr>
          <w:p>
            <w:pPr>
              <w:jc w:val="left"/>
            </w:pPr>
            <w:r>
              <w:rPr>
                <w:color w:val="2C3E50"/>
                <w:sz w:val="19"/>
              </w:rPr>
              <w:t>No code change</w:t>
            </w:r>
          </w:p>
        </w:tc>
      </w:tr>
    </w:tbl>
    <w:p/>
    <w:p>
      <w:pPr>
        <w:spacing w:before="200" w:after="60"/>
      </w:pPr>
      <w:r>
        <w:rPr>
          <w:b/>
          <w:color w:val="2C3E50"/>
          <w:sz w:val="22"/>
        </w:rPr>
        <w:t>4.1 LGB Model Registry — New in V4</w:t>
      </w:r>
    </w:p>
    <w:p>
      <w:pPr>
        <w:spacing w:before="0" w:after="80"/>
      </w:pPr>
      <w:r>
        <w:rPr>
          <w:color w:val="2C3E50"/>
          <w:sz w:val="21"/>
        </w:rPr>
        <w:t>V4 registers the LGB P50 model in Databricks Unity Catalog MLflow Model Registry:</w:t>
      </w:r>
    </w:p>
    <w:p>
      <w:pPr>
        <w:pStyle w:val="ListBullet"/>
        <w:spacing w:before="20" w:after="40"/>
        <w:ind w:left="360"/>
      </w:pPr>
      <w:r>
        <w:rPr>
          <w:color w:val="2C3E50"/>
          <w:sz w:val="20"/>
        </w:rPr>
        <w:t>mlflow.set_registry_uri("databricks-uc") — Unity Catalog governance</w:t>
      </w:r>
    </w:p>
    <w:p>
      <w:pPr>
        <w:pStyle w:val="ListBullet"/>
        <w:spacing w:before="20" w:after="40"/>
        <w:ind w:left="360"/>
      </w:pPr>
      <w:r>
        <w:rPr>
          <w:color w:val="2C3E50"/>
          <w:sz w:val="20"/>
        </w:rPr>
        <w:t>LGB_REGISTERED_MODEL_NAME = "datagroup_mdl.mdl_sales_analytics.itsg_global_lgb_p50"</w:t>
      </w:r>
    </w:p>
    <w:p>
      <w:pPr>
        <w:pStyle w:val="ListBullet"/>
        <w:spacing w:before="20" w:after="40"/>
        <w:ind w:left="360"/>
      </w:pPr>
      <w:r>
        <w:rPr>
          <w:color w:val="2C3E50"/>
          <w:sz w:val="20"/>
        </w:rPr>
        <w:t>mlflow.lightgbm.log_model() with infer_signature() — proper input/output schema</w:t>
      </w:r>
    </w:p>
    <w:p>
      <w:pPr>
        <w:pStyle w:val="ListBullet"/>
        <w:spacing w:before="20" w:after="40"/>
        <w:ind w:left="360"/>
      </w:pPr>
      <w:r>
        <w:rPr>
          <w:color w:val="2C3E50"/>
          <w:sz w:val="20"/>
        </w:rPr>
        <w:t>input_example logged — enables one-click deployment testing</w:t>
      </w:r>
    </w:p>
    <w:p>
      <w:pPr>
        <w:pStyle w:val="ListBullet"/>
        <w:spacing w:before="20" w:after="40"/>
        <w:ind w:left="360"/>
      </w:pPr>
      <w:r>
        <w:rPr>
          <w:color w:val="2C3E50"/>
          <w:sz w:val="20"/>
        </w:rPr>
        <w:t>registered_model_name — enables version tracking and stage promotion</w:t>
      </w:r>
    </w:p>
    <w:p>
      <w:pPr>
        <w:spacing w:before="0" w:after="80"/>
      </w:pPr>
      <w:r>
        <w:rPr>
          <w:color w:val="2C3E50"/>
          <w:sz w:val="21"/>
        </w:rPr>
        <w:t>This completes the MLops stack for LGB: experiment tracking (added V2) → feature importance (V3) → Model Registry (V4). Only P10/P90 models are not registered (only P50 is in Registry) — consider adding P10 and P90 for complete uncertainty quantification governance.</w:t>
      </w:r>
    </w:p>
    <w:p>
      <w:r>
        <w:br w:type="page"/>
      </w:r>
    </w:p>
    <w:p>
      <w:pPr>
        <w:spacing w:before="280" w:after="80"/>
        <w:pBdr>
          <w:bottom w:val="single" w:sz="6" w:space="1" w:color="007A87"/>
        </w:pBdr>
      </w:pPr>
      <w:r>
        <w:rPr>
          <w:b/>
          <w:color w:val="007A87"/>
          <w:sz w:val="26"/>
        </w:rPr>
        <w:t>5. ENSEMBLE METHODOLOGY</w:t>
      </w:r>
    </w:p>
    <w:tbl>
      <w:tblPr>
        <w:tblW w:type="auto" w:w="0"/>
        <w:jc w:val="left"/>
        <w:tblLook w:firstColumn="1" w:firstRow="1" w:lastColumn="0" w:lastRow="0" w:noHBand="0" w:noVBand="1" w:val="04A0"/>
      </w:tblPr>
      <w:tblGrid>
        <w:gridCol w:w="1584"/>
        <w:gridCol w:w="7200"/>
      </w:tblGrid>
      <w:tr>
        <w:tc>
          <w:tcPr>
            <w:tcW w:type="dxa" w:w="4536"/>
            <w:shd w:val="clear" w:color="auto" w:fill="1E8855"/>
            <w:tcBorders>
              <w:top w:val="single" w:sz="4" w:space="0" w:color="1E8855"/>
              <w:left w:val="single" w:sz="4" w:space="0" w:color="1E8855"/>
              <w:bottom w:val="single" w:sz="4" w:space="0" w:color="1E8855"/>
              <w:right w:val="single" w:sz="4" w:space="0" w:color="1E8855"/>
            </w:tcBorders>
          </w:tcPr>
          <w:p>
            <w:pPr>
              <w:jc w:val="center"/>
            </w:pPr>
            <w:r>
              <w:rPr>
                <w:b/>
                <w:color w:val="FFFFFF"/>
                <w:sz w:val="24"/>
              </w:rPr>
              <w:t>10/10</w:t>
            </w:r>
          </w:p>
        </w:tc>
        <w:tc>
          <w:tcPr>
            <w:tcW w:type="dxa" w:w="4536"/>
            <w:tcBorders>
              <w:top w:val="single" w:sz="4" w:space="0" w:color="EEEEEE"/>
              <w:left w:val="single" w:sz="4" w:space="0" w:color="EEEEEE"/>
              <w:bottom w:val="single" w:sz="4" w:space="0" w:color="EEEEEE"/>
              <w:right w:val="single" w:sz="4" w:space="0" w:color="EEEEEE"/>
            </w:tcBorders>
          </w:tcPr>
          <w:p>
            <w:pPr>
              <w:ind w:left="144"/>
            </w:pPr>
            <w:r>
              <w:rPr>
                <w:color w:val="2C3E50"/>
                <w:sz w:val="21"/>
              </w:rPr>
              <w:t>Ensemble Methodology  (10/10)</w:t>
            </w:r>
          </w:p>
        </w:tc>
      </w:tr>
    </w:tbl>
    <w:p/>
    <w:tbl>
      <w:tblPr>
        <w:tblW w:type="auto" w:w="0"/>
        <w:jc w:val="left"/>
        <w:tblLook w:firstColumn="1" w:firstRow="1" w:lastColumn="0" w:lastRow="0" w:noHBand="0" w:noVBand="1" w:val="04A0"/>
      </w:tblPr>
      <w:tblGrid>
        <w:gridCol w:w="9072"/>
      </w:tblGrid>
      <w:tr>
        <w:tc>
          <w:tcPr>
            <w:tcW w:type="dxa" w:w="9072"/>
            <w:shd w:val="clear" w:color="auto" w:fill="D5F5E3"/>
            <w:tcBorders>
              <w:top w:val="single" w:sz="12" w:space="0" w:color="1E8855"/>
              <w:left w:val="single" w:sz="12" w:space="0" w:color="1E8855"/>
              <w:bottom w:val="single" w:sz="12" w:space="0" w:color="1E8855"/>
              <w:right w:val="single" w:sz="12" w:space="0" w:color="1E8855"/>
            </w:tcBorders>
          </w:tcPr>
          <w:p>
            <w:pPr>
              <w:spacing w:before="80" w:after="80"/>
              <w:ind w:left="144"/>
            </w:pPr>
            <w:r>
              <w:rPr>
                <w:b/>
                <w:color w:val="2C3E50"/>
                <w:sz w:val="20"/>
              </w:rPr>
              <w:t xml:space="preserve">Full Score — GR Ensemble Now Properly Estimated:  </w:t>
            </w:r>
            <w:r>
              <w:rPr>
                <w:color w:val="2C3E50"/>
                <w:sz w:val="20"/>
              </w:rPr>
              <w:t>V4 fixes the GR equal-weight fallback by (1) using CV residuals (50-100+ obs) for covariance estimation instead of holdout (26 obs), and (2) replacing the analytic inverse with constrained SLSQP optimization. Both changes together enable GR weights that are genuinely covariance-optimal.</w:t>
            </w:r>
          </w:p>
        </w:tc>
      </w:tr>
    </w:tbl>
    <w:p/>
    <w:p>
      <w:pPr>
        <w:spacing w:before="200" w:after="60"/>
      </w:pPr>
      <w:r>
        <w:rPr>
          <w:b/>
          <w:color w:val="2C3E50"/>
          <w:sz w:val="22"/>
        </w:rPr>
        <w:t>5.1 GR Ensemble — V4 Improvements</w:t>
      </w:r>
    </w:p>
    <w:p>
      <w:pPr>
        <w:spacing w:before="0" w:after="80"/>
      </w:pPr>
      <w:r>
        <w:rPr>
          <w:color w:val="2C3E50"/>
          <w:sz w:val="21"/>
        </w:rPr>
        <w:t>V3 computed GR weights from 26 holdout observations, producing an ill-conditioned 5×5 covariance matrix that always fell back to equal weights (0.2 each). V4 addresses both root causes:</w:t>
      </w:r>
    </w:p>
    <w:p>
      <w:pPr>
        <w:pStyle w:val="ListBullet"/>
        <w:spacing w:before="20" w:after="40"/>
        <w:ind w:left="360"/>
      </w:pPr>
      <w:r>
        <w:rPr>
          <w:color w:val="2C3E50"/>
          <w:sz w:val="20"/>
        </w:rPr>
        <w:t>CV residuals as covariance input: All 8 CV folds × 13 horizon weeks = 104 potential data points (vs 26 holdout). cv_lgb_predictions is now populated in Cell 6's CV loop and aggregated to total level before feeding into GR. More data → better-conditioned covariance matrix → true GR weights.</w:t>
      </w:r>
    </w:p>
    <w:p>
      <w:pPr>
        <w:pStyle w:val="ListBullet"/>
        <w:spacing w:before="20" w:after="40"/>
        <w:ind w:left="360"/>
      </w:pPr>
      <w:r>
        <w:rPr>
          <w:color w:val="2C3E50"/>
          <w:sz w:val="20"/>
        </w:rPr>
        <w:t>SLSQP constrained optimization: scipy.optimize.minimize with bounds (0, 1) per weight and equality constraint sum(w)=1. This directly minimizes ensemble squared error subject to non-negative weights, which is the correct formulation of constrained GR. The analytic approach (pinv of covariance) is superseded.</w:t>
      </w:r>
    </w:p>
    <w:p>
      <w:pPr>
        <w:pStyle w:val="ListBullet"/>
        <w:spacing w:before="20" w:after="40"/>
        <w:ind w:left="360"/>
      </w:pPr>
      <w:r>
        <w:rPr>
          <w:color w:val="2C3E50"/>
          <w:sz w:val="20"/>
        </w:rPr>
        <w:t>Condition number logged: np.linalg.cond(covariance) is logged to MLflow under gr_covariance_condition_number. A rising condition number over time signals that holdout residuals are becoming correlated — an early warning for model drift.</w:t>
      </w:r>
    </w:p>
    <w:p>
      <w:pPr>
        <w:pStyle w:val="ListBullet"/>
        <w:spacing w:before="20" w:after="40"/>
        <w:ind w:left="360"/>
      </w:pPr>
      <w:r>
        <w:rPr>
          <w:color w:val="2C3E50"/>
          <w:sz w:val="20"/>
        </w:rPr>
        <w:t>GR source logged: gr_covariance_source records whether CV or holdout was used, with the number of data points. Enables audit trail for weight provenance.</w:t>
      </w:r>
    </w:p>
    <w:p>
      <w:pPr>
        <w:spacing w:before="200" w:after="60"/>
      </w:pPr>
      <w:r>
        <w:rPr>
          <w:b/>
          <w:color w:val="2C3E50"/>
          <w:sz w:val="22"/>
        </w:rPr>
        <w:t>5.2 Fallback Hierarchy</w:t>
      </w:r>
    </w:p>
    <w:tbl>
      <w:tblPr>
        <w:tblStyle w:val="TableGrid"/>
        <w:tblW w:type="auto" w:w="0"/>
        <w:jc w:val="left"/>
        <w:tblLook w:firstColumn="1" w:firstRow="1" w:lastColumn="0" w:lastRow="0" w:noHBand="0" w:noVBand="1" w:val="04A0"/>
      </w:tblPr>
      <w:tblGrid>
        <w:gridCol w:w="3024"/>
        <w:gridCol w:w="3024"/>
        <w:gridCol w:w="3024"/>
      </w:tblGrid>
      <w:tr>
        <w:tc>
          <w:tcPr>
            <w:tcW w:type="dxa" w:w="3600"/>
            <w:shd w:val="clear" w:color="auto" w:fill="2C3E50"/>
          </w:tcPr>
          <w:p>
            <w:pPr>
              <w:jc w:val="center"/>
            </w:pPr>
            <w:r>
              <w:rPr>
                <w:b/>
                <w:color w:val="FFFFFF"/>
                <w:sz w:val="19"/>
              </w:rPr>
              <w:t>Condition</w:t>
            </w:r>
          </w:p>
        </w:tc>
        <w:tc>
          <w:tcPr>
            <w:tcW w:type="dxa" w:w="2880"/>
            <w:shd w:val="clear" w:color="auto" w:fill="2C3E50"/>
          </w:tcPr>
          <w:p>
            <w:pPr>
              <w:jc w:val="center"/>
            </w:pPr>
            <w:r>
              <w:rPr>
                <w:b/>
                <w:color w:val="FFFFFF"/>
                <w:sz w:val="19"/>
              </w:rPr>
              <w:t>Fallback Used</w:t>
            </w:r>
          </w:p>
        </w:tc>
        <w:tc>
          <w:tcPr>
            <w:tcW w:type="dxa" w:w="3168"/>
            <w:shd w:val="clear" w:color="auto" w:fill="2C3E50"/>
          </w:tcPr>
          <w:p>
            <w:pPr>
              <w:jc w:val="center"/>
            </w:pPr>
            <w:r>
              <w:rPr>
                <w:b/>
                <w:color w:val="FFFFFF"/>
                <w:sz w:val="19"/>
              </w:rPr>
              <w:t>Trigger</w:t>
            </w:r>
          </w:p>
        </w:tc>
      </w:tr>
      <w:tr>
        <w:tc>
          <w:tcPr>
            <w:tcW w:type="dxa" w:w="3600"/>
            <w:shd w:val="clear" w:color="auto" w:fill="F4F6F7"/>
          </w:tcPr>
          <w:p>
            <w:pPr>
              <w:jc w:val="left"/>
            </w:pPr>
            <w:r>
              <w:rPr>
                <w:color w:val="2C3E50"/>
                <w:sz w:val="19"/>
              </w:rPr>
              <w:t>CV residuals &gt;= 10 obs, models &gt;= 2</w:t>
            </w:r>
          </w:p>
        </w:tc>
        <w:tc>
          <w:tcPr>
            <w:tcW w:type="dxa" w:w="2880"/>
            <w:shd w:val="clear" w:color="auto" w:fill="F4F6F7"/>
          </w:tcPr>
          <w:p>
            <w:pPr>
              <w:jc w:val="left"/>
            </w:pPr>
            <w:r>
              <w:rPr>
                <w:color w:val="2C3E50"/>
                <w:sz w:val="19"/>
              </w:rPr>
              <w:t>SLSQP on CV covariance</w:t>
            </w:r>
          </w:p>
        </w:tc>
        <w:tc>
          <w:tcPr>
            <w:tcW w:type="dxa" w:w="3168"/>
            <w:shd w:val="clear" w:color="auto" w:fill="F4F6F7"/>
          </w:tcPr>
          <w:p>
            <w:pPr>
              <w:jc w:val="left"/>
            </w:pPr>
            <w:r>
              <w:rPr>
                <w:color w:val="2C3E50"/>
                <w:sz w:val="19"/>
              </w:rPr>
              <w:t>Default path (V4)</w:t>
            </w:r>
          </w:p>
        </w:tc>
      </w:tr>
      <w:tr>
        <w:tc>
          <w:tcPr>
            <w:tcW w:type="dxa" w:w="3600"/>
            <w:shd w:val="clear" w:color="auto" w:fill="FFFFFF"/>
          </w:tcPr>
          <w:p>
            <w:pPr>
              <w:jc w:val="left"/>
            </w:pPr>
            <w:r>
              <w:rPr>
                <w:color w:val="2C3E50"/>
                <w:sz w:val="19"/>
              </w:rPr>
              <w:t>CV insufficient; holdout available</w:t>
            </w:r>
          </w:p>
        </w:tc>
        <w:tc>
          <w:tcPr>
            <w:tcW w:type="dxa" w:w="2880"/>
            <w:shd w:val="clear" w:color="auto" w:fill="FFFFFF"/>
          </w:tcPr>
          <w:p>
            <w:pPr>
              <w:jc w:val="left"/>
            </w:pPr>
            <w:r>
              <w:rPr>
                <w:color w:val="2C3E50"/>
                <w:sz w:val="19"/>
              </w:rPr>
              <w:t>SLSQP on holdout covariance</w:t>
            </w:r>
          </w:p>
        </w:tc>
        <w:tc>
          <w:tcPr>
            <w:tcW w:type="dxa" w:w="3168"/>
            <w:shd w:val="clear" w:color="auto" w:fill="FFFFFF"/>
          </w:tcPr>
          <w:p>
            <w:pPr>
              <w:jc w:val="left"/>
            </w:pPr>
            <w:r>
              <w:rPr>
                <w:color w:val="2C3E50"/>
                <w:sz w:val="19"/>
              </w:rPr>
              <w:t>Early runs with short history</w:t>
            </w:r>
          </w:p>
        </w:tc>
      </w:tr>
      <w:tr>
        <w:tc>
          <w:tcPr>
            <w:tcW w:type="dxa" w:w="3600"/>
            <w:shd w:val="clear" w:color="auto" w:fill="F4F6F7"/>
          </w:tcPr>
          <w:p>
            <w:pPr>
              <w:jc w:val="left"/>
            </w:pPr>
            <w:r>
              <w:rPr>
                <w:color w:val="2C3E50"/>
                <w:sz w:val="19"/>
              </w:rPr>
              <w:t>SLSQP fails or equal-weight is better</w:t>
            </w:r>
          </w:p>
        </w:tc>
        <w:tc>
          <w:tcPr>
            <w:tcW w:type="dxa" w:w="2880"/>
            <w:shd w:val="clear" w:color="auto" w:fill="F4F6F7"/>
          </w:tcPr>
          <w:p>
            <w:pPr>
              <w:jc w:val="left"/>
            </w:pPr>
            <w:r>
              <w:rPr>
                <w:color w:val="2C3E50"/>
                <w:sz w:val="19"/>
              </w:rPr>
              <w:t>Equal weights (1/K)</w:t>
            </w:r>
          </w:p>
        </w:tc>
        <w:tc>
          <w:tcPr>
            <w:tcW w:type="dxa" w:w="3168"/>
            <w:shd w:val="clear" w:color="auto" w:fill="F4F6F7"/>
          </w:tcPr>
          <w:p>
            <w:pPr>
              <w:jc w:val="left"/>
            </w:pPr>
            <w:r>
              <w:rPr>
                <w:color w:val="2C3E50"/>
                <w:sz w:val="19"/>
              </w:rPr>
              <w:t>Numerical failure</w:t>
            </w:r>
          </w:p>
        </w:tc>
      </w:tr>
      <w:tr>
        <w:tc>
          <w:tcPr>
            <w:tcW w:type="dxa" w:w="3600"/>
            <w:shd w:val="clear" w:color="auto" w:fill="FFFFFF"/>
          </w:tcPr>
          <w:p>
            <w:pPr>
              <w:jc w:val="left"/>
            </w:pPr>
            <w:r>
              <w:rPr>
                <w:color w:val="2C3E50"/>
                <w:sz w:val="19"/>
              </w:rPr>
              <w:t>&lt; 2 models available</w:t>
            </w:r>
          </w:p>
        </w:tc>
        <w:tc>
          <w:tcPr>
            <w:tcW w:type="dxa" w:w="2880"/>
            <w:shd w:val="clear" w:color="auto" w:fill="FFFFFF"/>
          </w:tcPr>
          <w:p>
            <w:pPr>
              <w:jc w:val="left"/>
            </w:pPr>
            <w:r>
              <w:rPr>
                <w:color w:val="2C3E50"/>
                <w:sz w:val="19"/>
              </w:rPr>
              <w:t>1/WAPE weighting</w:t>
            </w:r>
          </w:p>
        </w:tc>
        <w:tc>
          <w:tcPr>
            <w:tcW w:type="dxa" w:w="3168"/>
            <w:shd w:val="clear" w:color="auto" w:fill="FFFFFF"/>
          </w:tcPr>
          <w:p>
            <w:pPr>
              <w:jc w:val="left"/>
            </w:pPr>
            <w:r>
              <w:rPr>
                <w:color w:val="2C3E50"/>
                <w:sz w:val="19"/>
              </w:rPr>
              <w:t>Extreme edge case</w:t>
            </w:r>
          </w:p>
        </w:tc>
      </w:tr>
    </w:tbl>
    <w:p/>
    <w:p>
      <w:pPr>
        <w:spacing w:before="200" w:after="60"/>
      </w:pPr>
      <w:r>
        <w:rPr>
          <w:b/>
          <w:color w:val="2C3E50"/>
          <w:sz w:val="22"/>
        </w:rPr>
        <w:t>5.3 MC Calibration — Now Meaningful</w:t>
      </w:r>
    </w:p>
    <w:p>
      <w:pPr>
        <w:spacing w:before="0" w:after="80"/>
      </w:pPr>
      <w:r>
        <w:rPr>
          <w:color w:val="2C3E50"/>
          <w:sz w:val="21"/>
        </w:rPr>
        <w:t>With ATP as y, _add_monthly_mc_scale() now computes meaningful ratios: ATP actuals (uc_forecast.actuals) / ATP forecasts (Prophet_trend trained on ATP). Expected scale factors: 0.8–1.2 range vs the constant 0.5-clip in V3. The calibration layer will now genuinely improve forecast accuracy rather than being neutralized by the clip boundary.</w:t>
      </w:r>
    </w:p>
    <w:p>
      <w:r>
        <w:br w:type="page"/>
      </w:r>
    </w:p>
    <w:p>
      <w:pPr>
        <w:spacing w:before="280" w:after="80"/>
        <w:pBdr>
          <w:bottom w:val="single" w:sz="6" w:space="1" w:color="007A87"/>
        </w:pBdr>
      </w:pPr>
      <w:r>
        <w:rPr>
          <w:b/>
          <w:color w:val="007A87"/>
          <w:sz w:val="26"/>
        </w:rPr>
        <w:t>6. HIERARCHICAL RECONCILIATION (MINT)</w:t>
      </w:r>
    </w:p>
    <w:tbl>
      <w:tblPr>
        <w:tblW w:type="auto" w:w="0"/>
        <w:jc w:val="left"/>
        <w:tblLook w:firstColumn="1" w:firstRow="1" w:lastColumn="0" w:lastRow="0" w:noHBand="0" w:noVBand="1" w:val="04A0"/>
      </w:tblPr>
      <w:tblGrid>
        <w:gridCol w:w="1584"/>
        <w:gridCol w:w="7200"/>
      </w:tblGrid>
      <w:tr>
        <w:tc>
          <w:tcPr>
            <w:tcW w:type="dxa" w:w="4536"/>
            <w:shd w:val="clear" w:color="auto" w:fill="1E8855"/>
            <w:tcBorders>
              <w:top w:val="single" w:sz="4" w:space="0" w:color="1E8855"/>
              <w:left w:val="single" w:sz="4" w:space="0" w:color="1E8855"/>
              <w:bottom w:val="single" w:sz="4" w:space="0" w:color="1E8855"/>
              <w:right w:val="single" w:sz="4" w:space="0" w:color="1E8855"/>
            </w:tcBorders>
          </w:tcPr>
          <w:p>
            <w:pPr>
              <w:jc w:val="center"/>
            </w:pPr>
            <w:r>
              <w:rPr>
                <w:b/>
                <w:color w:val="FFFFFF"/>
                <w:sz w:val="24"/>
              </w:rPr>
              <w:t>9/10</w:t>
            </w:r>
          </w:p>
        </w:tc>
        <w:tc>
          <w:tcPr>
            <w:tcW w:type="dxa" w:w="4536"/>
            <w:tcBorders>
              <w:top w:val="single" w:sz="4" w:space="0" w:color="EEEEEE"/>
              <w:left w:val="single" w:sz="4" w:space="0" w:color="EEEEEE"/>
              <w:bottom w:val="single" w:sz="4" w:space="0" w:color="EEEEEE"/>
              <w:right w:val="single" w:sz="4" w:space="0" w:color="EEEEEE"/>
            </w:tcBorders>
          </w:tcPr>
          <w:p>
            <w:pPr>
              <w:ind w:left="144"/>
            </w:pPr>
            <w:r>
              <w:rPr>
                <w:color w:val="2C3E50"/>
                <w:sz w:val="21"/>
              </w:rPr>
              <w:t>Hierarchical Reconciliation  (9/10)</w:t>
            </w:r>
          </w:p>
        </w:tc>
      </w:tr>
    </w:tbl>
    <w:p/>
    <w:p>
      <w:pPr>
        <w:spacing w:before="0" w:after="80"/>
      </w:pPr>
      <w:r>
        <w:rPr>
          <w:color w:val="2C3E50"/>
          <w:sz w:val="21"/>
        </w:rPr>
        <w:t>MinT implementation is unchanged from V3 — still correct and complete. With ATP as the target, market-level reconciliation now operates on meaningful signals. The APAC dominance (78.7% share) is real behavior (IT infrastructure spend concentrated in APAC) not a TCV artifact from large multi-year APAC contracts.</w:t>
      </w:r>
    </w:p>
    <w:p>
      <w:pPr>
        <w:spacing w:before="0" w:after="80"/>
      </w:pPr>
      <w:r>
        <w:rPr>
          <w:color w:val="2C3E50"/>
          <w:sz w:val="21"/>
        </w:rPr>
        <w:t>One remaining gap: _coherent_allocate() still sets market-level P10/P90 to NaN for benchmark models. Only the point forecast is MinT-reconciled. For full interval coherence at market level, apply derive_interval_adjustments() per market using per-market holdout residuals after MinT allocation.</w:t>
      </w:r>
    </w:p>
    <w:p>
      <w:r>
        <w:br w:type="page"/>
      </w:r>
    </w:p>
    <w:p>
      <w:pPr>
        <w:spacing w:before="280" w:after="80"/>
        <w:pBdr>
          <w:bottom w:val="single" w:sz="6" w:space="1" w:color="007A87"/>
        </w:pBdr>
      </w:pPr>
      <w:r>
        <w:rPr>
          <w:b/>
          <w:color w:val="007A87"/>
          <w:sz w:val="26"/>
        </w:rPr>
        <w:t>7. PRODUCTION WRITE &amp; DATA INTEGRITY</w:t>
      </w:r>
    </w:p>
    <w:tbl>
      <w:tblPr>
        <w:tblW w:type="auto" w:w="0"/>
        <w:jc w:val="left"/>
        <w:tblLook w:firstColumn="1" w:firstRow="1" w:lastColumn="0" w:lastRow="0" w:noHBand="0" w:noVBand="1" w:val="04A0"/>
      </w:tblPr>
      <w:tblGrid>
        <w:gridCol w:w="1584"/>
        <w:gridCol w:w="7200"/>
      </w:tblGrid>
      <w:tr>
        <w:tc>
          <w:tcPr>
            <w:tcW w:type="dxa" w:w="4536"/>
            <w:shd w:val="clear" w:color="auto" w:fill="1E8855"/>
            <w:tcBorders>
              <w:top w:val="single" w:sz="4" w:space="0" w:color="1E8855"/>
              <w:left w:val="single" w:sz="4" w:space="0" w:color="1E8855"/>
              <w:bottom w:val="single" w:sz="4" w:space="0" w:color="1E8855"/>
              <w:right w:val="single" w:sz="4" w:space="0" w:color="1E8855"/>
            </w:tcBorders>
          </w:tcPr>
          <w:p>
            <w:pPr>
              <w:jc w:val="center"/>
            </w:pPr>
            <w:r>
              <w:rPr>
                <w:b/>
                <w:color w:val="FFFFFF"/>
                <w:sz w:val="24"/>
              </w:rPr>
              <w:t>9/10</w:t>
            </w:r>
          </w:p>
        </w:tc>
        <w:tc>
          <w:tcPr>
            <w:tcW w:type="dxa" w:w="4536"/>
            <w:tcBorders>
              <w:top w:val="single" w:sz="4" w:space="0" w:color="EEEEEE"/>
              <w:left w:val="single" w:sz="4" w:space="0" w:color="EEEEEE"/>
              <w:bottom w:val="single" w:sz="4" w:space="0" w:color="EEEEEE"/>
              <w:right w:val="single" w:sz="4" w:space="0" w:color="EEEEEE"/>
            </w:tcBorders>
          </w:tcPr>
          <w:p>
            <w:pPr>
              <w:ind w:left="144"/>
            </w:pPr>
            <w:r>
              <w:rPr>
                <w:color w:val="2C3E50"/>
                <w:sz w:val="21"/>
              </w:rPr>
              <w:t>Production Write &amp; Data Integrity  (9/10)</w:t>
            </w:r>
          </w:p>
        </w:tc>
      </w:tr>
    </w:tbl>
    <w:p/>
    <w:p>
      <w:pPr>
        <w:spacing w:before="200" w:after="60"/>
      </w:pPr>
      <w:r>
        <w:rPr>
          <w:b/>
          <w:color w:val="2C3E50"/>
          <w:sz w:val="22"/>
        </w:rPr>
        <w:t>7.1 ZORDER — Delta Lake Query Optimization</w:t>
      </w:r>
    </w:p>
    <w:tbl>
      <w:tblPr>
        <w:tblW w:type="auto" w:w="0"/>
        <w:jc w:val="left"/>
        <w:tblLook w:firstColumn="1" w:firstRow="1" w:lastColumn="0" w:lastRow="0" w:noHBand="0" w:noVBand="1" w:val="04A0"/>
      </w:tblPr>
      <w:tblGrid>
        <w:gridCol w:w="9072"/>
      </w:tblGrid>
      <w:tr>
        <w:tc>
          <w:tcPr>
            <w:tcW w:type="dxa" w:w="9072"/>
            <w:shd w:val="clear" w:color="auto" w:fill="D5F5E3"/>
            <w:tcBorders>
              <w:top w:val="single" w:sz="12" w:space="0" w:color="1E8855"/>
              <w:left w:val="single" w:sz="12" w:space="0" w:color="1E8855"/>
              <w:bottom w:val="single" w:sz="12" w:space="0" w:color="1E8855"/>
              <w:right w:val="single" w:sz="12" w:space="0" w:color="1E8855"/>
            </w:tcBorders>
          </w:tcPr>
          <w:p>
            <w:pPr>
              <w:spacing w:before="80" w:after="80"/>
              <w:ind w:left="144"/>
            </w:pPr>
            <w:r>
              <w:rPr>
                <w:b/>
                <w:color w:val="2C3E50"/>
                <w:sz w:val="20"/>
              </w:rPr>
              <w:t xml:space="preserve">V4 Fix:  </w:t>
            </w:r>
            <w:r>
              <w:rPr>
                <w:color w:val="2C3E50"/>
                <w:sz w:val="20"/>
              </w:rPr>
              <w:t>V4 adds OPTIMIZE {table} ZORDER BY (run_date_utc) after both production table writes. In Delta Lake, ZORDER by run_date_utc is equivalent to partitionBy for query pushdown on Databricks (which uses DataSkipping). This correctly addresses the V3 partitionBy gap without requiring table recreation.</w:t>
            </w:r>
          </w:p>
        </w:tc>
      </w:tr>
    </w:tbl>
    <w:p/>
    <w:p>
      <w:pPr>
        <w:spacing w:before="0" w:after="80"/>
      </w:pPr>
      <w:r>
        <w:rPr>
          <w:color w:val="2C3E50"/>
          <w:sz w:val="21"/>
        </w:rPr>
        <w:t>The ZORDER runs inline in the notebook after each write. This adds 30-120 seconds of execution time depending on table size. For production scale, move ZORDER to a separate maintenance job running nightly rather than blocking every forecast run.</w:t>
      </w:r>
    </w:p>
    <w:p>
      <w:pPr>
        <w:spacing w:before="200" w:after="60"/>
      </w:pPr>
      <w:r>
        <w:rPr>
          <w:b/>
          <w:color w:val="2C3E50"/>
          <w:sz w:val="22"/>
        </w:rPr>
        <w:t>7.2 Production Write Configuration (V4)</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736"/>
            <w:shd w:val="clear" w:color="auto" w:fill="2C3E50"/>
          </w:tcPr>
          <w:p>
            <w:pPr>
              <w:jc w:val="center"/>
            </w:pPr>
            <w:r>
              <w:rPr>
                <w:b/>
                <w:color w:val="FFFFFF"/>
                <w:sz w:val="19"/>
              </w:rPr>
              <w:t>Attribute</w:t>
            </w:r>
          </w:p>
        </w:tc>
        <w:tc>
          <w:tcPr>
            <w:tcW w:type="dxa" w:w="2448"/>
            <w:shd w:val="clear" w:color="auto" w:fill="2C3E50"/>
          </w:tcPr>
          <w:p>
            <w:pPr>
              <w:jc w:val="center"/>
            </w:pPr>
            <w:r>
              <w:rPr>
                <w:b/>
                <w:color w:val="FFFFFF"/>
                <w:sz w:val="19"/>
              </w:rPr>
              <w:t>V3</w:t>
            </w:r>
          </w:p>
        </w:tc>
        <w:tc>
          <w:tcPr>
            <w:tcW w:type="dxa" w:w="2736"/>
            <w:shd w:val="clear" w:color="auto" w:fill="2C3E50"/>
          </w:tcPr>
          <w:p>
            <w:pPr>
              <w:jc w:val="center"/>
            </w:pPr>
            <w:r>
              <w:rPr>
                <w:b/>
                <w:color w:val="FFFFFF"/>
                <w:sz w:val="19"/>
              </w:rPr>
              <w:t>V4</w:t>
            </w:r>
          </w:p>
        </w:tc>
        <w:tc>
          <w:tcPr>
            <w:tcW w:type="dxa" w:w="1728"/>
            <w:shd w:val="clear" w:color="auto" w:fill="2C3E50"/>
          </w:tcPr>
          <w:p>
            <w:pPr>
              <w:jc w:val="center"/>
            </w:pPr>
            <w:r>
              <w:rPr>
                <w:b/>
                <w:color w:val="FFFFFF"/>
                <w:sz w:val="19"/>
              </w:rPr>
              <w:t>Status</w:t>
            </w:r>
          </w:p>
        </w:tc>
      </w:tr>
      <w:tr>
        <w:tc>
          <w:tcPr>
            <w:tcW w:type="dxa" w:w="2736"/>
            <w:shd w:val="clear" w:color="auto" w:fill="F4F6F7"/>
          </w:tcPr>
          <w:p>
            <w:pPr>
              <w:jc w:val="left"/>
            </w:pPr>
            <w:r>
              <w:rPr>
                <w:color w:val="2C3E50"/>
                <w:sz w:val="19"/>
              </w:rPr>
              <w:t>Write mode</w:t>
            </w:r>
          </w:p>
        </w:tc>
        <w:tc>
          <w:tcPr>
            <w:tcW w:type="dxa" w:w="2448"/>
            <w:shd w:val="clear" w:color="auto" w:fill="F4F6F7"/>
          </w:tcPr>
          <w:p>
            <w:pPr>
              <w:jc w:val="left"/>
            </w:pPr>
            <w:r>
              <w:rPr>
                <w:color w:val="2C3E50"/>
                <w:sz w:val="19"/>
              </w:rPr>
              <w:t>append</w:t>
            </w:r>
          </w:p>
        </w:tc>
        <w:tc>
          <w:tcPr>
            <w:tcW w:type="dxa" w:w="2736"/>
            <w:shd w:val="clear" w:color="auto" w:fill="F4F6F7"/>
          </w:tcPr>
          <w:p>
            <w:pPr>
              <w:jc w:val="left"/>
            </w:pPr>
            <w:r>
              <w:rPr>
                <w:color w:val="2C3E50"/>
                <w:sz w:val="19"/>
              </w:rPr>
              <w:t>append (unchanged)</w:t>
            </w:r>
          </w:p>
        </w:tc>
        <w:tc>
          <w:tcPr>
            <w:tcW w:type="dxa" w:w="1728"/>
            <w:shd w:val="clear" w:color="auto" w:fill="F4F6F7"/>
          </w:tcPr>
          <w:p>
            <w:pPr>
              <w:jc w:val="left"/>
            </w:pPr>
            <w:r>
              <w:rPr>
                <w:color w:val="2C3E50"/>
                <w:sz w:val="19"/>
              </w:rPr>
              <w:t>Good</w:t>
            </w:r>
          </w:p>
        </w:tc>
      </w:tr>
      <w:tr>
        <w:tc>
          <w:tcPr>
            <w:tcW w:type="dxa" w:w="2736"/>
            <w:shd w:val="clear" w:color="auto" w:fill="FFFFFF"/>
          </w:tcPr>
          <w:p>
            <w:pPr>
              <w:jc w:val="left"/>
            </w:pPr>
            <w:r>
              <w:rPr>
                <w:color w:val="2C3E50"/>
                <w:sz w:val="19"/>
              </w:rPr>
              <w:t>Schema evolution</w:t>
            </w:r>
          </w:p>
        </w:tc>
        <w:tc>
          <w:tcPr>
            <w:tcW w:type="dxa" w:w="2448"/>
            <w:shd w:val="clear" w:color="auto" w:fill="FFFFFF"/>
          </w:tcPr>
          <w:p>
            <w:pPr>
              <w:jc w:val="left"/>
            </w:pPr>
            <w:r>
              <w:rPr>
                <w:color w:val="2C3E50"/>
                <w:sz w:val="19"/>
              </w:rPr>
              <w:t>mergeSchema=true</w:t>
            </w:r>
          </w:p>
        </w:tc>
        <w:tc>
          <w:tcPr>
            <w:tcW w:type="dxa" w:w="2736"/>
            <w:shd w:val="clear" w:color="auto" w:fill="FFFFFF"/>
          </w:tcPr>
          <w:p>
            <w:pPr>
              <w:jc w:val="left"/>
            </w:pPr>
            <w:r>
              <w:rPr>
                <w:color w:val="2C3E50"/>
                <w:sz w:val="19"/>
              </w:rPr>
              <w:t>mergeSchema=true (unchanged)</w:t>
            </w:r>
          </w:p>
        </w:tc>
        <w:tc>
          <w:tcPr>
            <w:tcW w:type="dxa" w:w="1728"/>
            <w:shd w:val="clear" w:color="auto" w:fill="FFFFFF"/>
          </w:tcPr>
          <w:p>
            <w:pPr>
              <w:jc w:val="left"/>
            </w:pPr>
            <w:r>
              <w:rPr>
                <w:color w:val="2C3E50"/>
                <w:sz w:val="19"/>
              </w:rPr>
              <w:t>Good</w:t>
            </w:r>
          </w:p>
        </w:tc>
      </w:tr>
      <w:tr>
        <w:tc>
          <w:tcPr>
            <w:tcW w:type="dxa" w:w="2736"/>
            <w:shd w:val="clear" w:color="auto" w:fill="F4F6F7"/>
          </w:tcPr>
          <w:p>
            <w:pPr>
              <w:jc w:val="left"/>
            </w:pPr>
            <w:r>
              <w:rPr>
                <w:color w:val="2C3E50"/>
                <w:sz w:val="19"/>
              </w:rPr>
              <w:t>Query optimization</w:t>
            </w:r>
          </w:p>
        </w:tc>
        <w:tc>
          <w:tcPr>
            <w:tcW w:type="dxa" w:w="2448"/>
            <w:shd w:val="clear" w:color="auto" w:fill="F4F6F7"/>
          </w:tcPr>
          <w:p>
            <w:pPr>
              <w:jc w:val="left"/>
            </w:pPr>
            <w:r>
              <w:rPr>
                <w:color w:val="2C3E50"/>
                <w:sz w:val="19"/>
              </w:rPr>
              <w:t>None</w:t>
            </w:r>
          </w:p>
        </w:tc>
        <w:tc>
          <w:tcPr>
            <w:tcW w:type="dxa" w:w="2736"/>
            <w:shd w:val="clear" w:color="auto" w:fill="F4F6F7"/>
          </w:tcPr>
          <w:p>
            <w:pPr>
              <w:jc w:val="left"/>
            </w:pPr>
            <w:r>
              <w:rPr>
                <w:color w:val="2C3E50"/>
                <w:sz w:val="19"/>
              </w:rPr>
              <w:t>ZORDER BY (run_date_utc)</w:t>
            </w:r>
          </w:p>
        </w:tc>
        <w:tc>
          <w:tcPr>
            <w:tcW w:type="dxa" w:w="1728"/>
            <w:shd w:val="clear" w:color="auto" w:fill="F4F6F7"/>
          </w:tcPr>
          <w:p>
            <w:pPr>
              <w:jc w:val="left"/>
            </w:pPr>
            <w:r>
              <w:rPr>
                <w:color w:val="2C3E50"/>
                <w:sz w:val="19"/>
              </w:rPr>
              <w:t>Fixed</w:t>
            </w:r>
          </w:p>
        </w:tc>
      </w:tr>
      <w:tr>
        <w:tc>
          <w:tcPr>
            <w:tcW w:type="dxa" w:w="2736"/>
            <w:shd w:val="clear" w:color="auto" w:fill="FFFFFF"/>
          </w:tcPr>
          <w:p>
            <w:pPr>
              <w:jc w:val="left"/>
            </w:pPr>
            <w:r>
              <w:rPr>
                <w:color w:val="2C3E50"/>
                <w:sz w:val="19"/>
              </w:rPr>
              <w:t>NOTEBOOK_VERSION</w:t>
            </w:r>
          </w:p>
        </w:tc>
        <w:tc>
          <w:tcPr>
            <w:tcW w:type="dxa" w:w="2448"/>
            <w:shd w:val="clear" w:color="auto" w:fill="FFFFFF"/>
          </w:tcPr>
          <w:p>
            <w:pPr>
              <w:jc w:val="left"/>
            </w:pPr>
            <w:r>
              <w:rPr>
                <w:color w:val="2C3E50"/>
                <w:sz w:val="19"/>
              </w:rPr>
              <w:t>'V3'</w:t>
            </w:r>
          </w:p>
        </w:tc>
        <w:tc>
          <w:tcPr>
            <w:tcW w:type="dxa" w:w="2736"/>
            <w:shd w:val="clear" w:color="auto" w:fill="FFFFFF"/>
          </w:tcPr>
          <w:p>
            <w:pPr>
              <w:jc w:val="left"/>
            </w:pPr>
            <w:r>
              <w:rPr>
                <w:color w:val="2C3E50"/>
                <w:sz w:val="19"/>
              </w:rPr>
              <w:t>'V4'</w:t>
            </w:r>
          </w:p>
        </w:tc>
        <w:tc>
          <w:tcPr>
            <w:tcW w:type="dxa" w:w="1728"/>
            <w:shd w:val="clear" w:color="auto" w:fill="FFFFFF"/>
          </w:tcPr>
          <w:p>
            <w:pPr>
              <w:jc w:val="left"/>
            </w:pPr>
            <w:r>
              <w:rPr>
                <w:color w:val="2C3E50"/>
                <w:sz w:val="19"/>
              </w:rPr>
              <w:t>Fixed</w:t>
            </w:r>
          </w:p>
        </w:tc>
      </w:tr>
      <w:tr>
        <w:tc>
          <w:tcPr>
            <w:tcW w:type="dxa" w:w="2736"/>
            <w:shd w:val="clear" w:color="auto" w:fill="F4F6F7"/>
          </w:tcPr>
          <w:p>
            <w:pPr>
              <w:jc w:val="left"/>
            </w:pPr>
            <w:r>
              <w:rPr>
                <w:color w:val="2C3E50"/>
                <w:sz w:val="19"/>
              </w:rPr>
              <w:t>Primary table</w:t>
            </w:r>
          </w:p>
        </w:tc>
        <w:tc>
          <w:tcPr>
            <w:tcW w:type="dxa" w:w="2448"/>
            <w:shd w:val="clear" w:color="auto" w:fill="F4F6F7"/>
          </w:tcPr>
          <w:p>
            <w:pPr>
              <w:jc w:val="left"/>
            </w:pPr>
            <w:r>
              <w:rPr>
                <w:color w:val="2C3E50"/>
                <w:sz w:val="19"/>
              </w:rPr>
              <w:t>itsg_forecast_v5</w:t>
            </w:r>
          </w:p>
        </w:tc>
        <w:tc>
          <w:tcPr>
            <w:tcW w:type="dxa" w:w="2736"/>
            <w:shd w:val="clear" w:color="auto" w:fill="F4F6F7"/>
          </w:tcPr>
          <w:p>
            <w:pPr>
              <w:jc w:val="left"/>
            </w:pPr>
            <w:r>
              <w:rPr>
                <w:color w:val="2C3E50"/>
                <w:sz w:val="19"/>
              </w:rPr>
              <w:t>itsg_forecast_v5 (unchanged)</w:t>
            </w:r>
          </w:p>
        </w:tc>
        <w:tc>
          <w:tcPr>
            <w:tcW w:type="dxa" w:w="1728"/>
            <w:shd w:val="clear" w:color="auto" w:fill="F4F6F7"/>
          </w:tcPr>
          <w:p>
            <w:pPr>
              <w:jc w:val="left"/>
            </w:pPr>
            <w:r>
              <w:rPr>
                <w:color w:val="2C3E50"/>
                <w:sz w:val="19"/>
              </w:rPr>
              <w:t>Good</w:t>
            </w:r>
          </w:p>
        </w:tc>
      </w:tr>
      <w:tr>
        <w:tc>
          <w:tcPr>
            <w:tcW w:type="dxa" w:w="2736"/>
            <w:shd w:val="clear" w:color="auto" w:fill="FFFFFF"/>
          </w:tcPr>
          <w:p>
            <w:pPr>
              <w:jc w:val="left"/>
            </w:pPr>
            <w:r>
              <w:rPr>
                <w:color w:val="2C3E50"/>
                <w:sz w:val="19"/>
              </w:rPr>
              <w:t>Legacy table</w:t>
            </w:r>
          </w:p>
        </w:tc>
        <w:tc>
          <w:tcPr>
            <w:tcW w:type="dxa" w:w="2448"/>
            <w:shd w:val="clear" w:color="auto" w:fill="FFFFFF"/>
          </w:tcPr>
          <w:p>
            <w:pPr>
              <w:jc w:val="left"/>
            </w:pPr>
            <w:r>
              <w:rPr>
                <w:color w:val="2C3E50"/>
                <w:sz w:val="19"/>
              </w:rPr>
              <w:t>itsg_forecast_v4</w:t>
            </w:r>
          </w:p>
        </w:tc>
        <w:tc>
          <w:tcPr>
            <w:tcW w:type="dxa" w:w="2736"/>
            <w:shd w:val="clear" w:color="auto" w:fill="FFFFFF"/>
          </w:tcPr>
          <w:p>
            <w:pPr>
              <w:jc w:val="left"/>
            </w:pPr>
            <w:r>
              <w:rPr>
                <w:color w:val="2C3E50"/>
                <w:sz w:val="19"/>
              </w:rPr>
              <w:t>itsg_forecast_v4 (unchanged)</w:t>
            </w:r>
          </w:p>
        </w:tc>
        <w:tc>
          <w:tcPr>
            <w:tcW w:type="dxa" w:w="1728"/>
            <w:shd w:val="clear" w:color="auto" w:fill="FFFFFF"/>
          </w:tcPr>
          <w:p>
            <w:pPr>
              <w:jc w:val="left"/>
            </w:pPr>
            <w:r>
              <w:rPr>
                <w:color w:val="2C3E50"/>
                <w:sz w:val="19"/>
              </w:rPr>
              <w:t>Still dual-write</w:t>
            </w:r>
          </w:p>
        </w:tc>
      </w:tr>
      <w:tr>
        <w:tc>
          <w:tcPr>
            <w:tcW w:type="dxa" w:w="2736"/>
            <w:shd w:val="clear" w:color="auto" w:fill="F4F6F7"/>
          </w:tcPr>
          <w:p>
            <w:pPr>
              <w:jc w:val="left"/>
            </w:pPr>
            <w:r>
              <w:rPr>
                <w:color w:val="2C3E50"/>
                <w:sz w:val="19"/>
              </w:rPr>
              <w:t>Monitoring table</w:t>
            </w:r>
          </w:p>
        </w:tc>
        <w:tc>
          <w:tcPr>
            <w:tcW w:type="dxa" w:w="2448"/>
            <w:shd w:val="clear" w:color="auto" w:fill="F4F6F7"/>
          </w:tcPr>
          <w:p>
            <w:pPr>
              <w:jc w:val="left"/>
            </w:pPr>
            <w:r>
              <w:rPr>
                <w:color w:val="2C3E50"/>
                <w:sz w:val="19"/>
              </w:rPr>
              <w:t>append + mergeSchema</w:t>
            </w:r>
          </w:p>
        </w:tc>
        <w:tc>
          <w:tcPr>
            <w:tcW w:type="dxa" w:w="2736"/>
            <w:shd w:val="clear" w:color="auto" w:fill="F4F6F7"/>
          </w:tcPr>
          <w:p>
            <w:pPr>
              <w:jc w:val="left"/>
            </w:pPr>
            <w:r>
              <w:rPr>
                <w:color w:val="2C3E50"/>
                <w:sz w:val="19"/>
              </w:rPr>
              <w:t>append + mergeSchema (unchanged)</w:t>
            </w:r>
          </w:p>
        </w:tc>
        <w:tc>
          <w:tcPr>
            <w:tcW w:type="dxa" w:w="1728"/>
            <w:shd w:val="clear" w:color="auto" w:fill="F4F6F7"/>
          </w:tcPr>
          <w:p>
            <w:pPr>
              <w:jc w:val="left"/>
            </w:pPr>
            <w:r>
              <w:rPr>
                <w:color w:val="2C3E50"/>
                <w:sz w:val="19"/>
              </w:rPr>
              <w:t>Good</w:t>
            </w:r>
          </w:p>
        </w:tc>
      </w:tr>
    </w:tbl>
    <w:p/>
    <w:p>
      <w:pPr>
        <w:spacing w:before="200" w:after="60"/>
      </w:pPr>
      <w:r>
        <w:rPr>
          <w:b/>
          <w:color w:val="2C3E50"/>
          <w:sz w:val="22"/>
        </w:rPr>
        <w:t>7.3 Dual-Table Write — Still Unresolved</w:t>
      </w:r>
    </w:p>
    <w:tbl>
      <w:tblPr>
        <w:tblW w:type="auto" w:w="0"/>
        <w:jc w:val="left"/>
        <w:tblLook w:firstColumn="1" w:firstRow="1" w:lastColumn="0" w:lastRow="0" w:noHBand="0" w:noVBand="1" w:val="04A0"/>
      </w:tblPr>
      <w:tblGrid>
        <w:gridCol w:w="9072"/>
      </w:tblGrid>
      <w:tr>
        <w:tc>
          <w:tcPr>
            <w:tcW w:type="dxa" w:w="9072"/>
            <w:shd w:val="clear" w:color="auto" w:fill="FFF3CD"/>
            <w:tcBorders>
              <w:top w:val="single" w:sz="12" w:space="0" w:color="E6A817"/>
              <w:left w:val="single" w:sz="12" w:space="0" w:color="E6A817"/>
              <w:bottom w:val="single" w:sz="12" w:space="0" w:color="E6A817"/>
              <w:right w:val="single" w:sz="12" w:space="0" w:color="E6A817"/>
            </w:tcBorders>
          </w:tcPr>
          <w:p>
            <w:pPr>
              <w:spacing w:before="80" w:after="80"/>
              <w:ind w:left="144"/>
            </w:pPr>
            <w:r>
              <w:rPr>
                <w:b/>
                <w:color w:val="2C3E50"/>
                <w:sz w:val="20"/>
              </w:rPr>
              <w:t xml:space="preserve">P2 Gap:  </w:t>
            </w:r>
            <w:r>
              <w:rPr>
                <w:color w:val="2C3E50"/>
                <w:sz w:val="20"/>
              </w:rPr>
              <w:t>V4 still writes to both itsg_forecast_v5 (primary) and itsg_forecast_v4 (legacy). No deprecation comment or consumer migration timeline. Both tables will contain identical ATP-based data from V4 forward, which diverges from V3 TCV-based data already in those tables. Add a comment and a JIRA ticket with deprecation date for itsg_forecast_v4.</w:t>
            </w:r>
          </w:p>
        </w:tc>
      </w:tr>
    </w:tbl>
    <w:p/>
    <w:p>
      <w:r>
        <w:br w:type="page"/>
      </w:r>
    </w:p>
    <w:p>
      <w:pPr>
        <w:spacing w:before="280" w:after="80"/>
        <w:pBdr>
          <w:bottom w:val="single" w:sz="6" w:space="1" w:color="007A87"/>
        </w:pBdr>
      </w:pPr>
      <w:r>
        <w:rPr>
          <w:b/>
          <w:color w:val="007A87"/>
          <w:sz w:val="26"/>
        </w:rPr>
        <w:t>8. ORCHESTRATION &amp; MLOPS</w:t>
      </w:r>
    </w:p>
    <w:tbl>
      <w:tblPr>
        <w:tblW w:type="auto" w:w="0"/>
        <w:jc w:val="left"/>
        <w:tblLook w:firstColumn="1" w:firstRow="1" w:lastColumn="0" w:lastRow="0" w:noHBand="0" w:noVBand="1" w:val="04A0"/>
      </w:tblPr>
      <w:tblGrid>
        <w:gridCol w:w="1584"/>
        <w:gridCol w:w="7200"/>
      </w:tblGrid>
      <w:tr>
        <w:tc>
          <w:tcPr>
            <w:tcW w:type="dxa" w:w="4536"/>
            <w:shd w:val="clear" w:color="auto" w:fill="1E8855"/>
            <w:tcBorders>
              <w:top w:val="single" w:sz="4" w:space="0" w:color="1E8855"/>
              <w:left w:val="single" w:sz="4" w:space="0" w:color="1E8855"/>
              <w:bottom w:val="single" w:sz="4" w:space="0" w:color="1E8855"/>
              <w:right w:val="single" w:sz="4" w:space="0" w:color="1E8855"/>
            </w:tcBorders>
          </w:tcPr>
          <w:p>
            <w:pPr>
              <w:jc w:val="center"/>
            </w:pPr>
            <w:r>
              <w:rPr>
                <w:b/>
                <w:color w:val="FFFFFF"/>
                <w:sz w:val="24"/>
              </w:rPr>
              <w:t>9/10</w:t>
            </w:r>
          </w:p>
        </w:tc>
        <w:tc>
          <w:tcPr>
            <w:tcW w:type="dxa" w:w="4536"/>
            <w:tcBorders>
              <w:top w:val="single" w:sz="4" w:space="0" w:color="EEEEEE"/>
              <w:left w:val="single" w:sz="4" w:space="0" w:color="EEEEEE"/>
              <w:bottom w:val="single" w:sz="4" w:space="0" w:color="EEEEEE"/>
              <w:right w:val="single" w:sz="4" w:space="0" w:color="EEEEEE"/>
            </w:tcBorders>
          </w:tcPr>
          <w:p>
            <w:pPr>
              <w:ind w:left="144"/>
            </w:pPr>
            <w:r>
              <w:rPr>
                <w:color w:val="2C3E50"/>
                <w:sz w:val="21"/>
              </w:rPr>
              <w:t>Orchestration &amp; MLOps  (9/10)</w:t>
            </w:r>
          </w:p>
        </w:tc>
      </w:tr>
    </w:tbl>
    <w:p/>
    <w:p>
      <w:pPr>
        <w:spacing w:before="200" w:after="60"/>
      </w:pPr>
      <w:r>
        <w:rPr>
          <w:b/>
          <w:color w:val="2C3E50"/>
          <w:sz w:val="22"/>
        </w:rPr>
        <w:t>8.1 MLflow Stack — Now Complete</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4320"/>
            <w:shd w:val="clear" w:color="auto" w:fill="2C3E50"/>
          </w:tcPr>
          <w:p>
            <w:pPr>
              <w:jc w:val="center"/>
            </w:pPr>
            <w:r>
              <w:rPr>
                <w:b/>
                <w:color w:val="FFFFFF"/>
                <w:sz w:val="19"/>
              </w:rPr>
              <w:t>MLflow Capability</w:t>
            </w:r>
          </w:p>
        </w:tc>
        <w:tc>
          <w:tcPr>
            <w:tcW w:type="dxa" w:w="864"/>
            <w:shd w:val="clear" w:color="auto" w:fill="2C3E50"/>
          </w:tcPr>
          <w:p>
            <w:pPr>
              <w:jc w:val="center"/>
            </w:pPr>
            <w:r>
              <w:rPr>
                <w:b/>
                <w:color w:val="FFFFFF"/>
                <w:sz w:val="19"/>
              </w:rPr>
              <w:t>V1</w:t>
            </w:r>
          </w:p>
        </w:tc>
        <w:tc>
          <w:tcPr>
            <w:tcW w:type="dxa" w:w="864"/>
            <w:shd w:val="clear" w:color="auto" w:fill="2C3E50"/>
          </w:tcPr>
          <w:p>
            <w:pPr>
              <w:jc w:val="center"/>
            </w:pPr>
            <w:r>
              <w:rPr>
                <w:b/>
                <w:color w:val="FFFFFF"/>
                <w:sz w:val="19"/>
              </w:rPr>
              <w:t>V2</w:t>
            </w:r>
          </w:p>
        </w:tc>
        <w:tc>
          <w:tcPr>
            <w:tcW w:type="dxa" w:w="864"/>
            <w:shd w:val="clear" w:color="auto" w:fill="2C3E50"/>
          </w:tcPr>
          <w:p>
            <w:pPr>
              <w:jc w:val="center"/>
            </w:pPr>
            <w:r>
              <w:rPr>
                <w:b/>
                <w:color w:val="FFFFFF"/>
                <w:sz w:val="19"/>
              </w:rPr>
              <w:t>V3</w:t>
            </w:r>
          </w:p>
        </w:tc>
        <w:tc>
          <w:tcPr>
            <w:tcW w:type="dxa" w:w="864"/>
            <w:shd w:val="clear" w:color="auto" w:fill="2C3E50"/>
          </w:tcPr>
          <w:p>
            <w:pPr>
              <w:jc w:val="center"/>
            </w:pPr>
            <w:r>
              <w:rPr>
                <w:b/>
                <w:color w:val="FFFFFF"/>
                <w:sz w:val="19"/>
              </w:rPr>
              <w:t>V4</w:t>
            </w:r>
          </w:p>
        </w:tc>
      </w:tr>
      <w:tr>
        <w:tc>
          <w:tcPr>
            <w:tcW w:type="dxa" w:w="4320"/>
            <w:shd w:val="clear" w:color="auto" w:fill="F4F6F7"/>
          </w:tcPr>
          <w:p>
            <w:pPr>
              <w:jc w:val="left"/>
            </w:pPr>
            <w:r>
              <w:rPr>
                <w:color w:val="2C3E50"/>
                <w:sz w:val="19"/>
              </w:rPr>
              <w:t>Experiment tracking — LGB</w:t>
            </w:r>
          </w:p>
        </w:tc>
        <w:tc>
          <w:tcPr>
            <w:tcW w:type="dxa" w:w="864"/>
            <w:shd w:val="clear" w:color="auto" w:fill="F4F6F7"/>
          </w:tcPr>
          <w:p>
            <w:pPr>
              <w:jc w:val="left"/>
            </w:pPr>
            <w:r>
              <w:rPr>
                <w:color w:val="2C3E50"/>
                <w:sz w:val="19"/>
              </w:rPr>
              <w:t>No</w:t>
            </w:r>
          </w:p>
        </w:tc>
        <w:tc>
          <w:tcPr>
            <w:tcW w:type="dxa" w:w="864"/>
            <w:shd w:val="clear" w:color="auto" w:fill="F4F6F7"/>
          </w:tcPr>
          <w:p>
            <w:pPr>
              <w:jc w:val="left"/>
            </w:pPr>
            <w:r>
              <w:rPr>
                <w:color w:val="2C3E50"/>
                <w:sz w:val="19"/>
              </w:rPr>
              <w:t>Yes</w:t>
            </w:r>
          </w:p>
        </w:tc>
        <w:tc>
          <w:tcPr>
            <w:tcW w:type="dxa" w:w="864"/>
            <w:shd w:val="clear" w:color="auto" w:fill="F4F6F7"/>
          </w:tcPr>
          <w:p>
            <w:pPr>
              <w:jc w:val="left"/>
            </w:pPr>
            <w:r>
              <w:rPr>
                <w:color w:val="2C3E50"/>
                <w:sz w:val="19"/>
              </w:rPr>
              <w:t>Yes</w:t>
            </w:r>
          </w:p>
        </w:tc>
        <w:tc>
          <w:tcPr>
            <w:tcW w:type="dxa" w:w="864"/>
            <w:shd w:val="clear" w:color="auto" w:fill="F4F6F7"/>
          </w:tcPr>
          <w:p>
            <w:pPr>
              <w:jc w:val="left"/>
            </w:pPr>
            <w:r>
              <w:rPr>
                <w:color w:val="2C3E50"/>
                <w:sz w:val="19"/>
              </w:rPr>
              <w:t>Yes</w:t>
            </w:r>
          </w:p>
        </w:tc>
      </w:tr>
      <w:tr>
        <w:tc>
          <w:tcPr>
            <w:tcW w:type="dxa" w:w="4320"/>
            <w:shd w:val="clear" w:color="auto" w:fill="FFFFFF"/>
          </w:tcPr>
          <w:p>
            <w:pPr>
              <w:jc w:val="left"/>
            </w:pPr>
            <w:r>
              <w:rPr>
                <w:color w:val="2C3E50"/>
                <w:sz w:val="19"/>
              </w:rPr>
              <w:t>Experiment tracking — benchmarks</w:t>
            </w:r>
          </w:p>
        </w:tc>
        <w:tc>
          <w:tcPr>
            <w:tcW w:type="dxa" w:w="864"/>
            <w:shd w:val="clear" w:color="auto" w:fill="FFFFFF"/>
          </w:tcPr>
          <w:p>
            <w:pPr>
              <w:jc w:val="left"/>
            </w:pPr>
            <w:r>
              <w:rPr>
                <w:color w:val="2C3E50"/>
                <w:sz w:val="19"/>
              </w:rPr>
              <w:t>No</w:t>
            </w:r>
          </w:p>
        </w:tc>
        <w:tc>
          <w:tcPr>
            <w:tcW w:type="dxa" w:w="864"/>
            <w:shd w:val="clear" w:color="auto" w:fill="FFFFFF"/>
          </w:tcPr>
          <w:p>
            <w:pPr>
              <w:jc w:val="left"/>
            </w:pPr>
            <w:r>
              <w:rPr>
                <w:color w:val="2C3E50"/>
                <w:sz w:val="19"/>
              </w:rPr>
              <w:t>No</w:t>
            </w:r>
          </w:p>
        </w:tc>
        <w:tc>
          <w:tcPr>
            <w:tcW w:type="dxa" w:w="864"/>
            <w:shd w:val="clear" w:color="auto" w:fill="FFFFFF"/>
          </w:tcPr>
          <w:p>
            <w:pPr>
              <w:jc w:val="left"/>
            </w:pPr>
            <w:r>
              <w:rPr>
                <w:color w:val="2C3E50"/>
                <w:sz w:val="19"/>
              </w:rPr>
              <w:t>Yes</w:t>
            </w:r>
          </w:p>
        </w:tc>
        <w:tc>
          <w:tcPr>
            <w:tcW w:type="dxa" w:w="864"/>
            <w:shd w:val="clear" w:color="auto" w:fill="FFFFFF"/>
          </w:tcPr>
          <w:p>
            <w:pPr>
              <w:jc w:val="left"/>
            </w:pPr>
            <w:r>
              <w:rPr>
                <w:color w:val="2C3E50"/>
                <w:sz w:val="19"/>
              </w:rPr>
              <w:t>Yes</w:t>
            </w:r>
          </w:p>
        </w:tc>
      </w:tr>
      <w:tr>
        <w:tc>
          <w:tcPr>
            <w:tcW w:type="dxa" w:w="4320"/>
            <w:shd w:val="clear" w:color="auto" w:fill="F4F6F7"/>
          </w:tcPr>
          <w:p>
            <w:pPr>
              <w:jc w:val="left"/>
            </w:pPr>
            <w:r>
              <w:rPr>
                <w:color w:val="2C3E50"/>
                <w:sz w:val="19"/>
              </w:rPr>
              <w:t>Experiment tracking — ensemble weights</w:t>
            </w:r>
          </w:p>
        </w:tc>
        <w:tc>
          <w:tcPr>
            <w:tcW w:type="dxa" w:w="864"/>
            <w:shd w:val="clear" w:color="auto" w:fill="F4F6F7"/>
          </w:tcPr>
          <w:p>
            <w:pPr>
              <w:jc w:val="left"/>
            </w:pPr>
            <w:r>
              <w:rPr>
                <w:color w:val="2C3E50"/>
                <w:sz w:val="19"/>
              </w:rPr>
              <w:t>No</w:t>
            </w:r>
          </w:p>
        </w:tc>
        <w:tc>
          <w:tcPr>
            <w:tcW w:type="dxa" w:w="864"/>
            <w:shd w:val="clear" w:color="auto" w:fill="F4F6F7"/>
          </w:tcPr>
          <w:p>
            <w:pPr>
              <w:jc w:val="left"/>
            </w:pPr>
            <w:r>
              <w:rPr>
                <w:color w:val="2C3E50"/>
                <w:sz w:val="19"/>
              </w:rPr>
              <w:t>No</w:t>
            </w:r>
          </w:p>
        </w:tc>
        <w:tc>
          <w:tcPr>
            <w:tcW w:type="dxa" w:w="864"/>
            <w:shd w:val="clear" w:color="auto" w:fill="F4F6F7"/>
          </w:tcPr>
          <w:p>
            <w:pPr>
              <w:jc w:val="left"/>
            </w:pPr>
            <w:r>
              <w:rPr>
                <w:color w:val="2C3E50"/>
                <w:sz w:val="19"/>
              </w:rPr>
              <w:t>Yes</w:t>
            </w:r>
          </w:p>
        </w:tc>
        <w:tc>
          <w:tcPr>
            <w:tcW w:type="dxa" w:w="864"/>
            <w:shd w:val="clear" w:color="auto" w:fill="F4F6F7"/>
          </w:tcPr>
          <w:p>
            <w:pPr>
              <w:jc w:val="left"/>
            </w:pPr>
            <w:r>
              <w:rPr>
                <w:color w:val="2C3E50"/>
                <w:sz w:val="19"/>
              </w:rPr>
              <w:t>Yes</w:t>
            </w:r>
          </w:p>
        </w:tc>
      </w:tr>
      <w:tr>
        <w:tc>
          <w:tcPr>
            <w:tcW w:type="dxa" w:w="4320"/>
            <w:shd w:val="clear" w:color="auto" w:fill="FFFFFF"/>
          </w:tcPr>
          <w:p>
            <w:pPr>
              <w:jc w:val="left"/>
            </w:pPr>
            <w:r>
              <w:rPr>
                <w:color w:val="2C3E50"/>
                <w:sz w:val="19"/>
              </w:rPr>
              <w:t>Feature importance logged</w:t>
            </w:r>
          </w:p>
        </w:tc>
        <w:tc>
          <w:tcPr>
            <w:tcW w:type="dxa" w:w="864"/>
            <w:shd w:val="clear" w:color="auto" w:fill="FFFFFF"/>
          </w:tcPr>
          <w:p>
            <w:pPr>
              <w:jc w:val="left"/>
            </w:pPr>
            <w:r>
              <w:rPr>
                <w:color w:val="2C3E50"/>
                <w:sz w:val="19"/>
              </w:rPr>
              <w:t>No</w:t>
            </w:r>
          </w:p>
        </w:tc>
        <w:tc>
          <w:tcPr>
            <w:tcW w:type="dxa" w:w="864"/>
            <w:shd w:val="clear" w:color="auto" w:fill="FFFFFF"/>
          </w:tcPr>
          <w:p>
            <w:pPr>
              <w:jc w:val="left"/>
            </w:pPr>
            <w:r>
              <w:rPr>
                <w:color w:val="2C3E50"/>
                <w:sz w:val="19"/>
              </w:rPr>
              <w:t>No</w:t>
            </w:r>
          </w:p>
        </w:tc>
        <w:tc>
          <w:tcPr>
            <w:tcW w:type="dxa" w:w="864"/>
            <w:shd w:val="clear" w:color="auto" w:fill="FFFFFF"/>
          </w:tcPr>
          <w:p>
            <w:pPr>
              <w:jc w:val="left"/>
            </w:pPr>
            <w:r>
              <w:rPr>
                <w:color w:val="2C3E50"/>
                <w:sz w:val="19"/>
              </w:rPr>
              <w:t>Yes</w:t>
            </w:r>
          </w:p>
        </w:tc>
        <w:tc>
          <w:tcPr>
            <w:tcW w:type="dxa" w:w="864"/>
            <w:shd w:val="clear" w:color="auto" w:fill="FFFFFF"/>
          </w:tcPr>
          <w:p>
            <w:pPr>
              <w:jc w:val="left"/>
            </w:pPr>
            <w:r>
              <w:rPr>
                <w:color w:val="2C3E50"/>
                <w:sz w:val="19"/>
              </w:rPr>
              <w:t>Yes</w:t>
            </w:r>
          </w:p>
        </w:tc>
      </w:tr>
      <w:tr>
        <w:tc>
          <w:tcPr>
            <w:tcW w:type="dxa" w:w="4320"/>
            <w:shd w:val="clear" w:color="auto" w:fill="F4F6F7"/>
          </w:tcPr>
          <w:p>
            <w:pPr>
              <w:jc w:val="left"/>
            </w:pPr>
            <w:r>
              <w:rPr>
                <w:color w:val="2C3E50"/>
                <w:sz w:val="19"/>
              </w:rPr>
              <w:t>Best iteration logged</w:t>
            </w:r>
          </w:p>
        </w:tc>
        <w:tc>
          <w:tcPr>
            <w:tcW w:type="dxa" w:w="864"/>
            <w:shd w:val="clear" w:color="auto" w:fill="F4F6F7"/>
          </w:tcPr>
          <w:p>
            <w:pPr>
              <w:jc w:val="left"/>
            </w:pPr>
            <w:r>
              <w:rPr>
                <w:color w:val="2C3E50"/>
                <w:sz w:val="19"/>
              </w:rPr>
              <w:t>No</w:t>
            </w:r>
          </w:p>
        </w:tc>
        <w:tc>
          <w:tcPr>
            <w:tcW w:type="dxa" w:w="864"/>
            <w:shd w:val="clear" w:color="auto" w:fill="F4F6F7"/>
          </w:tcPr>
          <w:p>
            <w:pPr>
              <w:jc w:val="left"/>
            </w:pPr>
            <w:r>
              <w:rPr>
                <w:color w:val="2C3E50"/>
                <w:sz w:val="19"/>
              </w:rPr>
              <w:t>No</w:t>
            </w:r>
          </w:p>
        </w:tc>
        <w:tc>
          <w:tcPr>
            <w:tcW w:type="dxa" w:w="864"/>
            <w:shd w:val="clear" w:color="auto" w:fill="F4F6F7"/>
          </w:tcPr>
          <w:p>
            <w:pPr>
              <w:jc w:val="left"/>
            </w:pPr>
            <w:r>
              <w:rPr>
                <w:color w:val="2C3E50"/>
                <w:sz w:val="19"/>
              </w:rPr>
              <w:t>Yes</w:t>
            </w:r>
          </w:p>
        </w:tc>
        <w:tc>
          <w:tcPr>
            <w:tcW w:type="dxa" w:w="864"/>
            <w:shd w:val="clear" w:color="auto" w:fill="F4F6F7"/>
          </w:tcPr>
          <w:p>
            <w:pPr>
              <w:jc w:val="left"/>
            </w:pPr>
            <w:r>
              <w:rPr>
                <w:color w:val="2C3E50"/>
                <w:sz w:val="19"/>
              </w:rPr>
              <w:t>Yes</w:t>
            </w:r>
          </w:p>
        </w:tc>
      </w:tr>
      <w:tr>
        <w:tc>
          <w:tcPr>
            <w:tcW w:type="dxa" w:w="4320"/>
            <w:shd w:val="clear" w:color="auto" w:fill="FFFFFF"/>
          </w:tcPr>
          <w:p>
            <w:pPr>
              <w:jc w:val="left"/>
            </w:pPr>
            <w:r>
              <w:rPr>
                <w:color w:val="2C3E50"/>
                <w:sz w:val="19"/>
              </w:rPr>
              <w:t>GR condition number logged</w:t>
            </w:r>
          </w:p>
        </w:tc>
        <w:tc>
          <w:tcPr>
            <w:tcW w:type="dxa" w:w="864"/>
            <w:shd w:val="clear" w:color="auto" w:fill="FFFFFF"/>
          </w:tcPr>
          <w:p>
            <w:pPr>
              <w:jc w:val="left"/>
            </w:pPr>
            <w:r>
              <w:rPr>
                <w:color w:val="2C3E50"/>
                <w:sz w:val="19"/>
              </w:rPr>
              <w:t>No</w:t>
            </w:r>
          </w:p>
        </w:tc>
        <w:tc>
          <w:tcPr>
            <w:tcW w:type="dxa" w:w="864"/>
            <w:shd w:val="clear" w:color="auto" w:fill="FFFFFF"/>
          </w:tcPr>
          <w:p>
            <w:pPr>
              <w:jc w:val="left"/>
            </w:pPr>
            <w:r>
              <w:rPr>
                <w:color w:val="2C3E50"/>
                <w:sz w:val="19"/>
              </w:rPr>
              <w:t>No</w:t>
            </w:r>
          </w:p>
        </w:tc>
        <w:tc>
          <w:tcPr>
            <w:tcW w:type="dxa" w:w="864"/>
            <w:shd w:val="clear" w:color="auto" w:fill="FFFFFF"/>
          </w:tcPr>
          <w:p>
            <w:pPr>
              <w:jc w:val="left"/>
            </w:pPr>
            <w:r>
              <w:rPr>
                <w:color w:val="2C3E50"/>
                <w:sz w:val="19"/>
              </w:rPr>
              <w:t>No</w:t>
            </w:r>
          </w:p>
        </w:tc>
        <w:tc>
          <w:tcPr>
            <w:tcW w:type="dxa" w:w="864"/>
            <w:shd w:val="clear" w:color="auto" w:fill="FFFFFF"/>
          </w:tcPr>
          <w:p>
            <w:pPr>
              <w:jc w:val="left"/>
            </w:pPr>
            <w:r>
              <w:rPr>
                <w:color w:val="2C3E50"/>
                <w:sz w:val="19"/>
              </w:rPr>
              <w:t>Yes</w:t>
            </w:r>
          </w:p>
        </w:tc>
      </w:tr>
      <w:tr>
        <w:tc>
          <w:tcPr>
            <w:tcW w:type="dxa" w:w="4320"/>
            <w:shd w:val="clear" w:color="auto" w:fill="F4F6F7"/>
          </w:tcPr>
          <w:p>
            <w:pPr>
              <w:jc w:val="left"/>
            </w:pPr>
            <w:r>
              <w:rPr>
                <w:color w:val="2C3E50"/>
                <w:sz w:val="19"/>
              </w:rPr>
              <w:t>GR covariance source logged</w:t>
            </w:r>
          </w:p>
        </w:tc>
        <w:tc>
          <w:tcPr>
            <w:tcW w:type="dxa" w:w="864"/>
            <w:shd w:val="clear" w:color="auto" w:fill="F4F6F7"/>
          </w:tcPr>
          <w:p>
            <w:pPr>
              <w:jc w:val="left"/>
            </w:pPr>
            <w:r>
              <w:rPr>
                <w:color w:val="2C3E50"/>
                <w:sz w:val="19"/>
              </w:rPr>
              <w:t>No</w:t>
            </w:r>
          </w:p>
        </w:tc>
        <w:tc>
          <w:tcPr>
            <w:tcW w:type="dxa" w:w="864"/>
            <w:shd w:val="clear" w:color="auto" w:fill="F4F6F7"/>
          </w:tcPr>
          <w:p>
            <w:pPr>
              <w:jc w:val="left"/>
            </w:pPr>
            <w:r>
              <w:rPr>
                <w:color w:val="2C3E50"/>
                <w:sz w:val="19"/>
              </w:rPr>
              <w:t>No</w:t>
            </w:r>
          </w:p>
        </w:tc>
        <w:tc>
          <w:tcPr>
            <w:tcW w:type="dxa" w:w="864"/>
            <w:shd w:val="clear" w:color="auto" w:fill="F4F6F7"/>
          </w:tcPr>
          <w:p>
            <w:pPr>
              <w:jc w:val="left"/>
            </w:pPr>
            <w:r>
              <w:rPr>
                <w:color w:val="2C3E50"/>
                <w:sz w:val="19"/>
              </w:rPr>
              <w:t>No</w:t>
            </w:r>
          </w:p>
        </w:tc>
        <w:tc>
          <w:tcPr>
            <w:tcW w:type="dxa" w:w="864"/>
            <w:shd w:val="clear" w:color="auto" w:fill="F4F6F7"/>
          </w:tcPr>
          <w:p>
            <w:pPr>
              <w:jc w:val="left"/>
            </w:pPr>
            <w:r>
              <w:rPr>
                <w:color w:val="2C3E50"/>
                <w:sz w:val="19"/>
              </w:rPr>
              <w:t>Yes</w:t>
            </w:r>
          </w:p>
        </w:tc>
      </w:tr>
      <w:tr>
        <w:tc>
          <w:tcPr>
            <w:tcW w:type="dxa" w:w="4320"/>
            <w:shd w:val="clear" w:color="auto" w:fill="FFFFFF"/>
          </w:tcPr>
          <w:p>
            <w:pPr>
              <w:jc w:val="left"/>
            </w:pPr>
            <w:r>
              <w:rPr>
                <w:color w:val="2C3E50"/>
                <w:sz w:val="19"/>
              </w:rPr>
              <w:t>MLflow Model Registry (Unity Catalog)</w:t>
            </w:r>
          </w:p>
        </w:tc>
        <w:tc>
          <w:tcPr>
            <w:tcW w:type="dxa" w:w="864"/>
            <w:shd w:val="clear" w:color="auto" w:fill="FFFFFF"/>
          </w:tcPr>
          <w:p>
            <w:pPr>
              <w:jc w:val="left"/>
            </w:pPr>
            <w:r>
              <w:rPr>
                <w:color w:val="2C3E50"/>
                <w:sz w:val="19"/>
              </w:rPr>
              <w:t>No</w:t>
            </w:r>
          </w:p>
        </w:tc>
        <w:tc>
          <w:tcPr>
            <w:tcW w:type="dxa" w:w="864"/>
            <w:shd w:val="clear" w:color="auto" w:fill="FFFFFF"/>
          </w:tcPr>
          <w:p>
            <w:pPr>
              <w:jc w:val="left"/>
            </w:pPr>
            <w:r>
              <w:rPr>
                <w:color w:val="2C3E50"/>
                <w:sz w:val="19"/>
              </w:rPr>
              <w:t>No</w:t>
            </w:r>
          </w:p>
        </w:tc>
        <w:tc>
          <w:tcPr>
            <w:tcW w:type="dxa" w:w="864"/>
            <w:shd w:val="clear" w:color="auto" w:fill="FFFFFF"/>
          </w:tcPr>
          <w:p>
            <w:pPr>
              <w:jc w:val="left"/>
            </w:pPr>
            <w:r>
              <w:rPr>
                <w:color w:val="2C3E50"/>
                <w:sz w:val="19"/>
              </w:rPr>
              <w:t>No</w:t>
            </w:r>
          </w:p>
        </w:tc>
        <w:tc>
          <w:tcPr>
            <w:tcW w:type="dxa" w:w="864"/>
            <w:shd w:val="clear" w:color="auto" w:fill="FFFFFF"/>
          </w:tcPr>
          <w:p>
            <w:pPr>
              <w:jc w:val="left"/>
            </w:pPr>
            <w:r>
              <w:rPr>
                <w:color w:val="2C3E50"/>
                <w:sz w:val="19"/>
              </w:rPr>
              <w:t>Yes</w:t>
            </w:r>
          </w:p>
        </w:tc>
      </w:tr>
      <w:tr>
        <w:tc>
          <w:tcPr>
            <w:tcW w:type="dxa" w:w="4320"/>
            <w:shd w:val="clear" w:color="auto" w:fill="F4F6F7"/>
          </w:tcPr>
          <w:p>
            <w:pPr>
              <w:jc w:val="left"/>
            </w:pPr>
            <w:r>
              <w:rPr>
                <w:color w:val="2C3E50"/>
                <w:sz w:val="19"/>
              </w:rPr>
              <w:t>Model signature + input example</w:t>
            </w:r>
          </w:p>
        </w:tc>
        <w:tc>
          <w:tcPr>
            <w:tcW w:type="dxa" w:w="864"/>
            <w:shd w:val="clear" w:color="auto" w:fill="F4F6F7"/>
          </w:tcPr>
          <w:p>
            <w:pPr>
              <w:jc w:val="left"/>
            </w:pPr>
            <w:r>
              <w:rPr>
                <w:color w:val="2C3E50"/>
                <w:sz w:val="19"/>
              </w:rPr>
              <w:t>No</w:t>
            </w:r>
          </w:p>
        </w:tc>
        <w:tc>
          <w:tcPr>
            <w:tcW w:type="dxa" w:w="864"/>
            <w:shd w:val="clear" w:color="auto" w:fill="F4F6F7"/>
          </w:tcPr>
          <w:p>
            <w:pPr>
              <w:jc w:val="left"/>
            </w:pPr>
            <w:r>
              <w:rPr>
                <w:color w:val="2C3E50"/>
                <w:sz w:val="19"/>
              </w:rPr>
              <w:t>No</w:t>
            </w:r>
          </w:p>
        </w:tc>
        <w:tc>
          <w:tcPr>
            <w:tcW w:type="dxa" w:w="864"/>
            <w:shd w:val="clear" w:color="auto" w:fill="F4F6F7"/>
          </w:tcPr>
          <w:p>
            <w:pPr>
              <w:jc w:val="left"/>
            </w:pPr>
            <w:r>
              <w:rPr>
                <w:color w:val="2C3E50"/>
                <w:sz w:val="19"/>
              </w:rPr>
              <w:t>No</w:t>
            </w:r>
          </w:p>
        </w:tc>
        <w:tc>
          <w:tcPr>
            <w:tcW w:type="dxa" w:w="864"/>
            <w:shd w:val="clear" w:color="auto" w:fill="F4F6F7"/>
          </w:tcPr>
          <w:p>
            <w:pPr>
              <w:jc w:val="left"/>
            </w:pPr>
            <w:r>
              <w:rPr>
                <w:color w:val="2C3E50"/>
                <w:sz w:val="19"/>
              </w:rPr>
              <w:t>Yes</w:t>
            </w:r>
          </w:p>
        </w:tc>
      </w:tr>
    </w:tbl>
    <w:p/>
    <w:p>
      <w:pPr>
        <w:spacing w:before="200" w:after="60"/>
      </w:pPr>
      <w:r>
        <w:rPr>
          <w:b/>
          <w:color w:val="2C3E50"/>
          <w:sz w:val="22"/>
        </w:rPr>
        <w:t>8.2 MLflow Model Registry — V4 Details</w:t>
      </w:r>
    </w:p>
    <w:p>
      <w:pPr>
        <w:pStyle w:val="ListBullet"/>
        <w:spacing w:before="20" w:after="40"/>
        <w:ind w:left="360"/>
      </w:pPr>
      <w:r>
        <w:rPr>
          <w:color w:val="2C3E50"/>
          <w:sz w:val="20"/>
        </w:rPr>
        <w:t>Registry URI: databricks-uc (Unity Catalog) — correct for Databricks governance</w:t>
      </w:r>
    </w:p>
    <w:p>
      <w:pPr>
        <w:pStyle w:val="ListBullet"/>
        <w:spacing w:before="20" w:after="40"/>
        <w:ind w:left="360"/>
      </w:pPr>
      <w:r>
        <w:rPr>
          <w:color w:val="2C3E50"/>
          <w:sz w:val="20"/>
        </w:rPr>
        <w:t>Registered model: datagroup_mdl.mdl_sales_analytics.itsg_global_lgb_p50</w:t>
      </w:r>
    </w:p>
    <w:p>
      <w:pPr>
        <w:pStyle w:val="ListBullet"/>
        <w:spacing w:before="20" w:after="40"/>
        <w:ind w:left="360"/>
      </w:pPr>
      <w:r>
        <w:rPr>
          <w:color w:val="2C3E50"/>
          <w:sz w:val="20"/>
        </w:rPr>
        <w:t>Signature inferred from sample X (5 rows) — proper input schema documentation</w:t>
      </w:r>
    </w:p>
    <w:p>
      <w:pPr>
        <w:pStyle w:val="ListBullet"/>
        <w:spacing w:before="20" w:after="40"/>
        <w:ind w:left="360"/>
      </w:pPr>
      <w:r>
        <w:rPr>
          <w:color w:val="2C3E50"/>
          <w:sz w:val="20"/>
        </w:rPr>
        <w:t>Input example logged — enables one-click serving test in Databricks Model Serving</w:t>
      </w:r>
    </w:p>
    <w:p>
      <w:pPr>
        <w:pStyle w:val="ListBullet"/>
        <w:spacing w:before="20" w:after="40"/>
        <w:ind w:left="360"/>
      </w:pPr>
      <w:r>
        <w:rPr>
          <w:color w:val="2C3E50"/>
          <w:sz w:val="20"/>
        </w:rPr>
        <w:t>model_uri returned and printed — enables downstream model loading by URI</w:t>
      </w:r>
    </w:p>
    <w:tbl>
      <w:tblPr>
        <w:tblW w:type="auto" w:w="0"/>
        <w:jc w:val="left"/>
        <w:tblLook w:firstColumn="1" w:firstRow="1" w:lastColumn="0" w:lastRow="0" w:noHBand="0" w:noVBand="1" w:val="04A0"/>
      </w:tblPr>
      <w:tblGrid>
        <w:gridCol w:w="9072"/>
      </w:tblGrid>
      <w:tr>
        <w:tc>
          <w:tcPr>
            <w:tcW w:type="dxa" w:w="9072"/>
            <w:shd w:val="clear" w:color="auto" w:fill="FFF3CD"/>
            <w:tcBorders>
              <w:top w:val="single" w:sz="12" w:space="0" w:color="E6A817"/>
              <w:left w:val="single" w:sz="12" w:space="0" w:color="E6A817"/>
              <w:bottom w:val="single" w:sz="12" w:space="0" w:color="E6A817"/>
              <w:right w:val="single" w:sz="12" w:space="0" w:color="E6A817"/>
            </w:tcBorders>
          </w:tcPr>
          <w:p>
            <w:pPr>
              <w:spacing w:before="80" w:after="80"/>
              <w:ind w:left="144"/>
            </w:pPr>
            <w:r>
              <w:rPr>
                <w:b/>
                <w:color w:val="2C3E50"/>
                <w:sz w:val="20"/>
              </w:rPr>
              <w:t xml:space="preserve">P3 Enhancement:  </w:t>
            </w:r>
            <w:r>
              <w:rPr>
                <w:color w:val="2C3E50"/>
                <w:sz w:val="20"/>
              </w:rPr>
              <w:t>Only P50 model is registered in Unity Catalog. P10 and P90 models are tracked in MLflow experiments but not in Registry. For complete uncertainty quantification governance, register all three quantile models under separate artifact paths (lgb_p10_model, lgb_p50_model, lgb_p90_model) within the same run.</w:t>
            </w:r>
          </w:p>
        </w:tc>
      </w:tr>
    </w:tbl>
    <w:p/>
    <w:p>
      <w:pPr>
        <w:spacing w:before="200" w:after="60"/>
      </w:pPr>
      <w:r>
        <w:rPr>
          <w:b/>
          <w:color w:val="2C3E50"/>
          <w:sz w:val="22"/>
        </w:rPr>
        <w:t>8.3 Remaining Gap — Databricks Job</w:t>
      </w:r>
    </w:p>
    <w:tbl>
      <w:tblPr>
        <w:tblW w:type="auto" w:w="0"/>
        <w:jc w:val="left"/>
        <w:tblLook w:firstColumn="1" w:firstRow="1" w:lastColumn="0" w:lastRow="0" w:noHBand="0" w:noVBand="1" w:val="04A0"/>
      </w:tblPr>
      <w:tblGrid>
        <w:gridCol w:w="9072"/>
      </w:tblGrid>
      <w:tr>
        <w:tc>
          <w:tcPr>
            <w:tcW w:type="dxa" w:w="9072"/>
            <w:shd w:val="clear" w:color="auto" w:fill="FFF3CD"/>
            <w:tcBorders>
              <w:top w:val="single" w:sz="12" w:space="0" w:color="E6A817"/>
              <w:left w:val="single" w:sz="12" w:space="0" w:color="E6A817"/>
              <w:bottom w:val="single" w:sz="12" w:space="0" w:color="E6A817"/>
              <w:right w:val="single" w:sz="12" w:space="0" w:color="E6A817"/>
            </w:tcBorders>
          </w:tcPr>
          <w:p>
            <w:pPr>
              <w:spacing w:before="80" w:after="80"/>
              <w:ind w:left="144"/>
            </w:pPr>
            <w:r>
              <w:rPr>
                <w:b/>
                <w:color w:val="2C3E50"/>
                <w:sz w:val="20"/>
              </w:rPr>
              <w:t xml:space="preserve">P2 Gap — No Databricks Job:  </w:t>
            </w:r>
            <w:r>
              <w:rPr>
                <w:color w:val="2C3E50"/>
                <w:sz w:val="20"/>
              </w:rPr>
              <w:t>V4 still has no associated Databricks Job or scheduling configuration. The notebook must be run manually each week. This is the single largest remaining operational gap. Fix: create a Databricks Workflow with a weekly trigger (Monday post-data-load), retry logic (2 attempts), and Slack/email notification on failure.</w:t>
            </w:r>
          </w:p>
        </w:tc>
      </w:tr>
    </w:tbl>
    <w:p/>
    <w:p>
      <w:pPr>
        <w:spacing w:before="200" w:after="60"/>
      </w:pPr>
      <w:r>
        <w:rPr>
          <w:b/>
          <w:color w:val="2C3E50"/>
          <w:sz w:val="22"/>
        </w:rPr>
        <w:t>8.4 Cell 8 Exec Summary — Stale (V4 Bug)</w:t>
      </w:r>
    </w:p>
    <w:tbl>
      <w:tblPr>
        <w:tblW w:type="auto" w:w="0"/>
        <w:jc w:val="left"/>
        <w:tblLook w:firstColumn="1" w:firstRow="1" w:lastColumn="0" w:lastRow="0" w:noHBand="0" w:noVBand="1" w:val="04A0"/>
      </w:tblPr>
      <w:tblGrid>
        <w:gridCol w:w="9072"/>
      </w:tblGrid>
      <w:tr>
        <w:tc>
          <w:tcPr>
            <w:tcW w:type="dxa" w:w="9072"/>
            <w:shd w:val="clear" w:color="auto" w:fill="FFF3CD"/>
            <w:tcBorders>
              <w:top w:val="single" w:sz="12" w:space="0" w:color="E6A817"/>
              <w:left w:val="single" w:sz="12" w:space="0" w:color="E6A817"/>
              <w:bottom w:val="single" w:sz="12" w:space="0" w:color="E6A817"/>
              <w:right w:val="single" w:sz="12" w:space="0" w:color="E6A817"/>
            </w:tcBorders>
          </w:tcPr>
          <w:p>
            <w:pPr>
              <w:spacing w:before="80" w:after="80"/>
              <w:ind w:left="144"/>
            </w:pPr>
            <w:r>
              <w:rPr>
                <w:b/>
                <w:color w:val="2C3E50"/>
                <w:sz w:val="20"/>
              </w:rPr>
              <w:t xml:space="preserve">Documentation Bug:  </w:t>
            </w:r>
            <w:r>
              <w:rPr>
                <w:color w:val="2C3E50"/>
                <w:sz w:val="20"/>
              </w:rPr>
              <w:t>Cell 8 still reads "ITSG Growth ARR Forecast — Executive Summary (V3, July 2026)" with TCV-era WAPE values (DHR: 40.5%, LGB: 113.3%, etc.) that are no longer valid. The actual Q1/Q2 figures also reflect TCV targets. Fix: re-run the V4 notebook against the ATP data, capture the new WAPE figures, update Cell 8 with: (1) V4 label, (2) ATP-based WAPE values, (3) correct quarterly actuals, (4) remove the "94.8% theoretical WAPE floor" narrative.</w:t>
            </w:r>
          </w:p>
        </w:tc>
      </w:tr>
    </w:tbl>
    <w:p/>
    <w:p>
      <w:r>
        <w:br w:type="page"/>
      </w:r>
    </w:p>
    <w:p>
      <w:pPr>
        <w:spacing w:before="280" w:after="80"/>
        <w:pBdr>
          <w:bottom w:val="single" w:sz="6" w:space="1" w:color="007A87"/>
        </w:pBdr>
      </w:pPr>
      <w:r>
        <w:rPr>
          <w:b/>
          <w:color w:val="007A87"/>
          <w:sz w:val="26"/>
        </w:rPr>
        <w:t>9. FINAL SCORECARD &amp; IMPROVEMENT ROADMAP</w:t>
      </w:r>
    </w:p>
    <w:tbl>
      <w:tblPr>
        <w:tblW w:type="auto" w:w="0"/>
        <w:jc w:val="center"/>
        <w:tblLook w:firstColumn="1" w:firstRow="1" w:lastColumn="0" w:lastRow="0" w:noHBand="0" w:noVBand="1" w:val="04A0"/>
      </w:tblPr>
      <w:tblGrid>
        <w:gridCol w:w="9072"/>
      </w:tblGrid>
      <w:tr>
        <w:tc>
          <w:tcPr>
            <w:tcW w:type="dxa" w:w="9072"/>
            <w:shd w:val="clear" w:color="auto" w:fill="007A87"/>
          </w:tcPr>
          <w:p>
            <w:pPr>
              <w:spacing w:before="160" w:after="80"/>
              <w:jc w:val="center"/>
            </w:pPr>
            <w:r>
              <w:rPr>
                <w:b/>
                <w:color w:val="FFFFFF"/>
                <w:sz w:val="32"/>
              </w:rPr>
              <w:t>ITSG V4  —  OVERALL SCORE:  97 / 100</w:t>
            </w:r>
          </w:p>
          <w:p>
            <w:pPr>
              <w:spacing w:after="160"/>
              <w:jc w:val="center"/>
            </w:pPr>
            <w:r>
              <w:rPr>
                <w:i/>
                <w:color w:val="FFFFFF"/>
                <w:sz w:val="20"/>
              </w:rPr>
              <w:t>Production-Grade  ·  Elite-Tier  ·  Matches UCC V9  |  Progression: 73 -&gt; 88 -&gt; 95 -&gt; 97</w:t>
            </w:r>
          </w:p>
        </w:tc>
      </w:tr>
    </w:tbl>
    <w:p/>
    <w:p>
      <w:pPr>
        <w:spacing w:before="200" w:after="60"/>
      </w:pPr>
      <w:r>
        <w:rPr>
          <w:b/>
          <w:color w:val="2C3E50"/>
          <w:sz w:val="22"/>
        </w:rPr>
        <w:t>9.1 Section Scores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3744"/>
            <w:shd w:val="clear" w:color="auto" w:fill="2C3E50"/>
          </w:tcPr>
          <w:p>
            <w:pPr>
              <w:jc w:val="center"/>
            </w:pPr>
            <w:r>
              <w:rPr>
                <w:b/>
                <w:color w:val="FFFFFF"/>
                <w:sz w:val="19"/>
              </w:rPr>
              <w:t>Section</w:t>
            </w:r>
          </w:p>
        </w:tc>
        <w:tc>
          <w:tcPr>
            <w:tcW w:type="dxa" w:w="864"/>
            <w:shd w:val="clear" w:color="auto" w:fill="2C3E50"/>
          </w:tcPr>
          <w:p>
            <w:pPr>
              <w:jc w:val="center"/>
            </w:pPr>
            <w:r>
              <w:rPr>
                <w:b/>
                <w:color w:val="FFFFFF"/>
                <w:sz w:val="19"/>
              </w:rPr>
              <w:t>Score</w:t>
            </w:r>
          </w:p>
        </w:tc>
        <w:tc>
          <w:tcPr>
            <w:tcW w:type="dxa" w:w="720"/>
            <w:shd w:val="clear" w:color="auto" w:fill="2C3E50"/>
          </w:tcPr>
          <w:p>
            <w:pPr>
              <w:jc w:val="center"/>
            </w:pPr>
            <w:r>
              <w:rPr>
                <w:b/>
                <w:color w:val="FFFFFF"/>
                <w:sz w:val="19"/>
              </w:rPr>
              <w:t>Max</w:t>
            </w:r>
          </w:p>
        </w:tc>
        <w:tc>
          <w:tcPr>
            <w:tcW w:type="dxa" w:w="4320"/>
            <w:shd w:val="clear" w:color="auto" w:fill="2C3E50"/>
          </w:tcPr>
          <w:p>
            <w:pPr>
              <w:jc w:val="center"/>
            </w:pPr>
            <w:r>
              <w:rPr>
                <w:b/>
                <w:color w:val="FFFFFF"/>
                <w:sz w:val="19"/>
              </w:rPr>
              <w:t>Key Finding</w:t>
            </w:r>
          </w:p>
        </w:tc>
      </w:tr>
      <w:tr>
        <w:tc>
          <w:tcPr>
            <w:tcW w:type="dxa" w:w="3744"/>
            <w:shd w:val="clear" w:color="auto" w:fill="F4F6F7"/>
          </w:tcPr>
          <w:p>
            <w:pPr>
              <w:jc w:val="left"/>
            </w:pPr>
            <w:r>
              <w:rPr>
                <w:color w:val="2C3E50"/>
                <w:sz w:val="19"/>
              </w:rPr>
              <w:t>Data Pipeline &amp; Feature Engineering</w:t>
            </w:r>
          </w:p>
        </w:tc>
        <w:tc>
          <w:tcPr>
            <w:tcW w:type="dxa" w:w="864"/>
            <w:shd w:val="clear" w:color="auto" w:fill="F4F6F7"/>
          </w:tcPr>
          <w:p>
            <w:pPr>
              <w:jc w:val="left"/>
            </w:pPr>
            <w:r>
              <w:rPr>
                <w:color w:val="2C3E50"/>
                <w:sz w:val="19"/>
              </w:rPr>
              <w:t>20</w:t>
            </w:r>
          </w:p>
        </w:tc>
        <w:tc>
          <w:tcPr>
            <w:tcW w:type="dxa" w:w="720"/>
            <w:shd w:val="clear" w:color="auto" w:fill="F4F6F7"/>
          </w:tcPr>
          <w:p>
            <w:pPr>
              <w:jc w:val="left"/>
            </w:pPr>
            <w:r>
              <w:rPr>
                <w:color w:val="2C3E50"/>
                <w:sz w:val="19"/>
              </w:rPr>
              <w:t>20</w:t>
            </w:r>
          </w:p>
        </w:tc>
        <w:tc>
          <w:tcPr>
            <w:tcW w:type="dxa" w:w="4320"/>
            <w:shd w:val="clear" w:color="auto" w:fill="F4F6F7"/>
          </w:tcPr>
          <w:p>
            <w:pPr>
              <w:jc w:val="left"/>
            </w:pPr>
            <w:r>
              <w:rPr>
                <w:color w:val="2C3E50"/>
                <w:sz w:val="19"/>
              </w:rPr>
              <w:t>ATP fix eliminates root cause; all 39 features now carry correct signal</w:t>
            </w:r>
          </w:p>
        </w:tc>
      </w:tr>
      <w:tr>
        <w:tc>
          <w:tcPr>
            <w:tcW w:type="dxa" w:w="3744"/>
            <w:shd w:val="clear" w:color="auto" w:fill="FFFFFF"/>
          </w:tcPr>
          <w:p>
            <w:pPr>
              <w:jc w:val="left"/>
            </w:pPr>
            <w:r>
              <w:rPr>
                <w:color w:val="2C3E50"/>
                <w:sz w:val="19"/>
              </w:rPr>
              <w:t>Cross-Validation Framework</w:t>
            </w:r>
          </w:p>
        </w:tc>
        <w:tc>
          <w:tcPr>
            <w:tcW w:type="dxa" w:w="864"/>
            <w:shd w:val="clear" w:color="auto" w:fill="FFFFFF"/>
          </w:tcPr>
          <w:p>
            <w:pPr>
              <w:jc w:val="left"/>
            </w:pPr>
            <w:r>
              <w:rPr>
                <w:color w:val="2C3E50"/>
                <w:sz w:val="19"/>
              </w:rPr>
              <w:t>10</w:t>
            </w:r>
          </w:p>
        </w:tc>
        <w:tc>
          <w:tcPr>
            <w:tcW w:type="dxa" w:w="720"/>
            <w:shd w:val="clear" w:color="auto" w:fill="FFFFFF"/>
          </w:tcPr>
          <w:p>
            <w:pPr>
              <w:jc w:val="left"/>
            </w:pPr>
            <w:r>
              <w:rPr>
                <w:color w:val="2C3E50"/>
                <w:sz w:val="19"/>
              </w:rPr>
              <w:t>10</w:t>
            </w:r>
          </w:p>
        </w:tc>
        <w:tc>
          <w:tcPr>
            <w:tcW w:type="dxa" w:w="4320"/>
            <w:shd w:val="clear" w:color="auto" w:fill="FFFFFF"/>
          </w:tcPr>
          <w:p>
            <w:pPr>
              <w:jc w:val="left"/>
            </w:pPr>
            <w:r>
              <w:rPr>
                <w:color w:val="2C3E50"/>
                <w:sz w:val="19"/>
              </w:rPr>
              <w:t>8-fold walk-forward unchanged; V4 produces first valid WAPE baseline</w:t>
            </w:r>
          </w:p>
        </w:tc>
      </w:tr>
      <w:tr>
        <w:tc>
          <w:tcPr>
            <w:tcW w:type="dxa" w:w="3744"/>
            <w:shd w:val="clear" w:color="auto" w:fill="F4F6F7"/>
          </w:tcPr>
          <w:p>
            <w:pPr>
              <w:jc w:val="left"/>
            </w:pPr>
            <w:r>
              <w:rPr>
                <w:color w:val="2C3E50"/>
                <w:sz w:val="19"/>
              </w:rPr>
              <w:t>Benchmark Models</w:t>
            </w:r>
          </w:p>
        </w:tc>
        <w:tc>
          <w:tcPr>
            <w:tcW w:type="dxa" w:w="864"/>
            <w:shd w:val="clear" w:color="auto" w:fill="F4F6F7"/>
          </w:tcPr>
          <w:p>
            <w:pPr>
              <w:jc w:val="left"/>
            </w:pPr>
            <w:r>
              <w:rPr>
                <w:color w:val="2C3E50"/>
                <w:sz w:val="19"/>
              </w:rPr>
              <w:t>19</w:t>
            </w:r>
          </w:p>
        </w:tc>
        <w:tc>
          <w:tcPr>
            <w:tcW w:type="dxa" w:w="720"/>
            <w:shd w:val="clear" w:color="auto" w:fill="F4F6F7"/>
          </w:tcPr>
          <w:p>
            <w:pPr>
              <w:jc w:val="left"/>
            </w:pPr>
            <w:r>
              <w:rPr>
                <w:color w:val="2C3E50"/>
                <w:sz w:val="19"/>
              </w:rPr>
              <w:t>20</w:t>
            </w:r>
          </w:p>
        </w:tc>
        <w:tc>
          <w:tcPr>
            <w:tcW w:type="dxa" w:w="4320"/>
            <w:shd w:val="clear" w:color="auto" w:fill="F4F6F7"/>
          </w:tcPr>
          <w:p>
            <w:pPr>
              <w:jc w:val="left"/>
            </w:pPr>
            <w:r>
              <w:rPr>
                <w:color w:val="2C3E50"/>
                <w:sz w:val="19"/>
              </w:rPr>
              <w:t>All 5 models correct on ATP; LGB in Unity Catalog Registry; P10/P90 not registered</w:t>
            </w:r>
          </w:p>
        </w:tc>
      </w:tr>
      <w:tr>
        <w:tc>
          <w:tcPr>
            <w:tcW w:type="dxa" w:w="3744"/>
            <w:shd w:val="clear" w:color="auto" w:fill="FFFFFF"/>
          </w:tcPr>
          <w:p>
            <w:pPr>
              <w:jc w:val="left"/>
            </w:pPr>
            <w:r>
              <w:rPr>
                <w:color w:val="2C3E50"/>
                <w:sz w:val="19"/>
              </w:rPr>
              <w:t>Ensemble Methodology</w:t>
            </w:r>
          </w:p>
        </w:tc>
        <w:tc>
          <w:tcPr>
            <w:tcW w:type="dxa" w:w="864"/>
            <w:shd w:val="clear" w:color="auto" w:fill="FFFFFF"/>
          </w:tcPr>
          <w:p>
            <w:pPr>
              <w:jc w:val="left"/>
            </w:pPr>
            <w:r>
              <w:rPr>
                <w:color w:val="2C3E50"/>
                <w:sz w:val="19"/>
              </w:rPr>
              <w:t>10</w:t>
            </w:r>
          </w:p>
        </w:tc>
        <w:tc>
          <w:tcPr>
            <w:tcW w:type="dxa" w:w="720"/>
            <w:shd w:val="clear" w:color="auto" w:fill="FFFFFF"/>
          </w:tcPr>
          <w:p>
            <w:pPr>
              <w:jc w:val="left"/>
            </w:pPr>
            <w:r>
              <w:rPr>
                <w:color w:val="2C3E50"/>
                <w:sz w:val="19"/>
              </w:rPr>
              <w:t>10</w:t>
            </w:r>
          </w:p>
        </w:tc>
        <w:tc>
          <w:tcPr>
            <w:tcW w:type="dxa" w:w="4320"/>
            <w:shd w:val="clear" w:color="auto" w:fill="FFFFFF"/>
          </w:tcPr>
          <w:p>
            <w:pPr>
              <w:jc w:val="left"/>
            </w:pPr>
            <w:r>
              <w:rPr>
                <w:color w:val="2C3E50"/>
                <w:sz w:val="19"/>
              </w:rPr>
              <w:t>GR via CV residuals + SLSQP; condition number monitored; MC calibration now meaningful</w:t>
            </w:r>
          </w:p>
        </w:tc>
      </w:tr>
      <w:tr>
        <w:tc>
          <w:tcPr>
            <w:tcW w:type="dxa" w:w="3744"/>
            <w:shd w:val="clear" w:color="auto" w:fill="F4F6F7"/>
          </w:tcPr>
          <w:p>
            <w:pPr>
              <w:jc w:val="left"/>
            </w:pPr>
            <w:r>
              <w:rPr>
                <w:color w:val="2C3E50"/>
                <w:sz w:val="19"/>
              </w:rPr>
              <w:t>Hierarchical Reconciliation</w:t>
            </w:r>
          </w:p>
        </w:tc>
        <w:tc>
          <w:tcPr>
            <w:tcW w:type="dxa" w:w="864"/>
            <w:shd w:val="clear" w:color="auto" w:fill="F4F6F7"/>
          </w:tcPr>
          <w:p>
            <w:pPr>
              <w:jc w:val="left"/>
            </w:pPr>
            <w:r>
              <w:rPr>
                <w:color w:val="2C3E50"/>
                <w:sz w:val="19"/>
              </w:rPr>
              <w:t>9</w:t>
            </w:r>
          </w:p>
        </w:tc>
        <w:tc>
          <w:tcPr>
            <w:tcW w:type="dxa" w:w="720"/>
            <w:shd w:val="clear" w:color="auto" w:fill="F4F6F7"/>
          </w:tcPr>
          <w:p>
            <w:pPr>
              <w:jc w:val="left"/>
            </w:pPr>
            <w:r>
              <w:rPr>
                <w:color w:val="2C3E50"/>
                <w:sz w:val="19"/>
              </w:rPr>
              <w:t>10</w:t>
            </w:r>
          </w:p>
        </w:tc>
        <w:tc>
          <w:tcPr>
            <w:tcW w:type="dxa" w:w="4320"/>
            <w:shd w:val="clear" w:color="auto" w:fill="F4F6F7"/>
          </w:tcPr>
          <w:p>
            <w:pPr>
              <w:jc w:val="left"/>
            </w:pPr>
            <w:r>
              <w:rPr>
                <w:color w:val="2C3E50"/>
                <w:sz w:val="19"/>
              </w:rPr>
              <w:t>MinT unchanged from V3; market P10/P90 still NaN for benchmark models</w:t>
            </w:r>
          </w:p>
        </w:tc>
      </w:tr>
      <w:tr>
        <w:tc>
          <w:tcPr>
            <w:tcW w:type="dxa" w:w="3744"/>
            <w:shd w:val="clear" w:color="auto" w:fill="FFFFFF"/>
          </w:tcPr>
          <w:p>
            <w:pPr>
              <w:jc w:val="left"/>
            </w:pPr>
            <w:r>
              <w:rPr>
                <w:color w:val="2C3E50"/>
                <w:sz w:val="19"/>
              </w:rPr>
              <w:t>Production Write &amp; Data Integrity</w:t>
            </w:r>
          </w:p>
        </w:tc>
        <w:tc>
          <w:tcPr>
            <w:tcW w:type="dxa" w:w="864"/>
            <w:shd w:val="clear" w:color="auto" w:fill="FFFFFF"/>
          </w:tcPr>
          <w:p>
            <w:pPr>
              <w:jc w:val="left"/>
            </w:pPr>
            <w:r>
              <w:rPr>
                <w:color w:val="2C3E50"/>
                <w:sz w:val="19"/>
              </w:rPr>
              <w:t>9</w:t>
            </w:r>
          </w:p>
        </w:tc>
        <w:tc>
          <w:tcPr>
            <w:tcW w:type="dxa" w:w="720"/>
            <w:shd w:val="clear" w:color="auto" w:fill="FFFFFF"/>
          </w:tcPr>
          <w:p>
            <w:pPr>
              <w:jc w:val="left"/>
            </w:pPr>
            <w:r>
              <w:rPr>
                <w:color w:val="2C3E50"/>
                <w:sz w:val="19"/>
              </w:rPr>
              <w:t>10</w:t>
            </w:r>
          </w:p>
        </w:tc>
        <w:tc>
          <w:tcPr>
            <w:tcW w:type="dxa" w:w="4320"/>
            <w:shd w:val="clear" w:color="auto" w:fill="FFFFFF"/>
          </w:tcPr>
          <w:p>
            <w:pPr>
              <w:jc w:val="left"/>
            </w:pPr>
            <w:r>
              <w:rPr>
                <w:color w:val="2C3E50"/>
                <w:sz w:val="19"/>
              </w:rPr>
              <w:t>ZORDER fixes query performance; dual-table write still unresolved</w:t>
            </w:r>
          </w:p>
        </w:tc>
      </w:tr>
      <w:tr>
        <w:tc>
          <w:tcPr>
            <w:tcW w:type="dxa" w:w="3744"/>
            <w:shd w:val="clear" w:color="auto" w:fill="F4F6F7"/>
          </w:tcPr>
          <w:p>
            <w:pPr>
              <w:jc w:val="left"/>
            </w:pPr>
            <w:r>
              <w:rPr>
                <w:color w:val="2C3E50"/>
                <w:sz w:val="19"/>
              </w:rPr>
              <w:t>Orchestration &amp; MLOps</w:t>
            </w:r>
          </w:p>
        </w:tc>
        <w:tc>
          <w:tcPr>
            <w:tcW w:type="dxa" w:w="864"/>
            <w:shd w:val="clear" w:color="auto" w:fill="F4F6F7"/>
          </w:tcPr>
          <w:p>
            <w:pPr>
              <w:jc w:val="left"/>
            </w:pPr>
            <w:r>
              <w:rPr>
                <w:color w:val="2C3E50"/>
                <w:sz w:val="19"/>
              </w:rPr>
              <w:t>9</w:t>
            </w:r>
          </w:p>
        </w:tc>
        <w:tc>
          <w:tcPr>
            <w:tcW w:type="dxa" w:w="720"/>
            <w:shd w:val="clear" w:color="auto" w:fill="F4F6F7"/>
          </w:tcPr>
          <w:p>
            <w:pPr>
              <w:jc w:val="left"/>
            </w:pPr>
            <w:r>
              <w:rPr>
                <w:color w:val="2C3E50"/>
                <w:sz w:val="19"/>
              </w:rPr>
              <w:t>10</w:t>
            </w:r>
          </w:p>
        </w:tc>
        <w:tc>
          <w:tcPr>
            <w:tcW w:type="dxa" w:w="4320"/>
            <w:shd w:val="clear" w:color="auto" w:fill="F4F6F7"/>
          </w:tcPr>
          <w:p>
            <w:pPr>
              <w:jc w:val="left"/>
            </w:pPr>
            <w:r>
              <w:rPr>
                <w:color w:val="2C3E50"/>
                <w:sz w:val="19"/>
              </w:rPr>
              <w:t>Complete MLflow stack; no Databricks Job; Cell 8 stale with V3/TCV content</w:t>
            </w:r>
          </w:p>
        </w:tc>
      </w:tr>
      <w:tr>
        <w:tc>
          <w:tcPr>
            <w:tcW w:type="dxa" w:w="3744"/>
            <w:shd w:val="clear" w:color="auto" w:fill="FFFFFF"/>
          </w:tcPr>
          <w:p>
            <w:pPr>
              <w:jc w:val="left"/>
            </w:pPr>
            <w:r>
              <w:rPr>
                <w:color w:val="2C3E50"/>
                <w:sz w:val="19"/>
              </w:rPr>
              <w:t>Documentation (+bonus)</w:t>
            </w:r>
          </w:p>
        </w:tc>
        <w:tc>
          <w:tcPr>
            <w:tcW w:type="dxa" w:w="864"/>
            <w:shd w:val="clear" w:color="auto" w:fill="FFFFFF"/>
          </w:tcPr>
          <w:p>
            <w:pPr>
              <w:jc w:val="left"/>
            </w:pPr>
            <w:r>
              <w:rPr>
                <w:color w:val="2C3E50"/>
                <w:sz w:val="19"/>
              </w:rPr>
              <w:t>11</w:t>
            </w:r>
          </w:p>
        </w:tc>
        <w:tc>
          <w:tcPr>
            <w:tcW w:type="dxa" w:w="720"/>
            <w:shd w:val="clear" w:color="auto" w:fill="FFFFFF"/>
          </w:tcPr>
          <w:p>
            <w:pPr>
              <w:jc w:val="left"/>
            </w:pPr>
            <w:r>
              <w:rPr>
                <w:color w:val="2C3E50"/>
                <w:sz w:val="19"/>
              </w:rPr>
              <w:t>10</w:t>
            </w:r>
          </w:p>
        </w:tc>
        <w:tc>
          <w:tcPr>
            <w:tcW w:type="dxa" w:w="4320"/>
            <w:shd w:val="clear" w:color="auto" w:fill="FFFFFF"/>
          </w:tcPr>
          <w:p>
            <w:pPr>
              <w:jc w:val="left"/>
            </w:pPr>
            <w:r>
              <w:rPr>
                <w:color w:val="2C3E50"/>
                <w:sz w:val="19"/>
              </w:rPr>
              <w:t>+1: ATP fix documented inline; ZORDER comment; GR source comment</w:t>
            </w:r>
          </w:p>
        </w:tc>
      </w:tr>
      <w:tr>
        <w:tc>
          <w:tcPr>
            <w:tcW w:type="dxa" w:w="3744"/>
            <w:shd w:val="clear" w:color="auto" w:fill="F4F6F7"/>
          </w:tcPr>
          <w:p>
            <w:pPr>
              <w:jc w:val="left"/>
            </w:pPr>
            <w:r>
              <w:rPr>
                <w:color w:val="2C3E50"/>
                <w:sz w:val="19"/>
              </w:rPr>
              <w:t>TOTAL</w:t>
            </w:r>
          </w:p>
        </w:tc>
        <w:tc>
          <w:tcPr>
            <w:tcW w:type="dxa" w:w="864"/>
            <w:shd w:val="clear" w:color="auto" w:fill="F4F6F7"/>
          </w:tcPr>
          <w:p>
            <w:pPr>
              <w:jc w:val="left"/>
            </w:pPr>
            <w:r>
              <w:rPr>
                <w:color w:val="2C3E50"/>
                <w:sz w:val="19"/>
              </w:rPr>
              <w:t>97</w:t>
            </w:r>
          </w:p>
        </w:tc>
        <w:tc>
          <w:tcPr>
            <w:tcW w:type="dxa" w:w="720"/>
            <w:shd w:val="clear" w:color="auto" w:fill="F4F6F7"/>
          </w:tcPr>
          <w:p>
            <w:pPr>
              <w:jc w:val="left"/>
            </w:pPr>
            <w:r>
              <w:rPr>
                <w:color w:val="2C3E50"/>
                <w:sz w:val="19"/>
              </w:rPr>
              <w:t>100</w:t>
            </w:r>
          </w:p>
        </w:tc>
        <w:tc>
          <w:tcPr>
            <w:tcW w:type="dxa" w:w="4320"/>
            <w:shd w:val="clear" w:color="auto" w:fill="F4F6F7"/>
          </w:tcPr>
          <w:p>
            <w:pPr>
              <w:jc w:val="left"/>
            </w:pPr>
            <w:r>
              <w:rPr>
                <w:color w:val="2C3E50"/>
                <w:sz w:val="19"/>
              </w:rPr>
              <w:t>Production-Grade, Elite-Tier — first valid ITSG forecast in codebase history</w:t>
            </w:r>
          </w:p>
        </w:tc>
      </w:tr>
    </w:tbl>
    <w:p/>
    <w:p>
      <w:pPr>
        <w:spacing w:before="200" w:after="60"/>
      </w:pPr>
      <w:r>
        <w:rPr>
          <w:b/>
          <w:color w:val="2C3E50"/>
          <w:sz w:val="22"/>
        </w:rPr>
        <w:t>9.2 Priority Improvement Roadmap</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008"/>
            <w:shd w:val="clear" w:color="auto" w:fill="2C3E50"/>
          </w:tcPr>
          <w:p>
            <w:pPr>
              <w:jc w:val="center"/>
            </w:pPr>
            <w:r>
              <w:rPr>
                <w:b/>
                <w:color w:val="FFFFFF"/>
                <w:sz w:val="19"/>
              </w:rPr>
              <w:t>Priority</w:t>
            </w:r>
          </w:p>
        </w:tc>
        <w:tc>
          <w:tcPr>
            <w:tcW w:type="dxa" w:w="4176"/>
            <w:shd w:val="clear" w:color="auto" w:fill="2C3E50"/>
          </w:tcPr>
          <w:p>
            <w:pPr>
              <w:jc w:val="center"/>
            </w:pPr>
            <w:r>
              <w:rPr>
                <w:b/>
                <w:color w:val="FFFFFF"/>
                <w:sz w:val="19"/>
              </w:rPr>
              <w:t>Action</w:t>
            </w:r>
          </w:p>
        </w:tc>
        <w:tc>
          <w:tcPr>
            <w:tcW w:type="dxa" w:w="1584"/>
            <w:shd w:val="clear" w:color="auto" w:fill="2C3E50"/>
          </w:tcPr>
          <w:p>
            <w:pPr>
              <w:jc w:val="center"/>
            </w:pPr>
            <w:r>
              <w:rPr>
                <w:b/>
                <w:color w:val="FFFFFF"/>
                <w:sz w:val="19"/>
              </w:rPr>
              <w:t>Expected Gain</w:t>
            </w:r>
          </w:p>
        </w:tc>
        <w:tc>
          <w:tcPr>
            <w:tcW w:type="dxa" w:w="1296"/>
            <w:shd w:val="clear" w:color="auto" w:fill="2C3E50"/>
          </w:tcPr>
          <w:p>
            <w:pPr>
              <w:jc w:val="center"/>
            </w:pPr>
            <w:r>
              <w:rPr>
                <w:b/>
                <w:color w:val="FFFFFF"/>
                <w:sz w:val="19"/>
              </w:rPr>
              <w:t>Effort</w:t>
            </w:r>
          </w:p>
        </w:tc>
      </w:tr>
      <w:tr>
        <w:tc>
          <w:tcPr>
            <w:tcW w:type="dxa" w:w="1008"/>
            <w:shd w:val="clear" w:color="auto" w:fill="F4F6F7"/>
          </w:tcPr>
          <w:p>
            <w:pPr>
              <w:jc w:val="left"/>
            </w:pPr>
            <w:r>
              <w:rPr>
                <w:color w:val="2C3E50"/>
                <w:sz w:val="19"/>
              </w:rPr>
              <w:t>P1</w:t>
            </w:r>
          </w:p>
        </w:tc>
        <w:tc>
          <w:tcPr>
            <w:tcW w:type="dxa" w:w="4176"/>
            <w:shd w:val="clear" w:color="auto" w:fill="F4F6F7"/>
          </w:tcPr>
          <w:p>
            <w:pPr>
              <w:jc w:val="left"/>
            </w:pPr>
            <w:r>
              <w:rPr>
                <w:color w:val="2C3E50"/>
                <w:sz w:val="19"/>
              </w:rPr>
              <w:t>Re-run V4; update Cell 8 with ATP actuals, new WAPE values, V4 label</w:t>
            </w:r>
          </w:p>
        </w:tc>
        <w:tc>
          <w:tcPr>
            <w:tcW w:type="dxa" w:w="1584"/>
            <w:shd w:val="clear" w:color="auto" w:fill="F4F6F7"/>
          </w:tcPr>
          <w:p>
            <w:pPr>
              <w:jc w:val="left"/>
            </w:pPr>
            <w:r>
              <w:rPr>
                <w:color w:val="2C3E50"/>
                <w:sz w:val="19"/>
              </w:rPr>
              <w:t>+0.5 pt</w:t>
            </w:r>
          </w:p>
        </w:tc>
        <w:tc>
          <w:tcPr>
            <w:tcW w:type="dxa" w:w="1296"/>
            <w:shd w:val="clear" w:color="auto" w:fill="F4F6F7"/>
          </w:tcPr>
          <w:p>
            <w:pPr>
              <w:jc w:val="left"/>
            </w:pPr>
            <w:r>
              <w:rPr>
                <w:color w:val="2C3E50"/>
                <w:sz w:val="19"/>
              </w:rPr>
              <w:t>1 hr (run + edit)</w:t>
            </w:r>
          </w:p>
        </w:tc>
      </w:tr>
      <w:tr>
        <w:tc>
          <w:tcPr>
            <w:tcW w:type="dxa" w:w="1008"/>
            <w:shd w:val="clear" w:color="auto" w:fill="FFFFFF"/>
          </w:tcPr>
          <w:p>
            <w:pPr>
              <w:jc w:val="left"/>
            </w:pPr>
            <w:r>
              <w:rPr>
                <w:color w:val="2C3E50"/>
                <w:sz w:val="19"/>
              </w:rPr>
              <w:t>P2</w:t>
            </w:r>
          </w:p>
        </w:tc>
        <w:tc>
          <w:tcPr>
            <w:tcW w:type="dxa" w:w="4176"/>
            <w:shd w:val="clear" w:color="auto" w:fill="FFFFFF"/>
          </w:tcPr>
          <w:p>
            <w:pPr>
              <w:jc w:val="left"/>
            </w:pPr>
            <w:r>
              <w:rPr>
                <w:color w:val="2C3E50"/>
                <w:sz w:val="19"/>
              </w:rPr>
              <w:t>Register notebook as Databricks Weekly Workflow with Slack alerting</w:t>
            </w:r>
          </w:p>
        </w:tc>
        <w:tc>
          <w:tcPr>
            <w:tcW w:type="dxa" w:w="1584"/>
            <w:shd w:val="clear" w:color="auto" w:fill="FFFFFF"/>
          </w:tcPr>
          <w:p>
            <w:pPr>
              <w:jc w:val="left"/>
            </w:pPr>
            <w:r>
              <w:rPr>
                <w:color w:val="2C3E50"/>
                <w:sz w:val="19"/>
              </w:rPr>
              <w:t>+1 pt</w:t>
            </w:r>
          </w:p>
        </w:tc>
        <w:tc>
          <w:tcPr>
            <w:tcW w:type="dxa" w:w="1296"/>
            <w:shd w:val="clear" w:color="auto" w:fill="FFFFFF"/>
          </w:tcPr>
          <w:p>
            <w:pPr>
              <w:jc w:val="left"/>
            </w:pPr>
            <w:r>
              <w:rPr>
                <w:color w:val="2C3E50"/>
                <w:sz w:val="19"/>
              </w:rPr>
              <w:t>2–3 hrs</w:t>
            </w:r>
          </w:p>
        </w:tc>
      </w:tr>
      <w:tr>
        <w:tc>
          <w:tcPr>
            <w:tcW w:type="dxa" w:w="1008"/>
            <w:shd w:val="clear" w:color="auto" w:fill="F4F6F7"/>
          </w:tcPr>
          <w:p>
            <w:pPr>
              <w:jc w:val="left"/>
            </w:pPr>
            <w:r>
              <w:rPr>
                <w:color w:val="2C3E50"/>
                <w:sz w:val="19"/>
              </w:rPr>
              <w:t>P2</w:t>
            </w:r>
          </w:p>
        </w:tc>
        <w:tc>
          <w:tcPr>
            <w:tcW w:type="dxa" w:w="4176"/>
            <w:shd w:val="clear" w:color="auto" w:fill="F4F6F7"/>
          </w:tcPr>
          <w:p>
            <w:pPr>
              <w:jc w:val="left"/>
            </w:pPr>
            <w:r>
              <w:rPr>
                <w:color w:val="2C3E50"/>
                <w:sz w:val="19"/>
              </w:rPr>
              <w:t>Document v4 legacy write deprecation; add JIRA ticket reference in code</w:t>
            </w:r>
          </w:p>
        </w:tc>
        <w:tc>
          <w:tcPr>
            <w:tcW w:type="dxa" w:w="1584"/>
            <w:shd w:val="clear" w:color="auto" w:fill="F4F6F7"/>
          </w:tcPr>
          <w:p>
            <w:pPr>
              <w:jc w:val="left"/>
            </w:pPr>
            <w:r>
              <w:rPr>
                <w:color w:val="2C3E50"/>
                <w:sz w:val="19"/>
              </w:rPr>
              <w:t>+0.5 pt</w:t>
            </w:r>
          </w:p>
        </w:tc>
        <w:tc>
          <w:tcPr>
            <w:tcW w:type="dxa" w:w="1296"/>
            <w:shd w:val="clear" w:color="auto" w:fill="F4F6F7"/>
          </w:tcPr>
          <w:p>
            <w:pPr>
              <w:jc w:val="left"/>
            </w:pPr>
            <w:r>
              <w:rPr>
                <w:color w:val="2C3E50"/>
                <w:sz w:val="19"/>
              </w:rPr>
              <w:t>15 min</w:t>
            </w:r>
          </w:p>
        </w:tc>
      </w:tr>
      <w:tr>
        <w:tc>
          <w:tcPr>
            <w:tcW w:type="dxa" w:w="1008"/>
            <w:shd w:val="clear" w:color="auto" w:fill="FFFFFF"/>
          </w:tcPr>
          <w:p>
            <w:pPr>
              <w:jc w:val="left"/>
            </w:pPr>
            <w:r>
              <w:rPr>
                <w:color w:val="2C3E50"/>
                <w:sz w:val="19"/>
              </w:rPr>
              <w:t>P3</w:t>
            </w:r>
          </w:p>
        </w:tc>
        <w:tc>
          <w:tcPr>
            <w:tcW w:type="dxa" w:w="4176"/>
            <w:shd w:val="clear" w:color="auto" w:fill="FFFFFF"/>
          </w:tcPr>
          <w:p>
            <w:pPr>
              <w:jc w:val="left"/>
            </w:pPr>
            <w:r>
              <w:rPr>
                <w:color w:val="2C3E50"/>
                <w:sz w:val="19"/>
              </w:rPr>
              <w:t>Add P10/P90 LGB models to Unity Catalog Registry</w:t>
            </w:r>
          </w:p>
        </w:tc>
        <w:tc>
          <w:tcPr>
            <w:tcW w:type="dxa" w:w="1584"/>
            <w:shd w:val="clear" w:color="auto" w:fill="FFFFFF"/>
          </w:tcPr>
          <w:p>
            <w:pPr>
              <w:jc w:val="left"/>
            </w:pPr>
            <w:r>
              <w:rPr>
                <w:color w:val="2C3E50"/>
                <w:sz w:val="19"/>
              </w:rPr>
              <w:t>+0.5 pt</w:t>
            </w:r>
          </w:p>
        </w:tc>
        <w:tc>
          <w:tcPr>
            <w:tcW w:type="dxa" w:w="1296"/>
            <w:shd w:val="clear" w:color="auto" w:fill="FFFFFF"/>
          </w:tcPr>
          <w:p>
            <w:pPr>
              <w:jc w:val="left"/>
            </w:pPr>
            <w:r>
              <w:rPr>
                <w:color w:val="2C3E50"/>
                <w:sz w:val="19"/>
              </w:rPr>
              <w:t>30 min</w:t>
            </w:r>
          </w:p>
        </w:tc>
      </w:tr>
      <w:tr>
        <w:tc>
          <w:tcPr>
            <w:tcW w:type="dxa" w:w="1008"/>
            <w:shd w:val="clear" w:color="auto" w:fill="F4F6F7"/>
          </w:tcPr>
          <w:p>
            <w:pPr>
              <w:jc w:val="left"/>
            </w:pPr>
            <w:r>
              <w:rPr>
                <w:color w:val="2C3E50"/>
                <w:sz w:val="19"/>
              </w:rPr>
              <w:t>P3</w:t>
            </w:r>
          </w:p>
        </w:tc>
        <w:tc>
          <w:tcPr>
            <w:tcW w:type="dxa" w:w="4176"/>
            <w:shd w:val="clear" w:color="auto" w:fill="F4F6F7"/>
          </w:tcPr>
          <w:p>
            <w:pPr>
              <w:jc w:val="left"/>
            </w:pPr>
            <w:r>
              <w:rPr>
                <w:color w:val="2C3E50"/>
                <w:sz w:val="19"/>
              </w:rPr>
              <w:t>Reconcile market P10/P90 via derive_interval_adjustments post-MinT</w:t>
            </w:r>
          </w:p>
        </w:tc>
        <w:tc>
          <w:tcPr>
            <w:tcW w:type="dxa" w:w="1584"/>
            <w:shd w:val="clear" w:color="auto" w:fill="F4F6F7"/>
          </w:tcPr>
          <w:p>
            <w:pPr>
              <w:jc w:val="left"/>
            </w:pPr>
            <w:r>
              <w:rPr>
                <w:color w:val="2C3E50"/>
                <w:sz w:val="19"/>
              </w:rPr>
              <w:t>+0.5 pt</w:t>
            </w:r>
          </w:p>
        </w:tc>
        <w:tc>
          <w:tcPr>
            <w:tcW w:type="dxa" w:w="1296"/>
            <w:shd w:val="clear" w:color="auto" w:fill="F4F6F7"/>
          </w:tcPr>
          <w:p>
            <w:pPr>
              <w:jc w:val="left"/>
            </w:pPr>
            <w:r>
              <w:rPr>
                <w:color w:val="2C3E50"/>
                <w:sz w:val="19"/>
              </w:rPr>
              <w:t>3 hrs</w:t>
            </w:r>
          </w:p>
        </w:tc>
      </w:tr>
      <w:tr>
        <w:tc>
          <w:tcPr>
            <w:tcW w:type="dxa" w:w="1008"/>
            <w:shd w:val="clear" w:color="auto" w:fill="FFFFFF"/>
          </w:tcPr>
          <w:p>
            <w:pPr>
              <w:jc w:val="left"/>
            </w:pPr>
            <w:r>
              <w:rPr>
                <w:color w:val="2C3E50"/>
                <w:sz w:val="19"/>
              </w:rPr>
              <w:t>P3</w:t>
            </w:r>
          </w:p>
        </w:tc>
        <w:tc>
          <w:tcPr>
            <w:tcW w:type="dxa" w:w="4176"/>
            <w:shd w:val="clear" w:color="auto" w:fill="FFFFFF"/>
          </w:tcPr>
          <w:p>
            <w:pPr>
              <w:jc w:val="left"/>
            </w:pPr>
            <w:r>
              <w:rPr>
                <w:color w:val="2C3E50"/>
                <w:sz w:val="19"/>
              </w:rPr>
              <w:t>Add build_profile_lookup for future panel WoQ imputation fallback</w:t>
            </w:r>
          </w:p>
        </w:tc>
        <w:tc>
          <w:tcPr>
            <w:tcW w:type="dxa" w:w="1584"/>
            <w:shd w:val="clear" w:color="auto" w:fill="FFFFFF"/>
          </w:tcPr>
          <w:p>
            <w:pPr>
              <w:jc w:val="left"/>
            </w:pPr>
            <w:r>
              <w:rPr>
                <w:color w:val="2C3E50"/>
                <w:sz w:val="19"/>
              </w:rPr>
              <w:t>+0.5 pt</w:t>
            </w:r>
          </w:p>
        </w:tc>
        <w:tc>
          <w:tcPr>
            <w:tcW w:type="dxa" w:w="1296"/>
            <w:shd w:val="clear" w:color="auto" w:fill="FFFFFF"/>
          </w:tcPr>
          <w:p>
            <w:pPr>
              <w:jc w:val="left"/>
            </w:pPr>
            <w:r>
              <w:rPr>
                <w:color w:val="2C3E50"/>
                <w:sz w:val="19"/>
              </w:rPr>
              <w:t>2 hrs</w:t>
            </w:r>
          </w:p>
        </w:tc>
      </w:tr>
      <w:tr>
        <w:tc>
          <w:tcPr>
            <w:tcW w:type="dxa" w:w="1008"/>
            <w:shd w:val="clear" w:color="auto" w:fill="F4F6F7"/>
          </w:tcPr>
          <w:p>
            <w:pPr>
              <w:jc w:val="left"/>
            </w:pPr>
            <w:r>
              <w:rPr>
                <w:color w:val="2C3E50"/>
                <w:sz w:val="19"/>
              </w:rPr>
              <w:t>P4</w:t>
            </w:r>
          </w:p>
        </w:tc>
        <w:tc>
          <w:tcPr>
            <w:tcW w:type="dxa" w:w="4176"/>
            <w:shd w:val="clear" w:color="auto" w:fill="F4F6F7"/>
          </w:tcPr>
          <w:p>
            <w:pPr>
              <w:jc w:val="left"/>
            </w:pPr>
            <w:r>
              <w:rPr>
                <w:color w:val="2C3E50"/>
                <w:sz w:val="19"/>
              </w:rPr>
              <w:t>Move ZORDER to async maintenance job; separate from forecast execution</w:t>
            </w:r>
          </w:p>
        </w:tc>
        <w:tc>
          <w:tcPr>
            <w:tcW w:type="dxa" w:w="1584"/>
            <w:shd w:val="clear" w:color="auto" w:fill="F4F6F7"/>
          </w:tcPr>
          <w:p>
            <w:pPr>
              <w:jc w:val="left"/>
            </w:pPr>
            <w:r>
              <w:rPr>
                <w:color w:val="2C3E50"/>
                <w:sz w:val="19"/>
              </w:rPr>
              <w:t>+0 pt ops</w:t>
            </w:r>
          </w:p>
        </w:tc>
        <w:tc>
          <w:tcPr>
            <w:tcW w:type="dxa" w:w="1296"/>
            <w:shd w:val="clear" w:color="auto" w:fill="F4F6F7"/>
          </w:tcPr>
          <w:p>
            <w:pPr>
              <w:jc w:val="left"/>
            </w:pPr>
            <w:r>
              <w:rPr>
                <w:color w:val="2C3E50"/>
                <w:sz w:val="19"/>
              </w:rPr>
              <w:t>2 hrs</w:t>
            </w:r>
          </w:p>
        </w:tc>
      </w:tr>
    </w:tbl>
    <w:p/>
    <w:p>
      <w:pPr>
        <w:spacing w:before="200" w:after="60"/>
      </w:pPr>
      <w:r>
        <w:rPr>
          <w:b/>
          <w:color w:val="2C3E50"/>
          <w:sz w:val="22"/>
        </w:rPr>
        <w:t>9.3 V4 Standout Achievements</w:t>
      </w:r>
    </w:p>
    <w:p>
      <w:pPr>
        <w:pStyle w:val="ListBullet"/>
        <w:spacing w:before="20" w:after="40"/>
        <w:ind w:left="360"/>
      </w:pPr>
      <w:r>
        <w:rPr>
          <w:color w:val="2C3E50"/>
          <w:sz w:val="20"/>
        </w:rPr>
        <w:t>Root Cause Elimination: Switching from total_amount to amount_towards_plan is the highest-impact single change in the codebase history. All prior V1-V3 WAPEs were computed against the wrong target and are now invalid benchmarks. V4 produces the first meaningful ITSG forecast accuracy measurement.</w:t>
      </w:r>
    </w:p>
    <w:p>
      <w:pPr>
        <w:pStyle w:val="ListBullet"/>
        <w:spacing w:before="20" w:after="40"/>
        <w:ind w:left="360"/>
      </w:pPr>
      <w:r>
        <w:rPr>
          <w:color w:val="2C3E50"/>
          <w:sz w:val="20"/>
        </w:rPr>
        <w:t>True GR Optimization: CV-residual covariance + SLSQP constrained minimization enables genuine Granger-Ramanathan optimal weights for the first time. The V3 equal-weight fallback is eliminated under normal operating conditions.</w:t>
      </w:r>
    </w:p>
    <w:p>
      <w:pPr>
        <w:pStyle w:val="ListBullet"/>
        <w:spacing w:before="20" w:after="40"/>
        <w:ind w:left="360"/>
      </w:pPr>
      <w:r>
        <w:rPr>
          <w:color w:val="2C3E50"/>
          <w:sz w:val="20"/>
        </w:rPr>
        <w:t>Complete MLflow/Unity Catalog Stack: Experiment tracking (all 5 models + ensemble weights + condition numbers) + Model Registry (P50 model with signature). Fully audit-able and deployment-ready.</w:t>
      </w:r>
    </w:p>
    <w:p>
      <w:pPr>
        <w:pStyle w:val="ListBullet"/>
        <w:spacing w:before="20" w:after="40"/>
        <w:ind w:left="360"/>
      </w:pPr>
      <w:r>
        <w:rPr>
          <w:color w:val="2C3E50"/>
          <w:sz w:val="20"/>
        </w:rPr>
        <w:t>ZORDER Query Optimization: Efficient time-sliced Atlas app queries without requiring table recreation. Pragmatic Delta Lake solution to the partitionBy gap.</w:t>
      </w:r>
    </w:p>
    <w:p>
      <w:pPr>
        <w:spacing w:before="200" w:after="60"/>
      </w:pPr>
      <w:r>
        <w:rPr>
          <w:b/>
          <w:color w:val="2C3E50"/>
          <w:sz w:val="22"/>
        </w:rPr>
        <w:t>9.4 Full Codebase Assessment — All Versions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152"/>
            <w:shd w:val="clear" w:color="auto" w:fill="2C3E50"/>
          </w:tcPr>
          <w:p>
            <w:pPr>
              <w:jc w:val="center"/>
            </w:pPr>
            <w:r>
              <w:rPr>
                <w:b/>
                <w:color w:val="FFFFFF"/>
                <w:sz w:val="19"/>
              </w:rPr>
              <w:t>Version</w:t>
            </w:r>
          </w:p>
        </w:tc>
        <w:tc>
          <w:tcPr>
            <w:tcW w:type="dxa" w:w="1008"/>
            <w:shd w:val="clear" w:color="auto" w:fill="2C3E50"/>
          </w:tcPr>
          <w:p>
            <w:pPr>
              <w:jc w:val="center"/>
            </w:pPr>
            <w:r>
              <w:rPr>
                <w:b/>
                <w:color w:val="FFFFFF"/>
                <w:sz w:val="19"/>
              </w:rPr>
              <w:t>Score</w:t>
            </w:r>
          </w:p>
        </w:tc>
        <w:tc>
          <w:tcPr>
            <w:tcW w:type="dxa" w:w="2448"/>
            <w:shd w:val="clear" w:color="auto" w:fill="2C3E50"/>
          </w:tcPr>
          <w:p>
            <w:pPr>
              <w:jc w:val="center"/>
            </w:pPr>
            <w:r>
              <w:rPr>
                <w:b/>
                <w:color w:val="FFFFFF"/>
                <w:sz w:val="19"/>
              </w:rPr>
              <w:t>Classification</w:t>
            </w:r>
          </w:p>
        </w:tc>
        <w:tc>
          <w:tcPr>
            <w:tcW w:type="dxa" w:w="3600"/>
            <w:shd w:val="clear" w:color="auto" w:fill="2C3E50"/>
          </w:tcPr>
          <w:p>
            <w:pPr>
              <w:jc w:val="center"/>
            </w:pPr>
            <w:r>
              <w:rPr>
                <w:b/>
                <w:color w:val="FFFFFF"/>
                <w:sz w:val="19"/>
              </w:rPr>
              <w:t>Defining Improvement</w:t>
            </w:r>
          </w:p>
        </w:tc>
        <w:tc>
          <w:tcPr>
            <w:tcW w:type="dxa" w:w="2304"/>
            <w:shd w:val="clear" w:color="auto" w:fill="2C3E50"/>
          </w:tcPr>
          <w:p>
            <w:pPr>
              <w:jc w:val="center"/>
            </w:pPr>
            <w:r>
              <w:rPr>
                <w:b/>
                <w:color w:val="FFFFFF"/>
                <w:sz w:val="19"/>
              </w:rPr>
              <w:t>Fatal Flaw Fixed?</w:t>
            </w:r>
          </w:p>
        </w:tc>
      </w:tr>
      <w:tr>
        <w:tc>
          <w:tcPr>
            <w:tcW w:type="dxa" w:w="1152"/>
            <w:shd w:val="clear" w:color="auto" w:fill="F4F6F7"/>
          </w:tcPr>
          <w:p>
            <w:pPr>
              <w:jc w:val="left"/>
            </w:pPr>
            <w:r>
              <w:rPr>
                <w:color w:val="2C3E50"/>
                <w:sz w:val="19"/>
              </w:rPr>
              <w:t>V1</w:t>
            </w:r>
          </w:p>
        </w:tc>
        <w:tc>
          <w:tcPr>
            <w:tcW w:type="dxa" w:w="1008"/>
            <w:shd w:val="clear" w:color="auto" w:fill="F4F6F7"/>
          </w:tcPr>
          <w:p>
            <w:pPr>
              <w:jc w:val="left"/>
            </w:pPr>
            <w:r>
              <w:rPr>
                <w:color w:val="2C3E50"/>
                <w:sz w:val="19"/>
              </w:rPr>
              <w:t>73/100</w:t>
            </w:r>
          </w:p>
        </w:tc>
        <w:tc>
          <w:tcPr>
            <w:tcW w:type="dxa" w:w="2448"/>
            <w:shd w:val="clear" w:color="auto" w:fill="F4F6F7"/>
          </w:tcPr>
          <w:p>
            <w:pPr>
              <w:jc w:val="left"/>
            </w:pPr>
            <w:r>
              <w:rPr>
                <w:color w:val="2C3E50"/>
                <w:sz w:val="19"/>
              </w:rPr>
              <w:t>Research-Grade</w:t>
            </w:r>
          </w:p>
        </w:tc>
        <w:tc>
          <w:tcPr>
            <w:tcW w:type="dxa" w:w="3600"/>
            <w:shd w:val="clear" w:color="auto" w:fill="F4F6F7"/>
          </w:tcPr>
          <w:p>
            <w:pPr>
              <w:jc w:val="left"/>
            </w:pPr>
            <w:r>
              <w:rPr>
                <w:color w:val="2C3E50"/>
                <w:sz w:val="19"/>
              </w:rPr>
              <w:t>Initial prototype</w:t>
            </w:r>
          </w:p>
        </w:tc>
        <w:tc>
          <w:tcPr>
            <w:tcW w:type="dxa" w:w="2304"/>
            <w:shd w:val="clear" w:color="auto" w:fill="F4F6F7"/>
          </w:tcPr>
          <w:p>
            <w:pPr>
              <w:jc w:val="left"/>
            </w:pPr>
            <w:r>
              <w:rPr>
                <w:color w:val="2C3E50"/>
                <w:sz w:val="19"/>
              </w:rPr>
              <w:t>N/A — introduced TCV error</w:t>
            </w:r>
          </w:p>
        </w:tc>
      </w:tr>
      <w:tr>
        <w:tc>
          <w:tcPr>
            <w:tcW w:type="dxa" w:w="1152"/>
            <w:shd w:val="clear" w:color="auto" w:fill="FFFFFF"/>
          </w:tcPr>
          <w:p>
            <w:pPr>
              <w:jc w:val="left"/>
            </w:pPr>
            <w:r>
              <w:rPr>
                <w:color w:val="2C3E50"/>
                <w:sz w:val="19"/>
              </w:rPr>
              <w:t>V2</w:t>
            </w:r>
          </w:p>
        </w:tc>
        <w:tc>
          <w:tcPr>
            <w:tcW w:type="dxa" w:w="1008"/>
            <w:shd w:val="clear" w:color="auto" w:fill="FFFFFF"/>
          </w:tcPr>
          <w:p>
            <w:pPr>
              <w:jc w:val="left"/>
            </w:pPr>
            <w:r>
              <w:rPr>
                <w:color w:val="2C3E50"/>
                <w:sz w:val="19"/>
              </w:rPr>
              <w:t>88/100</w:t>
            </w:r>
          </w:p>
        </w:tc>
        <w:tc>
          <w:tcPr>
            <w:tcW w:type="dxa" w:w="2448"/>
            <w:shd w:val="clear" w:color="auto" w:fill="FFFFFF"/>
          </w:tcPr>
          <w:p>
            <w:pPr>
              <w:jc w:val="left"/>
            </w:pPr>
            <w:r>
              <w:rPr>
                <w:color w:val="2C3E50"/>
                <w:sz w:val="19"/>
              </w:rPr>
              <w:t>Production-Ready</w:t>
            </w:r>
          </w:p>
        </w:tc>
        <w:tc>
          <w:tcPr>
            <w:tcW w:type="dxa" w:w="3600"/>
            <w:shd w:val="clear" w:color="auto" w:fill="FFFFFF"/>
          </w:tcPr>
          <w:p>
            <w:pPr>
              <w:jc w:val="left"/>
            </w:pPr>
            <w:r>
              <w:rPr>
                <w:color w:val="2C3E50"/>
                <w:sz w:val="19"/>
              </w:rPr>
              <w:t>GR ensemble, LGB, MinT absent, overwrite bug</w:t>
            </w:r>
          </w:p>
        </w:tc>
        <w:tc>
          <w:tcPr>
            <w:tcW w:type="dxa" w:w="2304"/>
            <w:shd w:val="clear" w:color="auto" w:fill="FFFFFF"/>
          </w:tcPr>
          <w:p>
            <w:pPr>
              <w:jc w:val="left"/>
            </w:pPr>
            <w:r>
              <w:rPr>
                <w:color w:val="2C3E50"/>
                <w:sz w:val="19"/>
              </w:rPr>
              <w:t>No</w:t>
            </w:r>
          </w:p>
        </w:tc>
      </w:tr>
      <w:tr>
        <w:tc>
          <w:tcPr>
            <w:tcW w:type="dxa" w:w="1152"/>
            <w:shd w:val="clear" w:color="auto" w:fill="F4F6F7"/>
          </w:tcPr>
          <w:p>
            <w:pPr>
              <w:jc w:val="left"/>
            </w:pPr>
            <w:r>
              <w:rPr>
                <w:color w:val="2C3E50"/>
                <w:sz w:val="19"/>
              </w:rPr>
              <w:t>V3</w:t>
            </w:r>
          </w:p>
        </w:tc>
        <w:tc>
          <w:tcPr>
            <w:tcW w:type="dxa" w:w="1008"/>
            <w:shd w:val="clear" w:color="auto" w:fill="F4F6F7"/>
          </w:tcPr>
          <w:p>
            <w:pPr>
              <w:jc w:val="left"/>
            </w:pPr>
            <w:r>
              <w:rPr>
                <w:color w:val="2C3E50"/>
                <w:sz w:val="19"/>
              </w:rPr>
              <w:t>95/100</w:t>
            </w:r>
          </w:p>
        </w:tc>
        <w:tc>
          <w:tcPr>
            <w:tcW w:type="dxa" w:w="2448"/>
            <w:shd w:val="clear" w:color="auto" w:fill="F4F6F7"/>
          </w:tcPr>
          <w:p>
            <w:pPr>
              <w:jc w:val="left"/>
            </w:pPr>
            <w:r>
              <w:rPr>
                <w:color w:val="2C3E50"/>
                <w:sz w:val="19"/>
              </w:rPr>
              <w:t>Production-Grade</w:t>
            </w:r>
          </w:p>
        </w:tc>
        <w:tc>
          <w:tcPr>
            <w:tcW w:type="dxa" w:w="3600"/>
            <w:shd w:val="clear" w:color="auto" w:fill="F4F6F7"/>
          </w:tcPr>
          <w:p>
            <w:pPr>
              <w:jc w:val="left"/>
            </w:pPr>
            <w:r>
              <w:rPr>
                <w:color w:val="2C3E50"/>
                <w:sz w:val="19"/>
              </w:rPr>
              <w:t>MinT, MC scale, MLflow all models, overwrite fixed</w:t>
            </w:r>
          </w:p>
        </w:tc>
        <w:tc>
          <w:tcPr>
            <w:tcW w:type="dxa" w:w="2304"/>
            <w:shd w:val="clear" w:color="auto" w:fill="F4F6F7"/>
          </w:tcPr>
          <w:p>
            <w:pPr>
              <w:jc w:val="left"/>
            </w:pPr>
            <w:r>
              <w:rPr>
                <w:color w:val="2C3E50"/>
                <w:sz w:val="19"/>
              </w:rPr>
              <w:t>No (TCV error persists)</w:t>
            </w:r>
          </w:p>
        </w:tc>
      </w:tr>
      <w:tr>
        <w:tc>
          <w:tcPr>
            <w:tcW w:type="dxa" w:w="1152"/>
            <w:shd w:val="clear" w:color="auto" w:fill="FFFFFF"/>
          </w:tcPr>
          <w:p>
            <w:pPr>
              <w:jc w:val="left"/>
            </w:pPr>
            <w:r>
              <w:rPr>
                <w:color w:val="2C3E50"/>
                <w:sz w:val="19"/>
              </w:rPr>
              <w:t>V4</w:t>
            </w:r>
          </w:p>
        </w:tc>
        <w:tc>
          <w:tcPr>
            <w:tcW w:type="dxa" w:w="1008"/>
            <w:shd w:val="clear" w:color="auto" w:fill="FFFFFF"/>
          </w:tcPr>
          <w:p>
            <w:pPr>
              <w:jc w:val="left"/>
            </w:pPr>
            <w:r>
              <w:rPr>
                <w:color w:val="2C3E50"/>
                <w:sz w:val="19"/>
              </w:rPr>
              <w:t>97/100</w:t>
            </w:r>
          </w:p>
        </w:tc>
        <w:tc>
          <w:tcPr>
            <w:tcW w:type="dxa" w:w="2448"/>
            <w:shd w:val="clear" w:color="auto" w:fill="FFFFFF"/>
          </w:tcPr>
          <w:p>
            <w:pPr>
              <w:jc w:val="left"/>
            </w:pPr>
            <w:r>
              <w:rPr>
                <w:color w:val="2C3E50"/>
                <w:sz w:val="19"/>
              </w:rPr>
              <w:t>Production-Grade, Elite-Tier</w:t>
            </w:r>
          </w:p>
        </w:tc>
        <w:tc>
          <w:tcPr>
            <w:tcW w:type="dxa" w:w="3600"/>
            <w:shd w:val="clear" w:color="auto" w:fill="FFFFFF"/>
          </w:tcPr>
          <w:p>
            <w:pPr>
              <w:jc w:val="left"/>
            </w:pPr>
            <w:r>
              <w:rPr>
                <w:color w:val="2C3E50"/>
                <w:sz w:val="19"/>
              </w:rPr>
              <w:t>ATP fix (root cause), GR-CV, Registry, ZORDER</w:t>
            </w:r>
          </w:p>
        </w:tc>
        <w:tc>
          <w:tcPr>
            <w:tcW w:type="dxa" w:w="2304"/>
            <w:shd w:val="clear" w:color="auto" w:fill="FFFFFF"/>
          </w:tcPr>
          <w:p>
            <w:pPr>
              <w:jc w:val="left"/>
            </w:pPr>
            <w:r>
              <w:rPr>
                <w:color w:val="2C3E50"/>
                <w:sz w:val="19"/>
              </w:rPr>
              <w:t>YES — ATP fix</w:t>
            </w:r>
          </w:p>
        </w:tc>
      </w:tr>
      <w:tr>
        <w:tc>
          <w:tcPr>
            <w:tcW w:type="dxa" w:w="1152"/>
            <w:shd w:val="clear" w:color="auto" w:fill="F4F6F7"/>
          </w:tcPr>
          <w:p>
            <w:pPr>
              <w:jc w:val="left"/>
            </w:pPr>
            <w:r>
              <w:rPr>
                <w:color w:val="2C3E50"/>
                <w:sz w:val="19"/>
              </w:rPr>
              <w:t>UCC V9</w:t>
            </w:r>
          </w:p>
        </w:tc>
        <w:tc>
          <w:tcPr>
            <w:tcW w:type="dxa" w:w="1008"/>
            <w:shd w:val="clear" w:color="auto" w:fill="F4F6F7"/>
          </w:tcPr>
          <w:p>
            <w:pPr>
              <w:jc w:val="left"/>
            </w:pPr>
            <w:r>
              <w:rPr>
                <w:color w:val="2C3E50"/>
                <w:sz w:val="19"/>
              </w:rPr>
              <w:t>97/100</w:t>
            </w:r>
          </w:p>
        </w:tc>
        <w:tc>
          <w:tcPr>
            <w:tcW w:type="dxa" w:w="2448"/>
            <w:shd w:val="clear" w:color="auto" w:fill="F4F6F7"/>
          </w:tcPr>
          <w:p>
            <w:pPr>
              <w:jc w:val="left"/>
            </w:pPr>
            <w:r>
              <w:rPr>
                <w:color w:val="2C3E50"/>
                <w:sz w:val="19"/>
              </w:rPr>
              <w:t>Production-Grade, Elite-Tier</w:t>
            </w:r>
          </w:p>
        </w:tc>
        <w:tc>
          <w:tcPr>
            <w:tcW w:type="dxa" w:w="3600"/>
            <w:shd w:val="clear" w:color="auto" w:fill="F4F6F7"/>
          </w:tcPr>
          <w:p>
            <w:pPr>
              <w:jc w:val="left"/>
            </w:pPr>
            <w:r>
              <w:rPr>
                <w:color w:val="2C3E50"/>
                <w:sz w:val="19"/>
              </w:rPr>
              <w:t>MC scale, phase-stable Fourier, MinT, recursive LGB</w:t>
            </w:r>
          </w:p>
        </w:tc>
        <w:tc>
          <w:tcPr>
            <w:tcW w:type="dxa" w:w="2304"/>
            <w:shd w:val="clear" w:color="auto" w:fill="F4F6F7"/>
          </w:tcPr>
          <w:p>
            <w:pPr>
              <w:jc w:val="left"/>
            </w:pPr>
            <w:r>
              <w:rPr>
                <w:color w:val="2C3E50"/>
                <w:sz w:val="19"/>
              </w:rPr>
              <w:t>N/A</w:t>
            </w:r>
          </w:p>
        </w:tc>
      </w:tr>
    </w:tbl>
    <w:p/>
    <w:p>
      <w:pPr>
        <w:spacing w:before="0" w:after="80"/>
      </w:pPr>
      <w:r>
        <w:rPr>
          <w:color w:val="2C3E50"/>
          <w:sz w:val="21"/>
        </w:rPr>
        <w:t>ITSG V4 and UCC V9 now have identical overall scores (97/100) with comparable architectural quality. The remaining 3 points on both notebooks are operational (Databricks Job, profile lookup, minor documentation) rather than correctness issues. Both are ready for production Atlas Executive Insights consumption.</w:t>
      </w:r>
    </w:p>
    <w:p/>
    <w:p>
      <w:pPr>
        <w:jc w:val="center"/>
      </w:pPr>
      <w:r>
        <w:rPr>
          <w:i/>
          <w:color w:val="5D6D7E"/>
          <w:sz w:val="19"/>
        </w:rPr>
        <w:t>— End of Expert Review —</w:t>
      </w:r>
    </w:p>
    <w:p>
      <w:pPr>
        <w:jc w:val="center"/>
      </w:pPr>
      <w:r>
        <w:rPr>
          <w:i/>
          <w:color w:val="5D6D7E"/>
          <w:sz w:val="17"/>
        </w:rPr>
        <w:t>Source: ITSG Growth ARR Forecasting and Model Validation (4).ipynb  |  Key fix: amount_towards_plan (ATP) replaces total_amount (TCV)  |  Output: datagroup_mdl.mdl_sales_analytics.itsg_forecast_v5</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