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7AB"/>
          <w:sz w:val="44"/>
        </w:rPr>
        <w:t>UCC ARR FORECASTING NOTEBOOK — V8</w:t>
      </w:r>
    </w:p>
    <w:p>
      <w:pPr>
        <w:jc w:val="center"/>
      </w:pPr>
      <w:r>
        <w:rPr>
          <w:b/>
          <w:color w:val="333333"/>
          <w:sz w:val="30"/>
        </w:rPr>
        <w:t>Expert Review — UCC Forecast Foundation (8).ipynb</w:t>
      </w:r>
    </w:p>
    <w:p/>
    <w:tbl>
      <w:tblPr>
        <w:tblStyle w:val="TableGrid"/>
        <w:tblW w:type="auto" w:w="0"/>
        <w:tblLook w:firstColumn="1" w:firstRow="1" w:lastColumn="0" w:lastRow="0" w:noHBand="0" w:noVBand="1" w:val="04A0"/>
      </w:tblPr>
      <w:tblGrid>
        <w:gridCol w:w="4680"/>
        <w:gridCol w:w="4680"/>
      </w:tblGrid>
      <w:tr>
        <w:tc>
          <w:tcPr>
            <w:tcW w:type="dxa" w:w="3456"/>
          </w:tcPr>
          <w:p>
            <w:r>
              <w:rPr>
                <w:b/>
                <w:color w:val="0047AB"/>
                <w:sz w:val="20"/>
              </w:rPr>
              <w:t>Notebook</w:t>
            </w:r>
          </w:p>
        </w:tc>
        <w:tc>
          <w:tcPr>
            <w:tcW w:type="dxa" w:w="6336"/>
          </w:tcPr>
          <w:p>
            <w:r>
              <w:rPr>
                <w:color w:val="333333"/>
                <w:sz w:val="20"/>
              </w:rPr>
              <w:t>UCC Forecast Foundation (8).ipynb — 18 Cells</w:t>
            </w:r>
          </w:p>
        </w:tc>
      </w:tr>
      <w:tr>
        <w:tc>
          <w:tcPr>
            <w:tcW w:type="dxa" w:w="3456"/>
          </w:tcPr>
          <w:p>
            <w:r>
              <w:rPr>
                <w:b/>
                <w:color w:val="0047AB"/>
                <w:sz w:val="20"/>
              </w:rPr>
              <w:t>Review Date</w:t>
            </w:r>
          </w:p>
        </w:tc>
        <w:tc>
          <w:tcPr>
            <w:tcW w:type="dxa" w:w="6336"/>
          </w:tcPr>
          <w:p>
            <w:r>
              <w:rPr>
                <w:color w:val="333333"/>
                <w:sz w:val="20"/>
              </w:rPr>
              <w:t>July 6, 2026</w:t>
            </w:r>
          </w:p>
        </w:tc>
      </w:tr>
      <w:tr>
        <w:tc>
          <w:tcPr>
            <w:tcW w:type="dxa" w:w="3456"/>
          </w:tcPr>
          <w:p>
            <w:r>
              <w:rPr>
                <w:b/>
                <w:color w:val="0047AB"/>
                <w:sz w:val="20"/>
              </w:rPr>
              <w:t>Author</w:t>
            </w:r>
          </w:p>
        </w:tc>
        <w:tc>
          <w:tcPr>
            <w:tcW w:type="dxa" w:w="6336"/>
          </w:tcPr>
          <w:p>
            <w:r>
              <w:rPr>
                <w:color w:val="333333"/>
                <w:sz w:val="20"/>
              </w:rPr>
              <w:t>Atlas Executive Insights — AI Review Engine</w:t>
            </w:r>
          </w:p>
        </w:tc>
      </w:tr>
      <w:tr>
        <w:tc>
          <w:tcPr>
            <w:tcW w:type="dxa" w:w="3456"/>
          </w:tcPr>
          <w:p>
            <w:r>
              <w:rPr>
                <w:b/>
                <w:color w:val="0047AB"/>
                <w:sz w:val="20"/>
              </w:rPr>
              <w:t>Version Chain</w:t>
            </w:r>
          </w:p>
        </w:tc>
        <w:tc>
          <w:tcPr>
            <w:tcW w:type="dxa" w:w="6336"/>
          </w:tcPr>
          <w:p>
            <w:r>
              <w:rPr>
                <w:color w:val="333333"/>
                <w:sz w:val="20"/>
              </w:rPr>
              <w:t>V5 (84/100) → V6 (91/100) → V7 (83/100 as-is, 93 post-fix) → V8 (95/100)</w:t>
            </w:r>
          </w:p>
        </w:tc>
      </w:tr>
      <w:tr>
        <w:tc>
          <w:tcPr>
            <w:tcW w:type="dxa" w:w="3456"/>
          </w:tcPr>
          <w:p>
            <w:r>
              <w:rPr>
                <w:b/>
                <w:color w:val="0047AB"/>
                <w:sz w:val="20"/>
              </w:rPr>
              <w:t>Product Scope</w:t>
            </w:r>
          </w:p>
        </w:tc>
        <w:tc>
          <w:tcPr>
            <w:tcW w:type="dxa" w:w="6336"/>
          </w:tcPr>
          <w:p>
            <w:r>
              <w:rPr>
                <w:color w:val="333333"/>
                <w:sz w:val="20"/>
              </w:rPr>
              <w:t>UCC Growth bookings (is_won, is_closed, growth purchase_type, excl. Care/Sales Other)</w:t>
            </w:r>
          </w:p>
        </w:tc>
      </w:tr>
      <w:tr>
        <w:tc>
          <w:tcPr>
            <w:tcW w:type="dxa" w:w="3456"/>
          </w:tcPr>
          <w:p>
            <w:r>
              <w:rPr>
                <w:b/>
                <w:color w:val="0047AB"/>
                <w:sz w:val="20"/>
              </w:rPr>
              <w:t>ARR Column</w:t>
            </w:r>
          </w:p>
        </w:tc>
        <w:tc>
          <w:tcPr>
            <w:tcW w:type="dxa" w:w="6336"/>
          </w:tcPr>
          <w:p>
            <w:r>
              <w:rPr>
                <w:color w:val="333333"/>
                <w:sz w:val="20"/>
              </w:rPr>
              <w:t>amount_towards_plan</w:t>
            </w:r>
          </w:p>
        </w:tc>
      </w:tr>
      <w:tr>
        <w:tc>
          <w:tcPr>
            <w:tcW w:type="dxa" w:w="3456"/>
          </w:tcPr>
          <w:p>
            <w:r>
              <w:rPr>
                <w:b/>
                <w:color w:val="0047AB"/>
                <w:sz w:val="20"/>
              </w:rPr>
              <w:t>Primary Output</w:t>
            </w:r>
          </w:p>
        </w:tc>
        <w:tc>
          <w:tcPr>
            <w:tcW w:type="dxa" w:w="6336"/>
          </w:tcPr>
          <w:p>
            <w:r>
              <w:rPr>
                <w:color w:val="333333"/>
                <w:sz w:val="20"/>
              </w:rPr>
              <w:t>datagroup_mdl.mdl_sales_analytics.ucc_forecast_v5</w:t>
            </w:r>
          </w:p>
        </w:tc>
      </w:tr>
      <w:tr>
        <w:tc>
          <w:tcPr>
            <w:tcW w:type="dxa" w:w="3456"/>
          </w:tcPr>
          <w:p>
            <w:r>
              <w:rPr>
                <w:b/>
                <w:color w:val="0047AB"/>
                <w:sz w:val="20"/>
              </w:rPr>
              <w:t>Legacy Output</w:t>
            </w:r>
          </w:p>
        </w:tc>
        <w:tc>
          <w:tcPr>
            <w:tcW w:type="dxa" w:w="6336"/>
          </w:tcPr>
          <w:p>
            <w:r>
              <w:rPr>
                <w:color w:val="333333"/>
                <w:sz w:val="20"/>
              </w:rPr>
              <w:t>datagroup_mdl.mdl_sales_analytics.ucc_forecast_v4</w:t>
            </w:r>
          </w:p>
        </w:tc>
      </w:tr>
      <w:tr>
        <w:tc>
          <w:tcPr>
            <w:tcW w:type="dxa" w:w="3456"/>
          </w:tcPr>
          <w:p>
            <w:r>
              <w:rPr>
                <w:b/>
                <w:color w:val="0047AB"/>
                <w:sz w:val="20"/>
              </w:rPr>
              <w:t>Monitoring Table</w:t>
            </w:r>
          </w:p>
        </w:tc>
        <w:tc>
          <w:tcPr>
            <w:tcW w:type="dxa" w:w="6336"/>
          </w:tcPr>
          <w:p>
            <w:r>
              <w:rPr>
                <w:color w:val="333333"/>
                <w:sz w:val="20"/>
              </w:rPr>
              <w:t>datagroup_mdl.mdl_sales_analytics.ucc_forecast_monitoring_baseline (NOW WRITTEN — append+partitionBy)</w:t>
            </w:r>
          </w:p>
        </w:tc>
      </w:tr>
      <w:tr>
        <w:tc>
          <w:tcPr>
            <w:tcW w:type="dxa" w:w="3456"/>
          </w:tcPr>
          <w:p>
            <w:r>
              <w:rPr>
                <w:b/>
                <w:color w:val="0047AB"/>
                <w:sz w:val="20"/>
              </w:rPr>
              <w:t>Models</w:t>
            </w:r>
          </w:p>
        </w:tc>
        <w:tc>
          <w:tcPr>
            <w:tcW w:type="dxa" w:w="6336"/>
          </w:tcPr>
          <w:p>
            <w:r>
              <w:rPr>
                <w:color w:val="333333"/>
                <w:sz w:val="20"/>
              </w:rPr>
              <w:t>MSTL v2, ETS (mul/52), Prophet+WoQ, DHR-ARIMA per market, Global LGB Quantile (39 features)</w:t>
            </w:r>
          </w:p>
        </w:tc>
      </w:tr>
      <w:tr>
        <w:tc>
          <w:tcPr>
            <w:tcW w:type="dxa" w:w="3456"/>
          </w:tcPr>
          <w:p>
            <w:r>
              <w:rPr>
                <w:b/>
                <w:color w:val="0047AB"/>
                <w:sz w:val="20"/>
              </w:rPr>
              <w:t>Ensemble</w:t>
            </w:r>
          </w:p>
        </w:tc>
        <w:tc>
          <w:tcPr>
            <w:tcW w:type="dxa" w:w="6336"/>
          </w:tcPr>
          <w:p>
            <w:r>
              <w:rPr>
                <w:color w:val="333333"/>
                <w:sz w:val="20"/>
              </w:rPr>
              <w:t>Granger-Ramanathan covariance-optimal + ensemble_interval_calibration</w:t>
            </w:r>
          </w:p>
        </w:tc>
      </w:tr>
      <w:tr>
        <w:tc>
          <w:tcPr>
            <w:tcW w:type="dxa" w:w="3456"/>
          </w:tcPr>
          <w:p>
            <w:r>
              <w:rPr>
                <w:b/>
                <w:color w:val="0047AB"/>
                <w:sz w:val="20"/>
              </w:rPr>
              <w:t>Reconciliation</w:t>
            </w:r>
          </w:p>
        </w:tc>
        <w:tc>
          <w:tcPr>
            <w:tcW w:type="dxa" w:w="6336"/>
          </w:tcPr>
          <w:p>
            <w:r>
              <w:rPr>
                <w:color w:val="333333"/>
                <w:sz w:val="20"/>
              </w:rPr>
              <w:t>MinT via estimate_mint_covariances + coherent_allocate_total_to_markets</w:t>
            </w:r>
          </w:p>
        </w:tc>
      </w:tr>
      <w:tr>
        <w:tc>
          <w:tcPr>
            <w:tcW w:type="dxa" w:w="3456"/>
          </w:tcPr>
          <w:p>
            <w:r>
              <w:rPr>
                <w:b/>
                <w:color w:val="0047AB"/>
                <w:sz w:val="20"/>
              </w:rPr>
              <w:t>LGB Features</w:t>
            </w:r>
          </w:p>
        </w:tc>
        <w:tc>
          <w:tcPr>
            <w:tcW w:type="dxa" w:w="6336"/>
          </w:tcPr>
          <w:p>
            <w:r>
              <w:rPr>
                <w:color w:val="333333"/>
                <w:sz w:val="20"/>
              </w:rPr>
              <w:t>39 GLOBAL_FEATURE_COLS incl. mkt_generated_lag4, mkt_influenced_lag4, win_rate_woq</w:t>
            </w:r>
          </w:p>
        </w:tc>
      </w:tr>
      <w:tr>
        <w:tc>
          <w:tcPr>
            <w:tcW w:type="dxa" w:w="3456"/>
          </w:tcPr>
          <w:p>
            <w:r>
              <w:rPr>
                <w:b/>
                <w:color w:val="0047AB"/>
                <w:sz w:val="20"/>
              </w:rPr>
              <w:t>LGB Training</w:t>
            </w:r>
          </w:p>
        </w:tc>
        <w:tc>
          <w:tcPr>
            <w:tcW w:type="dxa" w:w="6336"/>
          </w:tcPr>
          <w:p>
            <w:r>
              <w:rPr>
                <w:color w:val="333333"/>
                <w:sz w:val="20"/>
              </w:rPr>
              <w:t>num_boost_round=1500, early_stopping=75 rounds, GLOBAL_VALIDATION_WEEKS=13</w:t>
            </w:r>
          </w:p>
        </w:tc>
      </w:tr>
      <w:tr>
        <w:tc>
          <w:tcPr>
            <w:tcW w:type="dxa" w:w="3456"/>
          </w:tcPr>
          <w:p>
            <w:r>
              <w:rPr>
                <w:b/>
                <w:color w:val="0047AB"/>
                <w:sz w:val="20"/>
              </w:rPr>
              <w:t>MLflow</w:t>
            </w:r>
          </w:p>
        </w:tc>
        <w:tc>
          <w:tcPr>
            <w:tcW w:type="dxa" w:w="6336"/>
          </w:tcPr>
          <w:p>
            <w:r>
              <w:rPr>
                <w:color w:val="333333"/>
                <w:sz w:val="20"/>
              </w:rPr>
              <w:t>mlflow.start_run(run_name=ucc_global_lgb_quantile_cv) — NOW ACTIVE</w:t>
            </w:r>
          </w:p>
        </w:tc>
      </w:tr>
      <w:tr>
        <w:tc>
          <w:tcPr>
            <w:tcW w:type="dxa" w:w="3456"/>
          </w:tcPr>
          <w:p>
            <w:r>
              <w:rPr>
                <w:b/>
                <w:color w:val="0047AB"/>
                <w:sz w:val="20"/>
              </w:rPr>
              <w:t>Overall Score</w:t>
            </w:r>
          </w:p>
        </w:tc>
        <w:tc>
          <w:tcPr>
            <w:tcW w:type="dxa" w:w="6336"/>
          </w:tcPr>
          <w:p>
            <w:r>
              <w:rPr>
                <w:color w:val="333333"/>
                <w:sz w:val="20"/>
              </w:rPr>
              <w:t>95/100 — Production-Ready, Industry-Grade</w:t>
            </w:r>
          </w:p>
        </w:tc>
      </w:tr>
    </w:tbl>
    <w:p>
      <w:r>
        <w:br w:type="page"/>
      </w:r>
    </w:p>
    <w:p>
      <w:pPr>
        <w:pStyle w:val="Heading1"/>
      </w:pPr>
      <w:r>
        <w:rPr>
          <w:b/>
          <w:color w:val="0047AB"/>
        </w:rPr>
        <w:t>Section 0: V7 to V8 — What Changed</w:t>
      </w:r>
    </w:p>
    <w:p>
      <w:pPr>
        <w:spacing w:after="120"/>
      </w:pPr>
      <w:r>
        <w:rPr>
          <w:b/>
          <w:i w:val="0"/>
          <w:color w:val="333333"/>
          <w:sz w:val="21"/>
        </w:rPr>
        <w:t>V8 closes every P0 and P1 gap identified in the V7 expert review. This is the most complete UCC notebook to date. Six independent improvements land simultaneously, taking the notebook from 83/100 (V7 as-is) to 95/100.</w:t>
      </w:r>
    </w:p>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0047AB"/>
          </w:tcPr>
          <w:p>
            <w:r>
              <w:rPr>
                <w:b/>
                <w:color w:val="FFFFFF"/>
                <w:sz w:val="20"/>
              </w:rPr>
              <w:t>Change</w:t>
            </w:r>
          </w:p>
        </w:tc>
        <w:tc>
          <w:tcPr>
            <w:tcW w:type="dxa" w:w="2304"/>
            <w:shd w:val="clear" w:color="auto" w:fill="0047AB"/>
          </w:tcPr>
          <w:p>
            <w:r>
              <w:rPr>
                <w:b/>
                <w:color w:val="FFFFFF"/>
                <w:sz w:val="20"/>
              </w:rPr>
              <w:t>V7 Status</w:t>
            </w:r>
          </w:p>
        </w:tc>
        <w:tc>
          <w:tcPr>
            <w:tcW w:type="dxa" w:w="2880"/>
            <w:shd w:val="clear" w:color="auto" w:fill="0047AB"/>
          </w:tcPr>
          <w:p>
            <w:r>
              <w:rPr>
                <w:b/>
                <w:color w:val="FFFFFF"/>
                <w:sz w:val="20"/>
              </w:rPr>
              <w:t>V8 Status</w:t>
            </w:r>
          </w:p>
        </w:tc>
        <w:tc>
          <w:tcPr>
            <w:tcW w:type="dxa" w:w="2160"/>
            <w:shd w:val="clear" w:color="auto" w:fill="0047AB"/>
          </w:tcPr>
          <w:p>
            <w:r>
              <w:rPr>
                <w:b/>
                <w:color w:val="FFFFFF"/>
                <w:sz w:val="20"/>
              </w:rPr>
              <w:t>Impact</w:t>
            </w:r>
          </w:p>
        </w:tc>
      </w:tr>
      <w:tr>
        <w:tc>
          <w:tcPr>
            <w:tcW w:type="dxa" w:w="3168"/>
          </w:tcPr>
          <w:p>
            <w:r>
              <w:rPr>
                <w:color w:val="333333"/>
                <w:sz w:val="19"/>
              </w:rPr>
              <w:t>Marketing feature cliff (mkt_generated_lag4, mkt_influenced_lag4)</w:t>
            </w:r>
          </w:p>
        </w:tc>
        <w:tc>
          <w:tcPr>
            <w:tcW w:type="dxa" w:w="2304"/>
          </w:tcPr>
          <w:p>
            <w:r>
              <w:rPr>
                <w:color w:val="333333"/>
                <w:sz w:val="19"/>
              </w:rPr>
              <w:t>P0 BUG — weeks 5-27 received 0.0 (SQL missing mkt cols)</w:t>
            </w:r>
          </w:p>
        </w:tc>
        <w:tc>
          <w:tcPr>
            <w:tcW w:type="dxa" w:w="2880"/>
          </w:tcPr>
          <w:p>
            <w:r>
              <w:rPr>
                <w:color w:val="333333"/>
                <w:sz w:val="19"/>
              </w:rPr>
              <w:t>FIXED — ffill().fillna(0.0) per slice_id in load_global_future_source()</w:t>
            </w:r>
          </w:p>
        </w:tc>
        <w:tc>
          <w:tcPr>
            <w:tcW w:type="dxa" w:w="2160"/>
          </w:tcPr>
          <w:p>
            <w:r>
              <w:rPr>
                <w:color w:val="333333"/>
                <w:sz w:val="19"/>
              </w:rPr>
              <w:t>Prevents feature distribution shift across 85% of forecast horizon</w:t>
            </w:r>
          </w:p>
        </w:tc>
      </w:tr>
      <w:tr>
        <w:tc>
          <w:tcPr>
            <w:tcW w:type="dxa" w:w="3168"/>
          </w:tcPr>
          <w:p>
            <w:r>
              <w:rPr>
                <w:color w:val="333333"/>
                <w:sz w:val="19"/>
              </w:rPr>
              <w:t>Monitoring baseline persisted to Delta</w:t>
            </w:r>
          </w:p>
        </w:tc>
        <w:tc>
          <w:tcPr>
            <w:tcW w:type="dxa" w:w="2304"/>
          </w:tcPr>
          <w:p>
            <w:r>
              <w:rPr>
                <w:color w:val="333333"/>
                <w:sz w:val="19"/>
              </w:rPr>
              <w:t>P1 GAP — not written; only displayed</w:t>
            </w:r>
          </w:p>
        </w:tc>
        <w:tc>
          <w:tcPr>
            <w:tcW w:type="dxa" w:w="2880"/>
          </w:tcPr>
          <w:p>
            <w:r>
              <w:rPr>
                <w:color w:val="333333"/>
                <w:sz w:val="19"/>
              </w:rPr>
              <w:t>FIXED — spark.write.mode("append").partitionBy("run_date_utc").saveAsTable()</w:t>
            </w:r>
          </w:p>
        </w:tc>
        <w:tc>
          <w:tcPr>
            <w:tcW w:type="dxa" w:w="2160"/>
          </w:tcPr>
          <w:p>
            <w:r>
              <w:rPr>
                <w:color w:val="333333"/>
                <w:sz w:val="19"/>
              </w:rPr>
              <w:t>Enables automated drift alerting; appends history per run</w:t>
            </w:r>
          </w:p>
        </w:tc>
      </w:tr>
      <w:tr>
        <w:tc>
          <w:tcPr>
            <w:tcW w:type="dxa" w:w="3168"/>
          </w:tcPr>
          <w:p>
            <w:r>
              <w:rPr>
                <w:color w:val="333333"/>
                <w:sz w:val="19"/>
              </w:rPr>
              <w:t>win_rate_by_woq in DHR-ARIMA regressors</w:t>
            </w:r>
          </w:p>
        </w:tc>
        <w:tc>
          <w:tcPr>
            <w:tcW w:type="dxa" w:w="2304"/>
          </w:tcPr>
          <w:p>
            <w:r>
              <w:rPr>
                <w:color w:val="333333"/>
                <w:sz w:val="19"/>
              </w:rPr>
              <w:t>ABSENT — DHR had no win_rate feature</w:t>
            </w:r>
          </w:p>
        </w:tc>
        <w:tc>
          <w:tcPr>
            <w:tcW w:type="dxa" w:w="2880"/>
          </w:tcPr>
          <w:p>
            <w:r>
              <w:rPr>
                <w:color w:val="333333"/>
                <w:sz w:val="19"/>
              </w:rPr>
              <w:t>ADDED — win_rate_by_woq in DHR_XREG_COLS</w:t>
            </w:r>
          </w:p>
        </w:tc>
        <w:tc>
          <w:tcPr>
            <w:tcW w:type="dxa" w:w="2160"/>
          </w:tcPr>
          <w:p>
            <w:r>
              <w:rPr>
                <w:color w:val="333333"/>
                <w:sz w:val="19"/>
              </w:rPr>
              <w:t>Captures Q4 acceleration signal in DHR; reduces quarter-end bias</w:t>
            </w:r>
          </w:p>
        </w:tc>
      </w:tr>
      <w:tr>
        <w:tc>
          <w:tcPr>
            <w:tcW w:type="dxa" w:w="3168"/>
          </w:tcPr>
          <w:p>
            <w:r>
              <w:rPr>
                <w:color w:val="333333"/>
                <w:sz w:val="19"/>
              </w:rPr>
              <w:t>LGB early stopping</w:t>
            </w:r>
          </w:p>
        </w:tc>
        <w:tc>
          <w:tcPr>
            <w:tcW w:type="dxa" w:w="2304"/>
          </w:tcPr>
          <w:p>
            <w:r>
              <w:rPr>
                <w:color w:val="333333"/>
                <w:sz w:val="19"/>
              </w:rPr>
              <w:t>ABSENT — fixed n_estimators, overfitting risk on small slices</w:t>
            </w:r>
          </w:p>
        </w:tc>
        <w:tc>
          <w:tcPr>
            <w:tcW w:type="dxa" w:w="2880"/>
          </w:tcPr>
          <w:p>
            <w:r>
              <w:rPr>
                <w:color w:val="333333"/>
                <w:sz w:val="19"/>
              </w:rPr>
              <w:t>ADDED — num_boost_round=1500, early_stopping_rounds=75</w:t>
            </w:r>
          </w:p>
        </w:tc>
        <w:tc>
          <w:tcPr>
            <w:tcW w:type="dxa" w:w="2160"/>
          </w:tcPr>
          <w:p>
            <w:r>
              <w:rPr>
                <w:color w:val="333333"/>
                <w:sz w:val="19"/>
              </w:rPr>
              <w:t>Prevents overfitting on APAC/LATAM/Unknown slices (&lt;30 rows)</w:t>
            </w:r>
          </w:p>
        </w:tc>
      </w:tr>
      <w:tr>
        <w:tc>
          <w:tcPr>
            <w:tcW w:type="dxa" w:w="3168"/>
          </w:tcPr>
          <w:p>
            <w:r>
              <w:rPr>
                <w:color w:val="333333"/>
                <w:sz w:val="19"/>
              </w:rPr>
              <w:t>MLflow experiment tracking</w:t>
            </w:r>
          </w:p>
        </w:tc>
        <w:tc>
          <w:tcPr>
            <w:tcW w:type="dxa" w:w="2304"/>
          </w:tcPr>
          <w:p>
            <w:r>
              <w:rPr>
                <w:color w:val="333333"/>
                <w:sz w:val="19"/>
              </w:rPr>
              <w:t>ABSENT — no mlflow.start_run() in LGB cell</w:t>
            </w:r>
          </w:p>
        </w:tc>
        <w:tc>
          <w:tcPr>
            <w:tcW w:type="dxa" w:w="2880"/>
          </w:tcPr>
          <w:p>
            <w:r>
              <w:rPr>
                <w:color w:val="333333"/>
                <w:sz w:val="19"/>
              </w:rPr>
              <w:t>ADDED — mlflow.start_run(run_name=ucc_global_lgb_quantile_cv) with full param/metric logging</w:t>
            </w:r>
          </w:p>
        </w:tc>
        <w:tc>
          <w:tcPr>
            <w:tcW w:type="dxa" w:w="2160"/>
          </w:tcPr>
          <w:p>
            <w:r>
              <w:rPr>
                <w:color w:val="333333"/>
                <w:sz w:val="19"/>
              </w:rPr>
              <w:t>Full experiment reproducibility; enables model comparison across runs</w:t>
            </w:r>
          </w:p>
        </w:tc>
      </w:tr>
      <w:tr>
        <w:tc>
          <w:tcPr>
            <w:tcW w:type="dxa" w:w="3168"/>
          </w:tcPr>
          <w:p>
            <w:r>
              <w:rPr>
                <w:color w:val="333333"/>
                <w:sz w:val="19"/>
              </w:rPr>
              <w:t>us_holiday_binary renamed to us_holiday</w:t>
            </w:r>
          </w:p>
        </w:tc>
        <w:tc>
          <w:tcPr>
            <w:tcW w:type="dxa" w:w="2304"/>
          </w:tcPr>
          <w:p>
            <w:r>
              <w:rPr>
                <w:color w:val="333333"/>
                <w:sz w:val="19"/>
              </w:rPr>
              <w:t>Feature named us_holiday_binary in GLOBAL_FEATURE_COLS</w:t>
            </w:r>
          </w:p>
        </w:tc>
        <w:tc>
          <w:tcPr>
            <w:tcW w:type="dxa" w:w="2880"/>
          </w:tcPr>
          <w:p>
            <w:r>
              <w:rPr>
                <w:color w:val="333333"/>
                <w:sz w:val="19"/>
              </w:rPr>
              <w:t>Renamed to us_holiday — matches add_calendar_columns() output</w:t>
            </w:r>
          </w:p>
        </w:tc>
        <w:tc>
          <w:tcPr>
            <w:tcW w:type="dxa" w:w="2160"/>
          </w:tcPr>
          <w:p>
            <w:r>
              <w:rPr>
                <w:color w:val="333333"/>
                <w:sz w:val="19"/>
              </w:rPr>
              <w:t>Prevents silent KeyError in feature alignment at prediction time</w:t>
            </w:r>
          </w:p>
        </w:tc>
      </w:tr>
    </w:tbl>
    <w:p/>
    <w:p>
      <w:pPr>
        <w:spacing w:after="120"/>
      </w:pPr>
      <w:r>
        <w:rPr>
          <w:b/>
          <w:i w:val="0"/>
          <w:color w:val="333333"/>
          <w:sz w:val="21"/>
        </w:rPr>
        <w:t>Confirmed unchanged (already correct in V5/V6/V7):</w:t>
      </w:r>
    </w:p>
    <w:p>
      <w:pPr>
        <w:pStyle w:val="ListBullet"/>
        <w:ind w:left="504"/>
      </w:pPr>
      <w:r>
        <w:rPr>
          <w:color w:val="007A33"/>
          <w:sz w:val="20"/>
        </w:rPr>
        <w:t>Quantile crossing guard: p10 = np.minimum(p10, p50); p90 = np.maximum(p90, p50) — confirmed present in Cell 11</w:t>
      </w:r>
    </w:p>
    <w:p>
      <w:pPr>
        <w:pStyle w:val="ListBullet"/>
        <w:ind w:left="504"/>
      </w:pPr>
      <w:r>
        <w:rPr>
          <w:color w:val="007A33"/>
          <w:sz w:val="20"/>
        </w:rPr>
        <w:t>yoy_growth: ((y_lag1/y_lag52.replace(0,np.nan))-1).clip(-3,3).fillna(0.0) — correctly guarded</w:t>
      </w:r>
    </w:p>
    <w:p>
      <w:pPr>
        <w:pStyle w:val="ListBullet"/>
        <w:ind w:left="504"/>
      </w:pPr>
      <w:r>
        <w:rPr>
          <w:color w:val="007A33"/>
          <w:sz w:val="20"/>
        </w:rPr>
        <w:t>qoq_momentum: ((y_lag1/y_lag13.replace(0,np.nan))-1).clip(-3,3).fillna(0.0) — normalized ratio</w:t>
      </w:r>
    </w:p>
    <w:p>
      <w:pPr>
        <w:pStyle w:val="ListBullet"/>
        <w:ind w:left="504"/>
      </w:pPr>
      <w:r>
        <w:rPr>
          <w:color w:val="007A33"/>
          <w:sz w:val="20"/>
        </w:rPr>
        <w:t>GR covariance-optimal ensemble: np.cov(error_matrix) + np.linalg.pinv(covariance) — confirmed</w:t>
      </w:r>
    </w:p>
    <w:p>
      <w:pPr>
        <w:pStyle w:val="ListBullet"/>
        <w:ind w:left="504"/>
      </w:pPr>
      <w:r>
        <w:rPr>
          <w:color w:val="007A33"/>
          <w:sz w:val="20"/>
        </w:rPr>
        <w:t>MinT reconciliation: estimate_mint_covariances() + coherent_allocate_total_to_markets() — confirmed</w:t>
      </w:r>
    </w:p>
    <w:p>
      <w:pPr>
        <w:pStyle w:val="ListBullet"/>
        <w:ind w:left="504"/>
      </w:pPr>
      <w:r>
        <w:rPr>
          <w:color w:val="007A33"/>
          <w:sz w:val="20"/>
        </w:rPr>
        <w:t>Ensemble interval calibration: ensemble_interval_calibration() computes p10/p90 from holdout error quantiles — confirmed</w:t>
      </w:r>
    </w:p>
    <w:p>
      <w:pPr>
        <w:pStyle w:val="ListBullet"/>
        <w:ind w:left="504"/>
      </w:pPr>
      <w:r>
        <w:rPr>
          <w:color w:val="007A33"/>
          <w:sz w:val="20"/>
        </w:rPr>
        <w:t>ETS multiplicative/52: seasonal="mul", seasonal_periods=52, damped_trend=True — confirmed</w:t>
      </w:r>
    </w:p>
    <w:p>
      <w:pPr>
        <w:pStyle w:val="ListBullet"/>
        <w:ind w:left="504"/>
      </w:pPr>
      <w:r>
        <w:rPr>
          <w:color w:val="007A33"/>
          <w:sz w:val="20"/>
        </w:rPr>
        <w:t>Prophet+WoQ: trend-only Prophet + compute_woq_seasonal_profile() — confirmed</w:t>
      </w:r>
    </w:p>
    <w:p>
      <w:pPr>
        <w:pStyle w:val="ListBullet"/>
        <w:ind w:left="504"/>
      </w:pPr>
      <w:r>
        <w:rPr>
          <w:color w:val="007A33"/>
          <w:sz w:val="20"/>
        </w:rPr>
        <w:t>Dual Delta write: ucc_forecast_v5 (primary) + ucc_forecast_v4 (legacy) — confirmed</w:t>
      </w:r>
    </w:p>
    <w:p>
      <w:pPr>
        <w:pStyle w:val="ListBullet"/>
        <w:ind w:left="504"/>
      </w:pPr>
      <w:r>
        <w:rPr>
          <w:color w:val="007A33"/>
          <w:sz w:val="20"/>
        </w:rPr>
        <w:t>Authoritative mc_actuals: datagroup.uc_forecast.actuals WHERE version=ACTUALS — confirmed</w:t>
      </w:r>
    </w:p>
    <w:p>
      <w:pPr>
        <w:pStyle w:val="ListBullet"/>
        <w:ind w:left="504"/>
      </w:pPr>
      <w:r>
        <w:rPr>
          <w:color w:val="007A33"/>
          <w:sz w:val="20"/>
        </w:rPr>
        <w:t>LEAKY_OR_UNUSABLE_COLS governance: now explicitly includes marketing_generated_pipeline, marketing_influenced_pipeline</w:t>
      </w:r>
    </w:p>
    <w:p/>
    <w:p>
      <w:r>
        <w:br w:type="page"/>
      </w:r>
    </w:p>
    <w:p>
      <w:pPr>
        <w:pStyle w:val="Heading1"/>
      </w:pPr>
      <w:r>
        <w:rPr>
          <w:b/>
          <w:color w:val="0047AB"/>
        </w:rPr>
        <w:t>Section 1: Notebook Architecture &amp; Structure</w:t>
      </w:r>
    </w:p>
    <w:p>
      <w:pPr>
        <w:spacing w:after="120"/>
      </w:pPr>
      <w:r>
        <w:rPr>
          <w:b w:val="0"/>
          <w:i w:val="0"/>
          <w:color w:val="333333"/>
          <w:sz w:val="21"/>
        </w:rPr>
        <w:t>V8 is the most architecturally complete UCC notebook to date. 18 cells with clear separation of concerns: data loading, EDA, guardrails, CV framework, benchmark models, visualization, DHR-ARIMA, Global LGB, MC comparison, quarterly audit, reconciliation/ensemble helpers, production forward forecast, executive summary, and monitoring baseline. The progression is logical and production-ready.</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Cell</w:t>
            </w:r>
          </w:p>
        </w:tc>
        <w:tc>
          <w:tcPr>
            <w:tcW w:type="dxa" w:w="1296"/>
            <w:shd w:val="clear" w:color="auto" w:fill="0047AB"/>
          </w:tcPr>
          <w:p>
            <w:r>
              <w:rPr>
                <w:b/>
                <w:color w:val="FFFFFF"/>
                <w:sz w:val="20"/>
              </w:rPr>
              <w:t>Step</w:t>
            </w:r>
          </w:p>
        </w:tc>
        <w:tc>
          <w:tcPr>
            <w:tcW w:type="dxa" w:w="4320"/>
            <w:shd w:val="clear" w:color="auto" w:fill="0047AB"/>
          </w:tcPr>
          <w:p>
            <w:r>
              <w:rPr>
                <w:b/>
                <w:color w:val="FFFFFF"/>
                <w:sz w:val="20"/>
              </w:rPr>
              <w:t>Role</w:t>
            </w:r>
          </w:p>
        </w:tc>
        <w:tc>
          <w:tcPr>
            <w:tcW w:type="dxa" w:w="3600"/>
            <w:shd w:val="clear" w:color="auto" w:fill="0047AB"/>
          </w:tcPr>
          <w:p>
            <w:r>
              <w:rPr>
                <w:b/>
                <w:color w:val="FFFFFF"/>
                <w:sz w:val="20"/>
              </w:rPr>
              <w:t>V8 Status</w:t>
            </w:r>
          </w:p>
        </w:tc>
      </w:tr>
      <w:tr>
        <w:tc>
          <w:tcPr>
            <w:tcW w:type="dxa" w:w="576"/>
          </w:tcPr>
          <w:p>
            <w:r>
              <w:rPr>
                <w:color w:val="333333"/>
                <w:sz w:val="19"/>
              </w:rPr>
              <w:t>0</w:t>
            </w:r>
          </w:p>
        </w:tc>
        <w:tc>
          <w:tcPr>
            <w:tcW w:type="dxa" w:w="1296"/>
          </w:tcPr>
          <w:p>
            <w:r>
              <w:rPr>
                <w:color w:val="333333"/>
                <w:sz w:val="19"/>
              </w:rPr>
              <w:t>Install</w:t>
            </w:r>
          </w:p>
        </w:tc>
        <w:tc>
          <w:tcPr>
            <w:tcW w:type="dxa" w:w="4320"/>
          </w:tcPr>
          <w:p>
            <w:r>
              <w:rPr>
                <w:color w:val="333333"/>
                <w:sz w:val="19"/>
              </w:rPr>
              <w:t>statsforecast, prophet, statsmodels, holidays, lightgbm, scipy</w:t>
            </w:r>
          </w:p>
        </w:tc>
        <w:tc>
          <w:tcPr>
            <w:tcW w:type="dxa" w:w="3600"/>
          </w:tcPr>
          <w:p>
            <w:r>
              <w:rPr>
                <w:color w:val="333333"/>
                <w:sz w:val="19"/>
              </w:rPr>
              <w:t>No change</w:t>
            </w:r>
          </w:p>
        </w:tc>
      </w:tr>
      <w:tr>
        <w:tc>
          <w:tcPr>
            <w:tcW w:type="dxa" w:w="576"/>
          </w:tcPr>
          <w:p>
            <w:r>
              <w:rPr>
                <w:color w:val="333333"/>
                <w:sz w:val="19"/>
              </w:rPr>
              <w:t>1</w:t>
            </w:r>
          </w:p>
        </w:tc>
        <w:tc>
          <w:tcPr>
            <w:tcW w:type="dxa" w:w="1296"/>
          </w:tcPr>
          <w:p>
            <w:r>
              <w:rPr>
                <w:color w:val="333333"/>
                <w:sz w:val="19"/>
              </w:rPr>
              <w:t>Data load</w:t>
            </w:r>
          </w:p>
        </w:tc>
        <w:tc>
          <w:tcPr>
            <w:tcW w:type="dxa" w:w="4320"/>
          </w:tcPr>
          <w:p>
            <w:r>
              <w:rPr>
                <w:color w:val="333333"/>
                <w:sz w:val="19"/>
              </w:rPr>
              <w:t>ucc_raw, weekly_ucc, weekly_ucc_by_market, calendar scaffolding + marketing agg in Cell 1</w:t>
            </w:r>
          </w:p>
        </w:tc>
        <w:tc>
          <w:tcPr>
            <w:tcW w:type="dxa" w:w="3600"/>
          </w:tcPr>
          <w:p>
            <w:r>
              <w:rPr>
                <w:color w:val="333333"/>
                <w:sz w:val="19"/>
              </w:rPr>
              <w:t>marketing_generated_pipeline, marketing_influenced_pipeline now in LEAKY list</w:t>
            </w:r>
          </w:p>
        </w:tc>
      </w:tr>
      <w:tr>
        <w:tc>
          <w:tcPr>
            <w:tcW w:type="dxa" w:w="576"/>
          </w:tcPr>
          <w:p>
            <w:r>
              <w:rPr>
                <w:color w:val="333333"/>
                <w:sz w:val="19"/>
              </w:rPr>
              <w:t>2</w:t>
            </w:r>
          </w:p>
        </w:tc>
        <w:tc>
          <w:tcPr>
            <w:tcW w:type="dxa" w:w="1296"/>
          </w:tcPr>
          <w:p>
            <w:r>
              <w:rPr>
                <w:color w:val="333333"/>
                <w:sz w:val="19"/>
              </w:rPr>
              <w:t>EDA</w:t>
            </w:r>
          </w:p>
        </w:tc>
        <w:tc>
          <w:tcPr>
            <w:tcW w:type="dxa" w:w="4320"/>
          </w:tcPr>
          <w:p>
            <w:r>
              <w:rPr>
                <w:color w:val="333333"/>
                <w:sz w:val="19"/>
              </w:rPr>
              <w:t>Weekly/monthly/quarterly summaries, seasonal decomposition, family/market mix</w:t>
            </w:r>
          </w:p>
        </w:tc>
        <w:tc>
          <w:tcPr>
            <w:tcW w:type="dxa" w:w="3600"/>
          </w:tcPr>
          <w:p>
            <w:r>
              <w:rPr>
                <w:color w:val="333333"/>
                <w:sz w:val="19"/>
              </w:rPr>
              <w:t>No change</w:t>
            </w:r>
          </w:p>
        </w:tc>
      </w:tr>
      <w:tr>
        <w:tc>
          <w:tcPr>
            <w:tcW w:type="dxa" w:w="576"/>
          </w:tcPr>
          <w:p>
            <w:r>
              <w:rPr>
                <w:color w:val="333333"/>
                <w:sz w:val="19"/>
              </w:rPr>
              <w:t>3</w:t>
            </w:r>
          </w:p>
        </w:tc>
        <w:tc>
          <w:tcPr>
            <w:tcW w:type="dxa" w:w="1296"/>
          </w:tcPr>
          <w:p>
            <w:r>
              <w:rPr>
                <w:color w:val="333333"/>
                <w:sz w:val="19"/>
              </w:rPr>
              <w:t>Guardrails</w:t>
            </w:r>
          </w:p>
        </w:tc>
        <w:tc>
          <w:tcPr>
            <w:tcW w:type="dxa" w:w="4320"/>
          </w:tcPr>
          <w:p>
            <w:r>
              <w:rPr>
                <w:color w:val="333333"/>
                <w:sz w:val="19"/>
              </w:rPr>
              <w:t>BACKTEST_START, LEAKY_OR_UNUSABLE_COLS, SAFE_FEATURE_COLS, BASELINE_FEATURE_COLS, train/test split</w:t>
            </w:r>
          </w:p>
        </w:tc>
        <w:tc>
          <w:tcPr>
            <w:tcW w:type="dxa" w:w="3600"/>
          </w:tcPr>
          <w:p>
            <w:r>
              <w:rPr>
                <w:color w:val="333333"/>
                <w:sz w:val="19"/>
              </w:rPr>
              <w:t>LEAKY list updated — mkt cols explicit</w:t>
            </w:r>
          </w:p>
        </w:tc>
      </w:tr>
      <w:tr>
        <w:tc>
          <w:tcPr>
            <w:tcW w:type="dxa" w:w="576"/>
          </w:tcPr>
          <w:p>
            <w:r>
              <w:rPr>
                <w:color w:val="333333"/>
                <w:sz w:val="19"/>
              </w:rPr>
              <w:t>4</w:t>
            </w:r>
          </w:p>
        </w:tc>
        <w:tc>
          <w:tcPr>
            <w:tcW w:type="dxa" w:w="1296"/>
          </w:tcPr>
          <w:p>
            <w:r>
              <w:rPr>
                <w:color w:val="333333"/>
                <w:sz w:val="19"/>
              </w:rPr>
              <w:t>CV framework</w:t>
            </w:r>
          </w:p>
        </w:tc>
        <w:tc>
          <w:tcPr>
            <w:tcW w:type="dxa" w:w="4320"/>
          </w:tcPr>
          <w:p>
            <w:r>
              <w:rPr>
                <w:color w:val="333333"/>
                <w:sz w:val="19"/>
              </w:rPr>
              <w:t>FoldSpec, build_walkforward_folds, forecast_metrics, ci_coverage, run_walkforward_cv</w:t>
            </w:r>
          </w:p>
        </w:tc>
        <w:tc>
          <w:tcPr>
            <w:tcW w:type="dxa" w:w="3600"/>
          </w:tcPr>
          <w:p>
            <w:r>
              <w:rPr>
                <w:color w:val="333333"/>
                <w:sz w:val="19"/>
              </w:rPr>
              <w:t>ci_coverage function present</w:t>
            </w:r>
          </w:p>
        </w:tc>
      </w:tr>
      <w:tr>
        <w:tc>
          <w:tcPr>
            <w:tcW w:type="dxa" w:w="576"/>
          </w:tcPr>
          <w:p>
            <w:r>
              <w:rPr>
                <w:color w:val="333333"/>
                <w:sz w:val="19"/>
              </w:rPr>
              <w:t>5</w:t>
            </w:r>
          </w:p>
        </w:tc>
        <w:tc>
          <w:tcPr>
            <w:tcW w:type="dxa" w:w="1296"/>
          </w:tcPr>
          <w:p>
            <w:r>
              <w:rPr>
                <w:color w:val="333333"/>
                <w:sz w:val="19"/>
              </w:rPr>
              <w:t>Benchmark models</w:t>
            </w:r>
          </w:p>
        </w:tc>
        <w:tc>
          <w:tcPr>
            <w:tcW w:type="dxa" w:w="4320"/>
          </w:tcPr>
          <w:p>
            <w:r>
              <w:rPr>
                <w:color w:val="333333"/>
                <w:sz w:val="19"/>
              </w:rPr>
              <w:t>MSTL v2, ETS (mul/52), Prophet+WoQ — CV + holdout</w:t>
            </w:r>
          </w:p>
        </w:tc>
        <w:tc>
          <w:tcPr>
            <w:tcW w:type="dxa" w:w="3600"/>
          </w:tcPr>
          <w:p>
            <w:r>
              <w:rPr>
                <w:color w:val="333333"/>
                <w:sz w:val="19"/>
              </w:rPr>
              <w:t>No change vs V6/V7</w:t>
            </w:r>
          </w:p>
        </w:tc>
      </w:tr>
      <w:tr>
        <w:tc>
          <w:tcPr>
            <w:tcW w:type="dxa" w:w="576"/>
          </w:tcPr>
          <w:p>
            <w:r>
              <w:rPr>
                <w:color w:val="333333"/>
                <w:sz w:val="19"/>
              </w:rPr>
              <w:t>6</w:t>
            </w:r>
          </w:p>
        </w:tc>
        <w:tc>
          <w:tcPr>
            <w:tcW w:type="dxa" w:w="1296"/>
          </w:tcPr>
          <w:p>
            <w:r>
              <w:rPr>
                <w:color w:val="333333"/>
                <w:sz w:val="19"/>
              </w:rPr>
              <w:t>CV plots</w:t>
            </w:r>
          </w:p>
        </w:tc>
        <w:tc>
          <w:tcPr>
            <w:tcW w:type="dxa" w:w="4320"/>
          </w:tcPr>
          <w:p>
            <w:r>
              <w:rPr>
                <w:color w:val="333333"/>
                <w:sz w:val="19"/>
              </w:rPr>
              <w:t>Actual vs forecast on backtest window</w:t>
            </w:r>
          </w:p>
        </w:tc>
        <w:tc>
          <w:tcPr>
            <w:tcW w:type="dxa" w:w="3600"/>
          </w:tcPr>
          <w:p>
            <w:r>
              <w:rPr>
                <w:color w:val="333333"/>
                <w:sz w:val="19"/>
              </w:rPr>
              <w:t>No change</w:t>
            </w:r>
          </w:p>
        </w:tc>
      </w:tr>
      <w:tr>
        <w:tc>
          <w:tcPr>
            <w:tcW w:type="dxa" w:w="576"/>
          </w:tcPr>
          <w:p>
            <w:r>
              <w:rPr>
                <w:color w:val="333333"/>
                <w:sz w:val="19"/>
              </w:rPr>
              <w:t>7</w:t>
            </w:r>
          </w:p>
        </w:tc>
        <w:tc>
          <w:tcPr>
            <w:tcW w:type="dxa" w:w="1296"/>
          </w:tcPr>
          <w:p>
            <w:r>
              <w:rPr>
                <w:color w:val="333333"/>
                <w:sz w:val="19"/>
              </w:rPr>
              <w:t>Fold-by-fold plots</w:t>
            </w:r>
          </w:p>
        </w:tc>
        <w:tc>
          <w:tcPr>
            <w:tcW w:type="dxa" w:w="4320"/>
          </w:tcPr>
          <w:p>
            <w:r>
              <w:rPr>
                <w:color w:val="333333"/>
                <w:sz w:val="19"/>
              </w:rPr>
              <w:t>8 fold subplot grid with per-fold WAPE annotations</w:t>
            </w:r>
          </w:p>
        </w:tc>
        <w:tc>
          <w:tcPr>
            <w:tcW w:type="dxa" w:w="3600"/>
          </w:tcPr>
          <w:p>
            <w:r>
              <w:rPr>
                <w:color w:val="333333"/>
                <w:sz w:val="19"/>
              </w:rPr>
              <w:t>No change</w:t>
            </w:r>
          </w:p>
        </w:tc>
      </w:tr>
      <w:tr>
        <w:tc>
          <w:tcPr>
            <w:tcW w:type="dxa" w:w="576"/>
          </w:tcPr>
          <w:p>
            <w:r>
              <w:rPr>
                <w:color w:val="333333"/>
                <w:sz w:val="19"/>
              </w:rPr>
              <w:t>8</w:t>
            </w:r>
          </w:p>
        </w:tc>
        <w:tc>
          <w:tcPr>
            <w:tcW w:type="dxa" w:w="1296"/>
          </w:tcPr>
          <w:p>
            <w:r>
              <w:rPr>
                <w:color w:val="333333"/>
                <w:sz w:val="19"/>
              </w:rPr>
              <w:t>Quarterly Q vs A</w:t>
            </w:r>
          </w:p>
        </w:tc>
        <w:tc>
          <w:tcPr>
            <w:tcW w:type="dxa" w:w="4320"/>
          </w:tcPr>
          <w:p>
            <w:r>
              <w:rPr>
                <w:color w:val="333333"/>
                <w:sz w:val="19"/>
              </w:rPr>
              <w:t>Quarterly aggregated forecast vs actuals bar chart</w:t>
            </w:r>
          </w:p>
        </w:tc>
        <w:tc>
          <w:tcPr>
            <w:tcW w:type="dxa" w:w="3600"/>
          </w:tcPr>
          <w:p>
            <w:r>
              <w:rPr>
                <w:color w:val="333333"/>
                <w:sz w:val="19"/>
              </w:rPr>
              <w:t>No change</w:t>
            </w:r>
          </w:p>
        </w:tc>
      </w:tr>
      <w:tr>
        <w:tc>
          <w:tcPr>
            <w:tcW w:type="dxa" w:w="576"/>
          </w:tcPr>
          <w:p>
            <w:r>
              <w:rPr>
                <w:color w:val="333333"/>
                <w:sz w:val="19"/>
              </w:rPr>
              <w:t>9</w:t>
            </w:r>
          </w:p>
        </w:tc>
        <w:tc>
          <w:tcPr>
            <w:tcW w:type="dxa" w:w="1296"/>
          </w:tcPr>
          <w:p>
            <w:r>
              <w:rPr>
                <w:color w:val="333333"/>
                <w:sz w:val="19"/>
              </w:rPr>
              <w:t>Quarterly ranking</w:t>
            </w:r>
          </w:p>
        </w:tc>
        <w:tc>
          <w:tcPr>
            <w:tcW w:type="dxa" w:w="4320"/>
          </w:tcPr>
          <w:p>
            <w:r>
              <w:rPr>
                <w:color w:val="333333"/>
                <w:sz w:val="19"/>
              </w:rPr>
              <w:t>ranked_quarterly_errors, overall_quarterly_error_rank</w:t>
            </w:r>
          </w:p>
        </w:tc>
        <w:tc>
          <w:tcPr>
            <w:tcW w:type="dxa" w:w="3600"/>
          </w:tcPr>
          <w:p>
            <w:r>
              <w:rPr>
                <w:color w:val="333333"/>
                <w:sz w:val="19"/>
              </w:rPr>
              <w:t>No change</w:t>
            </w:r>
          </w:p>
        </w:tc>
      </w:tr>
      <w:tr>
        <w:tc>
          <w:tcPr>
            <w:tcW w:type="dxa" w:w="576"/>
          </w:tcPr>
          <w:p>
            <w:r>
              <w:rPr>
                <w:color w:val="333333"/>
                <w:sz w:val="19"/>
              </w:rPr>
              <w:t>10</w:t>
            </w:r>
          </w:p>
        </w:tc>
        <w:tc>
          <w:tcPr>
            <w:tcW w:type="dxa" w:w="1296"/>
          </w:tcPr>
          <w:p>
            <w:r>
              <w:rPr>
                <w:color w:val="333333"/>
                <w:sz w:val="19"/>
              </w:rPr>
              <w:t>DHR-ARIMA</w:t>
            </w:r>
          </w:p>
        </w:tc>
        <w:tc>
          <w:tcPr>
            <w:tcW w:type="dxa" w:w="4320"/>
          </w:tcPr>
          <w:p>
            <w:r>
              <w:rPr>
                <w:color w:val="333333"/>
                <w:sz w:val="19"/>
              </w:rPr>
              <w:t>Per-market AutoARIMA + Fourier(13,K=2) + Fourier(52,K=2) + regressors</w:t>
            </w:r>
          </w:p>
        </w:tc>
        <w:tc>
          <w:tcPr>
            <w:tcW w:type="dxa" w:w="3600"/>
          </w:tcPr>
          <w:p>
            <w:r>
              <w:rPr>
                <w:color w:val="333333"/>
                <w:sz w:val="19"/>
              </w:rPr>
              <w:t>win_rate_by_woq ADDED to DHR_XREG_COLS</w:t>
            </w:r>
          </w:p>
        </w:tc>
      </w:tr>
      <w:tr>
        <w:tc>
          <w:tcPr>
            <w:tcW w:type="dxa" w:w="576"/>
          </w:tcPr>
          <w:p>
            <w:r>
              <w:rPr>
                <w:color w:val="333333"/>
                <w:sz w:val="19"/>
              </w:rPr>
              <w:t>11</w:t>
            </w:r>
          </w:p>
        </w:tc>
        <w:tc>
          <w:tcPr>
            <w:tcW w:type="dxa" w:w="1296"/>
          </w:tcPr>
          <w:p>
            <w:r>
              <w:rPr>
                <w:color w:val="333333"/>
                <w:sz w:val="19"/>
              </w:rPr>
              <w:t>Global LGB</w:t>
            </w:r>
          </w:p>
        </w:tc>
        <w:tc>
          <w:tcPr>
            <w:tcW w:type="dxa" w:w="4320"/>
          </w:tcPr>
          <w:p>
            <w:r>
              <w:rPr>
                <w:color w:val="333333"/>
                <w:sz w:val="19"/>
              </w:rPr>
              <w:t>39-feature quantile LGB (P10/P50/P90) per market slice, CV+holdout, MLflow</w:t>
            </w:r>
          </w:p>
        </w:tc>
        <w:tc>
          <w:tcPr>
            <w:tcW w:type="dxa" w:w="3600"/>
          </w:tcPr>
          <w:p>
            <w:r>
              <w:rPr>
                <w:color w:val="333333"/>
                <w:sz w:val="19"/>
              </w:rPr>
              <w:t>Early stopping + MLflow + us_holiday rename — all P0/P1 fixed</w:t>
            </w:r>
          </w:p>
        </w:tc>
      </w:tr>
      <w:tr>
        <w:tc>
          <w:tcPr>
            <w:tcW w:type="dxa" w:w="576"/>
          </w:tcPr>
          <w:p>
            <w:r>
              <w:rPr>
                <w:color w:val="333333"/>
                <w:sz w:val="19"/>
              </w:rPr>
              <w:t>12</w:t>
            </w:r>
          </w:p>
        </w:tc>
        <w:tc>
          <w:tcPr>
            <w:tcW w:type="dxa" w:w="1296"/>
          </w:tcPr>
          <w:p>
            <w:r>
              <w:rPr>
                <w:color w:val="333333"/>
                <w:sz w:val="19"/>
              </w:rPr>
              <w:t>MC comparison</w:t>
            </w:r>
          </w:p>
        </w:tc>
        <w:tc>
          <w:tcPr>
            <w:tcW w:type="dxa" w:w="4320"/>
          </w:tcPr>
          <w:p>
            <w:r>
              <w:rPr>
                <w:color w:val="333333"/>
                <w:sz w:val="19"/>
              </w:rPr>
              <w:t>Proxy vs authoritative mc_actuals WAPE delta table</w:t>
            </w:r>
          </w:p>
        </w:tc>
        <w:tc>
          <w:tcPr>
            <w:tcW w:type="dxa" w:w="3600"/>
          </w:tcPr>
          <w:p>
            <w:r>
              <w:rPr>
                <w:color w:val="333333"/>
                <w:sz w:val="19"/>
              </w:rPr>
              <w:t>No change</w:t>
            </w:r>
          </w:p>
        </w:tc>
      </w:tr>
      <w:tr>
        <w:tc>
          <w:tcPr>
            <w:tcW w:type="dxa" w:w="576"/>
          </w:tcPr>
          <w:p>
            <w:r>
              <w:rPr>
                <w:color w:val="333333"/>
                <w:sz w:val="19"/>
              </w:rPr>
              <w:t>13</w:t>
            </w:r>
          </w:p>
        </w:tc>
        <w:tc>
          <w:tcPr>
            <w:tcW w:type="dxa" w:w="1296"/>
          </w:tcPr>
          <w:p>
            <w:r>
              <w:rPr>
                <w:color w:val="333333"/>
                <w:sz w:val="19"/>
              </w:rPr>
              <w:t>Quarterly audit</w:t>
            </w:r>
          </w:p>
        </w:tc>
        <w:tc>
          <w:tcPr>
            <w:tcW w:type="dxa" w:w="4320"/>
          </w:tcPr>
          <w:p>
            <w:r>
              <w:rPr>
                <w:color w:val="333333"/>
                <w:sz w:val="19"/>
              </w:rPr>
              <w:t>Model output audit vs actual by quarter</w:t>
            </w:r>
          </w:p>
        </w:tc>
        <w:tc>
          <w:tcPr>
            <w:tcW w:type="dxa" w:w="3600"/>
          </w:tcPr>
          <w:p>
            <w:r>
              <w:rPr>
                <w:color w:val="333333"/>
                <w:sz w:val="19"/>
              </w:rPr>
              <w:t>No change</w:t>
            </w:r>
          </w:p>
        </w:tc>
      </w:tr>
      <w:tr>
        <w:tc>
          <w:tcPr>
            <w:tcW w:type="dxa" w:w="576"/>
          </w:tcPr>
          <w:p>
            <w:r>
              <w:rPr>
                <w:color w:val="333333"/>
                <w:sz w:val="19"/>
              </w:rPr>
              <w:t>14</w:t>
            </w:r>
          </w:p>
        </w:tc>
        <w:tc>
          <w:tcPr>
            <w:tcW w:type="dxa" w:w="1296"/>
          </w:tcPr>
          <w:p>
            <w:r>
              <w:rPr>
                <w:color w:val="333333"/>
                <w:sz w:val="19"/>
              </w:rPr>
              <w:t>Ensemble helpers</w:t>
            </w:r>
          </w:p>
        </w:tc>
        <w:tc>
          <w:tcPr>
            <w:tcW w:type="dxa" w:w="4320"/>
          </w:tcPr>
          <w:p>
            <w:r>
              <w:rPr>
                <w:color w:val="333333"/>
                <w:sz w:val="19"/>
              </w:rPr>
              <w:t>GR weights, MinT covariances, coherent allocation, interval calibration</w:t>
            </w:r>
          </w:p>
        </w:tc>
        <w:tc>
          <w:tcPr>
            <w:tcW w:type="dxa" w:w="3600"/>
          </w:tcPr>
          <w:p>
            <w:r>
              <w:rPr>
                <w:color w:val="333333"/>
                <w:sz w:val="19"/>
              </w:rPr>
              <w:t>No change — fully confirmed working</w:t>
            </w:r>
          </w:p>
        </w:tc>
      </w:tr>
      <w:tr>
        <w:tc>
          <w:tcPr>
            <w:tcW w:type="dxa" w:w="576"/>
          </w:tcPr>
          <w:p>
            <w:r>
              <w:rPr>
                <w:color w:val="333333"/>
                <w:sz w:val="19"/>
              </w:rPr>
              <w:t>15</w:t>
            </w:r>
          </w:p>
        </w:tc>
        <w:tc>
          <w:tcPr>
            <w:tcW w:type="dxa" w:w="1296"/>
          </w:tcPr>
          <w:p>
            <w:r>
              <w:rPr>
                <w:color w:val="333333"/>
                <w:sz w:val="19"/>
              </w:rPr>
              <w:t>Production fcst</w:t>
            </w:r>
          </w:p>
        </w:tc>
        <w:tc>
          <w:tcPr>
            <w:tcW w:type="dxa" w:w="4320"/>
          </w:tcPr>
          <w:p>
            <w:r>
              <w:rPr>
                <w:color w:val="333333"/>
                <w:sz w:val="19"/>
              </w:rPr>
              <w:t>27-week forward forecast + ensemble + Delta write</w:t>
            </w:r>
          </w:p>
        </w:tc>
        <w:tc>
          <w:tcPr>
            <w:tcW w:type="dxa" w:w="3600"/>
          </w:tcPr>
          <w:p>
            <w:r>
              <w:rPr>
                <w:color w:val="333333"/>
                <w:sz w:val="19"/>
              </w:rPr>
              <w:t>Marketing cliff FIXED</w:t>
            </w:r>
          </w:p>
        </w:tc>
      </w:tr>
      <w:tr>
        <w:tc>
          <w:tcPr>
            <w:tcW w:type="dxa" w:w="576"/>
          </w:tcPr>
          <w:p>
            <w:r>
              <w:rPr>
                <w:color w:val="333333"/>
                <w:sz w:val="19"/>
              </w:rPr>
              <w:t>16</w:t>
            </w:r>
          </w:p>
        </w:tc>
        <w:tc>
          <w:tcPr>
            <w:tcW w:type="dxa" w:w="1296"/>
          </w:tcPr>
          <w:p>
            <w:r>
              <w:rPr>
                <w:color w:val="333333"/>
                <w:sz w:val="19"/>
              </w:rPr>
              <w:t>Executive summary</w:t>
            </w:r>
          </w:p>
        </w:tc>
        <w:tc>
          <w:tcPr>
            <w:tcW w:type="dxa" w:w="4320"/>
          </w:tcPr>
          <w:p>
            <w:r>
              <w:rPr>
                <w:color w:val="333333"/>
                <w:sz w:val="19"/>
              </w:rPr>
              <w:t>Retained model ranking, Q1/Q4 shortlist, final forward summary</w:t>
            </w:r>
          </w:p>
        </w:tc>
        <w:tc>
          <w:tcPr>
            <w:tcW w:type="dxa" w:w="3600"/>
          </w:tcPr>
          <w:p>
            <w:r>
              <w:rPr>
                <w:color w:val="333333"/>
                <w:sz w:val="19"/>
              </w:rPr>
              <w:t>No change</w:t>
            </w:r>
          </w:p>
        </w:tc>
      </w:tr>
      <w:tr>
        <w:tc>
          <w:tcPr>
            <w:tcW w:type="dxa" w:w="576"/>
          </w:tcPr>
          <w:p>
            <w:r>
              <w:rPr>
                <w:color w:val="333333"/>
                <w:sz w:val="19"/>
              </w:rPr>
              <w:t>17</w:t>
            </w:r>
          </w:p>
        </w:tc>
        <w:tc>
          <w:tcPr>
            <w:tcW w:type="dxa" w:w="1296"/>
          </w:tcPr>
          <w:p>
            <w:r>
              <w:rPr>
                <w:color w:val="333333"/>
                <w:sz w:val="19"/>
              </w:rPr>
              <w:t>Monitoring</w:t>
            </w:r>
          </w:p>
        </w:tc>
        <w:tc>
          <w:tcPr>
            <w:tcW w:type="dxa" w:w="4320"/>
          </w:tcPr>
          <w:p>
            <w:r>
              <w:rPr>
                <w:color w:val="333333"/>
                <w:sz w:val="19"/>
              </w:rPr>
              <w:t>ucc_forecast_monitoring_baseline Delta write</w:t>
            </w:r>
          </w:p>
        </w:tc>
        <w:tc>
          <w:tcPr>
            <w:tcW w:type="dxa" w:w="3600"/>
          </w:tcPr>
          <w:p>
            <w:r>
              <w:rPr>
                <w:color w:val="333333"/>
                <w:sz w:val="19"/>
              </w:rPr>
              <w:t>FIXED — append+partitionBy+mergeSchema</w:t>
            </w:r>
          </w:p>
        </w:tc>
      </w:tr>
    </w:tbl>
    <w:p/>
    <w:p>
      <w:pPr>
        <w:pStyle w:val="Heading2"/>
      </w:pPr>
      <w:r>
        <w:rPr>
          <w:b/>
          <w:color w:val="0047AB"/>
        </w:rPr>
        <w:t>Architecture Maturity Scorecard — Version History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744"/>
            <w:shd w:val="clear" w:color="auto" w:fill="0047AB"/>
          </w:tcPr>
          <w:p>
            <w:r>
              <w:rPr>
                <w:b/>
                <w:color w:val="FFFFFF"/>
                <w:sz w:val="20"/>
              </w:rPr>
              <w:t>Dimension</w:t>
            </w:r>
          </w:p>
        </w:tc>
        <w:tc>
          <w:tcPr>
            <w:tcW w:type="dxa" w:w="1008"/>
            <w:shd w:val="clear" w:color="auto" w:fill="0047AB"/>
          </w:tcPr>
          <w:p>
            <w:r>
              <w:rPr>
                <w:b/>
                <w:color w:val="FFFFFF"/>
                <w:sz w:val="20"/>
              </w:rPr>
              <w:t>V5</w:t>
            </w:r>
          </w:p>
        </w:tc>
        <w:tc>
          <w:tcPr>
            <w:tcW w:type="dxa" w:w="1008"/>
            <w:shd w:val="clear" w:color="auto" w:fill="0047AB"/>
          </w:tcPr>
          <w:p>
            <w:r>
              <w:rPr>
                <w:b/>
                <w:color w:val="FFFFFF"/>
                <w:sz w:val="20"/>
              </w:rPr>
              <w:t>V6</w:t>
            </w:r>
          </w:p>
        </w:tc>
        <w:tc>
          <w:tcPr>
            <w:tcW w:type="dxa" w:w="1296"/>
            <w:shd w:val="clear" w:color="auto" w:fill="0047AB"/>
          </w:tcPr>
          <w:p>
            <w:r>
              <w:rPr>
                <w:b/>
                <w:color w:val="FFFFFF"/>
                <w:sz w:val="20"/>
              </w:rPr>
              <w:t>V7 (as-is)</w:t>
            </w:r>
          </w:p>
        </w:tc>
        <w:tc>
          <w:tcPr>
            <w:tcW w:type="dxa" w:w="1296"/>
            <w:shd w:val="clear" w:color="auto" w:fill="0047AB"/>
          </w:tcPr>
          <w:p>
            <w:r>
              <w:rPr>
                <w:b/>
                <w:color w:val="FFFFFF"/>
                <w:sz w:val="20"/>
              </w:rPr>
              <w:t>V8</w:t>
            </w:r>
          </w:p>
        </w:tc>
      </w:tr>
      <w:tr>
        <w:tc>
          <w:tcPr>
            <w:tcW w:type="dxa" w:w="3744"/>
          </w:tcPr>
          <w:p>
            <w:r>
              <w:rPr>
                <w:color w:val="333333"/>
                <w:sz w:val="19"/>
              </w:rPr>
              <w:t>Walk-forward CV</w:t>
            </w:r>
          </w:p>
        </w:tc>
        <w:tc>
          <w:tcPr>
            <w:tcW w:type="dxa" w:w="1008"/>
          </w:tcPr>
          <w:p>
            <w:r>
              <w:rPr>
                <w:color w:val="333333"/>
                <w:sz w:val="19"/>
              </w:rPr>
              <w:t>9/10</w:t>
            </w:r>
          </w:p>
        </w:tc>
        <w:tc>
          <w:tcPr>
            <w:tcW w:type="dxa" w:w="1008"/>
          </w:tcPr>
          <w:p>
            <w:r>
              <w:rPr>
                <w:color w:val="333333"/>
                <w:sz w:val="19"/>
              </w:rPr>
              <w:t>9/10</w:t>
            </w:r>
          </w:p>
        </w:tc>
        <w:tc>
          <w:tcPr>
            <w:tcW w:type="dxa" w:w="1296"/>
          </w:tcPr>
          <w:p>
            <w:r>
              <w:rPr>
                <w:color w:val="333333"/>
                <w:sz w:val="19"/>
              </w:rPr>
              <w:t>9/10</w:t>
            </w:r>
          </w:p>
        </w:tc>
        <w:tc>
          <w:tcPr>
            <w:tcW w:type="dxa" w:w="1296"/>
          </w:tcPr>
          <w:p>
            <w:r>
              <w:rPr>
                <w:color w:val="333333"/>
                <w:sz w:val="19"/>
              </w:rPr>
              <w:t>9/10</w:t>
            </w:r>
          </w:p>
        </w:tc>
      </w:tr>
      <w:tr>
        <w:tc>
          <w:tcPr>
            <w:tcW w:type="dxa" w:w="3744"/>
          </w:tcPr>
          <w:p>
            <w:r>
              <w:rPr>
                <w:color w:val="333333"/>
                <w:sz w:val="19"/>
              </w:rPr>
              <w:t>Production persistence</w:t>
            </w:r>
          </w:p>
        </w:tc>
        <w:tc>
          <w:tcPr>
            <w:tcW w:type="dxa" w:w="1008"/>
          </w:tcPr>
          <w:p>
            <w:r>
              <w:rPr>
                <w:color w:val="333333"/>
                <w:sz w:val="19"/>
              </w:rPr>
              <w:t>8/10</w:t>
            </w:r>
          </w:p>
        </w:tc>
        <w:tc>
          <w:tcPr>
            <w:tcW w:type="dxa" w:w="1008"/>
          </w:tcPr>
          <w:p>
            <w:r>
              <w:rPr>
                <w:color w:val="333333"/>
                <w:sz w:val="19"/>
              </w:rPr>
              <w:t>9/10</w:t>
            </w:r>
          </w:p>
        </w:tc>
        <w:tc>
          <w:tcPr>
            <w:tcW w:type="dxa" w:w="1296"/>
          </w:tcPr>
          <w:p>
            <w:r>
              <w:rPr>
                <w:color w:val="333333"/>
                <w:sz w:val="19"/>
              </w:rPr>
              <w:t>9/10</w:t>
            </w:r>
          </w:p>
        </w:tc>
        <w:tc>
          <w:tcPr>
            <w:tcW w:type="dxa" w:w="1296"/>
          </w:tcPr>
          <w:p>
            <w:r>
              <w:rPr>
                <w:color w:val="333333"/>
                <w:sz w:val="19"/>
              </w:rPr>
              <w:t>10/10</w:t>
            </w:r>
          </w:p>
        </w:tc>
      </w:tr>
      <w:tr>
        <w:tc>
          <w:tcPr>
            <w:tcW w:type="dxa" w:w="3744"/>
          </w:tcPr>
          <w:p>
            <w:r>
              <w:rPr>
                <w:color w:val="333333"/>
                <w:sz w:val="19"/>
              </w:rPr>
              <w:t>Uncertainty quantification</w:t>
            </w:r>
          </w:p>
        </w:tc>
        <w:tc>
          <w:tcPr>
            <w:tcW w:type="dxa" w:w="1008"/>
          </w:tcPr>
          <w:p>
            <w:r>
              <w:rPr>
                <w:color w:val="333333"/>
                <w:sz w:val="19"/>
              </w:rPr>
              <w:t>7/10</w:t>
            </w:r>
          </w:p>
        </w:tc>
        <w:tc>
          <w:tcPr>
            <w:tcW w:type="dxa" w:w="1008"/>
          </w:tcPr>
          <w:p>
            <w:r>
              <w:rPr>
                <w:color w:val="333333"/>
                <w:sz w:val="19"/>
              </w:rPr>
              <w:t>8/10</w:t>
            </w:r>
          </w:p>
        </w:tc>
        <w:tc>
          <w:tcPr>
            <w:tcW w:type="dxa" w:w="1296"/>
          </w:tcPr>
          <w:p>
            <w:r>
              <w:rPr>
                <w:color w:val="333333"/>
                <w:sz w:val="19"/>
              </w:rPr>
              <w:t>8/10</w:t>
            </w:r>
          </w:p>
        </w:tc>
        <w:tc>
          <w:tcPr>
            <w:tcW w:type="dxa" w:w="1296"/>
          </w:tcPr>
          <w:p>
            <w:r>
              <w:rPr>
                <w:color w:val="333333"/>
                <w:sz w:val="19"/>
              </w:rPr>
              <w:t>9/10</w:t>
            </w:r>
          </w:p>
        </w:tc>
      </w:tr>
      <w:tr>
        <w:tc>
          <w:tcPr>
            <w:tcW w:type="dxa" w:w="3744"/>
          </w:tcPr>
          <w:p>
            <w:r>
              <w:rPr>
                <w:color w:val="333333"/>
                <w:sz w:val="19"/>
              </w:rPr>
              <w:t>Ensemble optimization</w:t>
            </w:r>
          </w:p>
        </w:tc>
        <w:tc>
          <w:tcPr>
            <w:tcW w:type="dxa" w:w="1008"/>
          </w:tcPr>
          <w:p>
            <w:r>
              <w:rPr>
                <w:color w:val="333333"/>
                <w:sz w:val="19"/>
              </w:rPr>
              <w:t>8/10</w:t>
            </w:r>
          </w:p>
        </w:tc>
        <w:tc>
          <w:tcPr>
            <w:tcW w:type="dxa" w:w="1008"/>
          </w:tcPr>
          <w:p>
            <w:r>
              <w:rPr>
                <w:color w:val="333333"/>
                <w:sz w:val="19"/>
              </w:rPr>
              <w:t>8/10</w:t>
            </w:r>
          </w:p>
        </w:tc>
        <w:tc>
          <w:tcPr>
            <w:tcW w:type="dxa" w:w="1296"/>
          </w:tcPr>
          <w:p>
            <w:r>
              <w:rPr>
                <w:color w:val="333333"/>
                <w:sz w:val="19"/>
              </w:rPr>
              <w:t>8/10</w:t>
            </w:r>
          </w:p>
        </w:tc>
        <w:tc>
          <w:tcPr>
            <w:tcW w:type="dxa" w:w="1296"/>
          </w:tcPr>
          <w:p>
            <w:r>
              <w:rPr>
                <w:color w:val="333333"/>
                <w:sz w:val="19"/>
              </w:rPr>
              <w:t>9/10</w:t>
            </w:r>
          </w:p>
        </w:tc>
      </w:tr>
      <w:tr>
        <w:tc>
          <w:tcPr>
            <w:tcW w:type="dxa" w:w="3744"/>
          </w:tcPr>
          <w:p>
            <w:r>
              <w:rPr>
                <w:color w:val="333333"/>
                <w:sz w:val="19"/>
              </w:rPr>
              <w:t>Hierarchical consistency</w:t>
            </w:r>
          </w:p>
        </w:tc>
        <w:tc>
          <w:tcPr>
            <w:tcW w:type="dxa" w:w="1008"/>
          </w:tcPr>
          <w:p>
            <w:r>
              <w:rPr>
                <w:color w:val="333333"/>
                <w:sz w:val="19"/>
              </w:rPr>
              <w:t>6/10</w:t>
            </w:r>
          </w:p>
        </w:tc>
        <w:tc>
          <w:tcPr>
            <w:tcW w:type="dxa" w:w="1008"/>
          </w:tcPr>
          <w:p>
            <w:r>
              <w:rPr>
                <w:color w:val="333333"/>
                <w:sz w:val="19"/>
              </w:rPr>
              <w:t>7/10</w:t>
            </w:r>
          </w:p>
        </w:tc>
        <w:tc>
          <w:tcPr>
            <w:tcW w:type="dxa" w:w="1296"/>
          </w:tcPr>
          <w:p>
            <w:r>
              <w:rPr>
                <w:color w:val="333333"/>
                <w:sz w:val="19"/>
              </w:rPr>
              <w:t>7/10</w:t>
            </w:r>
          </w:p>
        </w:tc>
        <w:tc>
          <w:tcPr>
            <w:tcW w:type="dxa" w:w="1296"/>
          </w:tcPr>
          <w:p>
            <w:r>
              <w:rPr>
                <w:color w:val="333333"/>
                <w:sz w:val="19"/>
              </w:rPr>
              <w:t>8/10</w:t>
            </w:r>
          </w:p>
        </w:tc>
      </w:tr>
      <w:tr>
        <w:tc>
          <w:tcPr>
            <w:tcW w:type="dxa" w:w="3744"/>
          </w:tcPr>
          <w:p>
            <w:r>
              <w:rPr>
                <w:color w:val="333333"/>
                <w:sz w:val="19"/>
              </w:rPr>
              <w:t>Feature engineering</w:t>
            </w:r>
          </w:p>
        </w:tc>
        <w:tc>
          <w:tcPr>
            <w:tcW w:type="dxa" w:w="1008"/>
          </w:tcPr>
          <w:p>
            <w:r>
              <w:rPr>
                <w:color w:val="333333"/>
                <w:sz w:val="19"/>
              </w:rPr>
              <w:t>8/10</w:t>
            </w:r>
          </w:p>
        </w:tc>
        <w:tc>
          <w:tcPr>
            <w:tcW w:type="dxa" w:w="1008"/>
          </w:tcPr>
          <w:p>
            <w:r>
              <w:rPr>
                <w:color w:val="333333"/>
                <w:sz w:val="19"/>
              </w:rPr>
              <w:t>9/10</w:t>
            </w:r>
          </w:p>
        </w:tc>
        <w:tc>
          <w:tcPr>
            <w:tcW w:type="dxa" w:w="1296"/>
          </w:tcPr>
          <w:p>
            <w:r>
              <w:rPr>
                <w:color w:val="333333"/>
                <w:sz w:val="19"/>
              </w:rPr>
              <w:t>8/10</w:t>
            </w:r>
          </w:p>
        </w:tc>
        <w:tc>
          <w:tcPr>
            <w:tcW w:type="dxa" w:w="1296"/>
          </w:tcPr>
          <w:p>
            <w:r>
              <w:rPr>
                <w:color w:val="333333"/>
                <w:sz w:val="19"/>
              </w:rPr>
              <w:t>9/10</w:t>
            </w:r>
          </w:p>
        </w:tc>
      </w:tr>
      <w:tr>
        <w:tc>
          <w:tcPr>
            <w:tcW w:type="dxa" w:w="3744"/>
          </w:tcPr>
          <w:p>
            <w:r>
              <w:rPr>
                <w:color w:val="333333"/>
                <w:sz w:val="19"/>
              </w:rPr>
              <w:t>Data leakage safeguards</w:t>
            </w:r>
          </w:p>
        </w:tc>
        <w:tc>
          <w:tcPr>
            <w:tcW w:type="dxa" w:w="1008"/>
          </w:tcPr>
          <w:p>
            <w:r>
              <w:rPr>
                <w:color w:val="333333"/>
                <w:sz w:val="19"/>
              </w:rPr>
              <w:t>8/10</w:t>
            </w:r>
          </w:p>
        </w:tc>
        <w:tc>
          <w:tcPr>
            <w:tcW w:type="dxa" w:w="1008"/>
          </w:tcPr>
          <w:p>
            <w:r>
              <w:rPr>
                <w:color w:val="333333"/>
                <w:sz w:val="19"/>
              </w:rPr>
              <w:t>9/10</w:t>
            </w:r>
          </w:p>
        </w:tc>
        <w:tc>
          <w:tcPr>
            <w:tcW w:type="dxa" w:w="1296"/>
          </w:tcPr>
          <w:p>
            <w:r>
              <w:rPr>
                <w:color w:val="333333"/>
                <w:sz w:val="19"/>
              </w:rPr>
              <w:t>9/10</w:t>
            </w:r>
          </w:p>
        </w:tc>
        <w:tc>
          <w:tcPr>
            <w:tcW w:type="dxa" w:w="1296"/>
          </w:tcPr>
          <w:p>
            <w:r>
              <w:rPr>
                <w:color w:val="333333"/>
                <w:sz w:val="19"/>
              </w:rPr>
              <w:t>10/10</w:t>
            </w:r>
          </w:p>
        </w:tc>
      </w:tr>
      <w:tr>
        <w:tc>
          <w:tcPr>
            <w:tcW w:type="dxa" w:w="3744"/>
          </w:tcPr>
          <w:p>
            <w:r>
              <w:rPr>
                <w:color w:val="333333"/>
                <w:sz w:val="19"/>
              </w:rPr>
              <w:t>Model specification</w:t>
            </w:r>
          </w:p>
        </w:tc>
        <w:tc>
          <w:tcPr>
            <w:tcW w:type="dxa" w:w="1008"/>
          </w:tcPr>
          <w:p>
            <w:r>
              <w:rPr>
                <w:color w:val="333333"/>
                <w:sz w:val="19"/>
              </w:rPr>
              <w:t>8/10</w:t>
            </w:r>
          </w:p>
        </w:tc>
        <w:tc>
          <w:tcPr>
            <w:tcW w:type="dxa" w:w="1008"/>
          </w:tcPr>
          <w:p>
            <w:r>
              <w:rPr>
                <w:color w:val="333333"/>
                <w:sz w:val="19"/>
              </w:rPr>
              <w:t>9/10</w:t>
            </w:r>
          </w:p>
        </w:tc>
        <w:tc>
          <w:tcPr>
            <w:tcW w:type="dxa" w:w="1296"/>
          </w:tcPr>
          <w:p>
            <w:r>
              <w:rPr>
                <w:color w:val="333333"/>
                <w:sz w:val="19"/>
              </w:rPr>
              <w:t>9/10</w:t>
            </w:r>
          </w:p>
        </w:tc>
        <w:tc>
          <w:tcPr>
            <w:tcW w:type="dxa" w:w="1296"/>
          </w:tcPr>
          <w:p>
            <w:r>
              <w:rPr>
                <w:color w:val="333333"/>
                <w:sz w:val="19"/>
              </w:rPr>
              <w:t>9/10</w:t>
            </w:r>
          </w:p>
        </w:tc>
      </w:tr>
      <w:tr>
        <w:tc>
          <w:tcPr>
            <w:tcW w:type="dxa" w:w="3744"/>
          </w:tcPr>
          <w:p>
            <w:r>
              <w:rPr>
                <w:color w:val="333333"/>
                <w:sz w:val="19"/>
              </w:rPr>
              <w:t>Monitoring &amp; alerting</w:t>
            </w:r>
          </w:p>
        </w:tc>
        <w:tc>
          <w:tcPr>
            <w:tcW w:type="dxa" w:w="1008"/>
          </w:tcPr>
          <w:p>
            <w:r>
              <w:rPr>
                <w:color w:val="333333"/>
                <w:sz w:val="19"/>
              </w:rPr>
              <w:t>5/10</w:t>
            </w:r>
          </w:p>
        </w:tc>
        <w:tc>
          <w:tcPr>
            <w:tcW w:type="dxa" w:w="1008"/>
          </w:tcPr>
          <w:p>
            <w:r>
              <w:rPr>
                <w:color w:val="333333"/>
                <w:sz w:val="19"/>
              </w:rPr>
              <w:t>6/10</w:t>
            </w:r>
          </w:p>
        </w:tc>
        <w:tc>
          <w:tcPr>
            <w:tcW w:type="dxa" w:w="1296"/>
          </w:tcPr>
          <w:p>
            <w:r>
              <w:rPr>
                <w:color w:val="333333"/>
                <w:sz w:val="19"/>
              </w:rPr>
              <w:t>6/10</w:t>
            </w:r>
          </w:p>
        </w:tc>
        <w:tc>
          <w:tcPr>
            <w:tcW w:type="dxa" w:w="1296"/>
          </w:tcPr>
          <w:p>
            <w:r>
              <w:rPr>
                <w:color w:val="333333"/>
                <w:sz w:val="19"/>
              </w:rPr>
              <w:t>9/10</w:t>
            </w:r>
          </w:p>
        </w:tc>
      </w:tr>
      <w:tr>
        <w:tc>
          <w:tcPr>
            <w:tcW w:type="dxa" w:w="3744"/>
          </w:tcPr>
          <w:p>
            <w:r>
              <w:rPr>
                <w:color w:val="333333"/>
                <w:sz w:val="19"/>
              </w:rPr>
              <w:t>MLflow / MLOps</w:t>
            </w:r>
          </w:p>
        </w:tc>
        <w:tc>
          <w:tcPr>
            <w:tcW w:type="dxa" w:w="1008"/>
          </w:tcPr>
          <w:p>
            <w:r>
              <w:rPr>
                <w:color w:val="333333"/>
                <w:sz w:val="19"/>
              </w:rPr>
              <w:t>6/10</w:t>
            </w:r>
          </w:p>
        </w:tc>
        <w:tc>
          <w:tcPr>
            <w:tcW w:type="dxa" w:w="1008"/>
          </w:tcPr>
          <w:p>
            <w:r>
              <w:rPr>
                <w:color w:val="333333"/>
                <w:sz w:val="19"/>
              </w:rPr>
              <w:t>7/10</w:t>
            </w:r>
          </w:p>
        </w:tc>
        <w:tc>
          <w:tcPr>
            <w:tcW w:type="dxa" w:w="1296"/>
          </w:tcPr>
          <w:p>
            <w:r>
              <w:rPr>
                <w:color w:val="333333"/>
                <w:sz w:val="19"/>
              </w:rPr>
              <w:t>7/10</w:t>
            </w:r>
          </w:p>
        </w:tc>
        <w:tc>
          <w:tcPr>
            <w:tcW w:type="dxa" w:w="1296"/>
          </w:tcPr>
          <w:p>
            <w:r>
              <w:rPr>
                <w:color w:val="333333"/>
                <w:sz w:val="19"/>
              </w:rPr>
              <w:t>9/10</w:t>
            </w:r>
          </w:p>
        </w:tc>
      </w:tr>
      <w:tr>
        <w:tc>
          <w:tcPr>
            <w:tcW w:type="dxa" w:w="3744"/>
          </w:tcPr>
          <w:p>
            <w:r>
              <w:rPr>
                <w:color w:val="333333"/>
                <w:sz w:val="19"/>
              </w:rPr>
              <w:t>OVERALL</w:t>
            </w:r>
          </w:p>
        </w:tc>
        <w:tc>
          <w:tcPr>
            <w:tcW w:type="dxa" w:w="1008"/>
          </w:tcPr>
          <w:p>
            <w:r>
              <w:rPr>
                <w:color w:val="333333"/>
                <w:sz w:val="19"/>
              </w:rPr>
              <w:t>84/100</w:t>
            </w:r>
          </w:p>
        </w:tc>
        <w:tc>
          <w:tcPr>
            <w:tcW w:type="dxa" w:w="1008"/>
          </w:tcPr>
          <w:p>
            <w:r>
              <w:rPr>
                <w:color w:val="333333"/>
                <w:sz w:val="19"/>
              </w:rPr>
              <w:t>91/100</w:t>
            </w:r>
          </w:p>
        </w:tc>
        <w:tc>
          <w:tcPr>
            <w:tcW w:type="dxa" w:w="1296"/>
          </w:tcPr>
          <w:p>
            <w:r>
              <w:rPr>
                <w:color w:val="333333"/>
                <w:sz w:val="19"/>
              </w:rPr>
              <w:t>83/100</w:t>
            </w:r>
          </w:p>
        </w:tc>
        <w:tc>
          <w:tcPr>
            <w:tcW w:type="dxa" w:w="1296"/>
          </w:tcPr>
          <w:p>
            <w:r>
              <w:rPr>
                <w:color w:val="333333"/>
                <w:sz w:val="19"/>
              </w:rPr>
              <w:t>95/100</w:t>
            </w:r>
          </w:p>
        </w:tc>
      </w:tr>
    </w:tbl>
    <w:p/>
    <w:p>
      <w:r>
        <w:br w:type="page"/>
      </w:r>
    </w:p>
    <w:p>
      <w:pPr>
        <w:pStyle w:val="Heading1"/>
      </w:pPr>
      <w:r>
        <w:rPr>
          <w:b/>
          <w:color w:val="0047AB"/>
        </w:rPr>
        <w:t>Section 2: Model Review — All 5 Production Models</w:t>
      </w:r>
    </w:p>
    <w:p>
      <w:pPr>
        <w:pStyle w:val="Heading2"/>
      </w:pPr>
      <w:r>
        <w:rPr>
          <w:b/>
          <w:color w:val="0047AB"/>
        </w:rPr>
        <w:t>2.1 MSTL v2 — Best Benchmark Model</w:t>
      </w:r>
    </w:p>
    <w:p>
      <w:pPr>
        <w:spacing w:after="120"/>
      </w:pPr>
      <w:r>
        <w:rPr>
          <w:b w:val="0"/>
          <w:i w:val="0"/>
          <w:color w:val="333333"/>
          <w:sz w:val="21"/>
        </w:rPr>
        <w:t>MSTL(season_length=[4,13,52], trend_forecaster=AutoETS(ZZN)). Unchanged since V5. Multi-Seasonal Trend decomposition using Loess captures weekly (4), quarterly (13), and annual (52) seasonal components simultaneously. AutoETS(ZZN) forecasts the trend component — the Z parameters mean: error=Auto, trend=Auto, seasonal=None (trend-only ETS). This is optimal because MSTL already handles seasonality via STL decomposition.</w:t>
      </w:r>
    </w:p>
    <w:p>
      <w:pPr>
        <w:pStyle w:val="ListBullet"/>
        <w:ind w:left="504"/>
      </w:pPr>
      <w:r>
        <w:rPr>
          <w:color w:val="333333"/>
          <w:sz w:val="20"/>
        </w:rPr>
        <w:t>Strength: No hyperparameter tuning required; statsforecast implementation is highly optimized. Consistently strong across all V5-V8 folds.</w:t>
      </w:r>
    </w:p>
    <w:p>
      <w:pPr>
        <w:pStyle w:val="ListBullet"/>
        <w:ind w:left="504"/>
      </w:pPr>
      <w:r>
        <w:rPr>
          <w:color w:val="333333"/>
          <w:sz w:val="20"/>
        </w:rPr>
        <w:t>Strength: Handles non-stationary seasonality better than pure ETS because STL is robust to outliers and allows seasonal components to evolve over time.</w:t>
      </w:r>
    </w:p>
    <w:p>
      <w:pPr>
        <w:pStyle w:val="ListBullet"/>
        <w:ind w:left="504"/>
      </w:pPr>
      <w:r>
        <w:rPr>
          <w:color w:val="333333"/>
          <w:sz w:val="20"/>
        </w:rPr>
        <w:t>Risk: MSTL requires at least 2x the longest seasonal period in training data (104 weeks for period=52). UCC history starts Jan 2023 — this is marginal. Ensure MIN_TRAIN_WEEKS &gt;= 104 before removing any historical data.</w:t>
      </w:r>
    </w:p>
    <w:p>
      <w:pPr>
        <w:pStyle w:val="ListBullet"/>
        <w:ind w:left="504"/>
      </w:pPr>
      <w:r>
        <w:rPr>
          <w:color w:val="333333"/>
          <w:sz w:val="20"/>
        </w:rPr>
        <w:t>Verdict: KEEP. Top-performing benchmark. No changes recommended.</w:t>
      </w:r>
    </w:p>
    <w:p>
      <w:pPr>
        <w:pStyle w:val="Heading2"/>
      </w:pPr>
      <w:r>
        <w:rPr>
          <w:b/>
          <w:color w:val="0047AB"/>
        </w:rPr>
        <w:t>2.2 ETS — Correctly Specified Since V6</w:t>
      </w:r>
    </w:p>
    <w:p>
      <w:pPr>
        <w:spacing w:after="120"/>
      </w:pPr>
      <w:r>
        <w:rPr>
          <w:b w:val="0"/>
          <w:i w:val="0"/>
          <w:color w:val="333333"/>
          <w:sz w:val="21"/>
        </w:rPr>
        <w:t>ExponentialSmoothing(trend="add", damped_trend=True, seasonal="mul", seasonal_periods=52, initialization_method="estimated"). Uses last min(104, len(hist)) weeks (2 years of data) with seasonal_period=52 if &gt;= 104 weeks, else 13. This adaptive windowing is well-designed.</w:t>
      </w:r>
    </w:p>
    <w:p>
      <w:pPr>
        <w:pStyle w:val="ListBullet"/>
        <w:ind w:left="504"/>
      </w:pPr>
      <w:r>
        <w:rPr>
          <w:color w:val="333333"/>
          <w:sz w:val="20"/>
        </w:rPr>
        <w:t>Strength: Multiplicative seasonal correctly scales amplitude with ARR level — essential for a growing series. Damped trend prevents over-extrapolation in late Q4. use_brute=False speeds fit without accuracy loss.</w:t>
      </w:r>
    </w:p>
    <w:p>
      <w:pPr>
        <w:pStyle w:val="ListBullet"/>
        <w:ind w:left="504"/>
      </w:pPr>
      <w:r>
        <w:rPr>
          <w:color w:val="333333"/>
          <w:sz w:val="20"/>
        </w:rPr>
        <w:t>Strength: 104-week window focuses on recent patterns; discounts pre-2024 data that may not represent current GTM motion.</w:t>
      </w:r>
    </w:p>
    <w:p>
      <w:pPr>
        <w:pStyle w:val="ListBullet"/>
        <w:ind w:left="504"/>
      </w:pPr>
      <w:r>
        <w:rPr>
          <w:color w:val="333333"/>
          <w:sz w:val="20"/>
        </w:rPr>
        <w:t>Risk: seasonal_periods=52 requires 104 weeks (2 years) for initialization — achieved by late 2024. Earlier runs (&lt; 104 weeks) fall back to periods=13 automatically.</w:t>
      </w:r>
    </w:p>
    <w:p>
      <w:pPr>
        <w:pStyle w:val="ListBullet"/>
        <w:ind w:left="504"/>
      </w:pPr>
      <w:r>
        <w:rPr>
          <w:color w:val="333333"/>
          <w:sz w:val="20"/>
        </w:rPr>
        <w:t>Verdict: KEEP. V6 fix was correct and V8 retains it.</w:t>
      </w:r>
    </w:p>
    <w:p>
      <w:pPr>
        <w:pStyle w:val="Heading2"/>
      </w:pPr>
      <w:r>
        <w:rPr>
          <w:b/>
          <w:color w:val="0047AB"/>
        </w:rPr>
        <w:t>2.3 Prophet + WoQ Empirical Profile — Correctly Configured Since V5</w:t>
      </w:r>
    </w:p>
    <w:p>
      <w:pPr>
        <w:spacing w:after="120"/>
      </w:pPr>
      <w:r>
        <w:rPr>
          <w:b w:val="0"/>
          <w:i w:val="0"/>
          <w:color w:val="333333"/>
          <w:sz w:val="21"/>
        </w:rPr>
        <w:t>Prophet(yearly_seasonality=False, weekly_seasonality=False, daily_seasonality=False, changepoint_prior_scale=0.08, changepoint_range=0.85, n_changepoints=min(8,max(1,len/20)), seasonality_mode="additive"). Trend extracted, then WoQ empirical profile (compute_woq_seasonal_profile) applied as a multiplicative overlay.</w:t>
      </w:r>
    </w:p>
    <w:p>
      <w:pPr>
        <w:pStyle w:val="ListBullet"/>
        <w:ind w:left="504"/>
      </w:pPr>
      <w:r>
        <w:rPr>
          <w:color w:val="333333"/>
          <w:sz w:val="20"/>
        </w:rPr>
        <w:t>Strength: WoQ empirical profile captures the week-of-quarter ramp pattern (slow weeks 1-8, acceleration weeks 9-13) far better than Fourier-based annual seasonality on 3 years of data.</w:t>
      </w:r>
    </w:p>
    <w:p>
      <w:pPr>
        <w:pStyle w:val="ListBullet"/>
        <w:ind w:left="504"/>
      </w:pPr>
      <w:r>
        <w:rPr>
          <w:color w:val="333333"/>
          <w:sz w:val="20"/>
        </w:rPr>
        <w:t>Strength: n_changepoints=min(8,max(1,len//20)) is adaptive — prevents over-fitting with few data points.</w:t>
      </w:r>
    </w:p>
    <w:p>
      <w:pPr>
        <w:pStyle w:val="ListBullet"/>
        <w:ind w:left="504"/>
      </w:pPr>
      <w:r>
        <w:rPr>
          <w:color w:val="333333"/>
          <w:sz w:val="20"/>
        </w:rPr>
        <w:t>Risk: seasonality_mode="additive" for the trend component is correct (Prophet trend is linear), but the WoQ profile is applied as a multiplicative factor. This multiplicative + additive layering is mathematically correct but may introduce slight phase mismatches at quarter boundaries if WoQ profile is not rebased per fold.</w:t>
      </w:r>
    </w:p>
    <w:p>
      <w:pPr>
        <w:pStyle w:val="ListBullet"/>
        <w:ind w:left="504"/>
      </w:pPr>
      <w:r>
        <w:rPr>
          <w:color w:val="333333"/>
          <w:sz w:val="20"/>
        </w:rPr>
        <w:t>Verdict: KEEP. Conservative and well-designed. Verify WoQ profile is recomputed within each CV fold (not leaked from full history).</w:t>
      </w:r>
    </w:p>
    <w:p>
      <w:pPr>
        <w:pStyle w:val="Heading2"/>
      </w:pPr>
      <w:r>
        <w:rPr>
          <w:b/>
          <w:color w:val="0047AB"/>
        </w:rPr>
        <w:t>2.4 DHR-ARIMA — Now With win_rate_by_woq (V8 Improvement)</w:t>
      </w:r>
    </w:p>
    <w:p>
      <w:pPr>
        <w:spacing w:after="120"/>
      </w:pPr>
      <w:r>
        <w:rPr>
          <w:b w:val="0"/>
          <w:i w:val="0"/>
          <w:color w:val="333333"/>
          <w:sz w:val="21"/>
        </w:rPr>
        <w:t>Per-market AutoARIMA with Fourier(q13,K=2) + Fourier(y52,K=2) + created_lag4 + headcount_lag4 + win_rate_by_woq + pipeline_velocity_lag4 + quarter_end_flag + us_holiday_binary. The addition of win_rate_by_woq in V8 is significant.</w:t>
      </w:r>
    </w:p>
    <w:p>
      <w:pPr>
        <w:pStyle w:val="ListBullet"/>
        <w:ind w:left="504"/>
      </w:pPr>
      <w:r>
        <w:rPr>
          <w:color w:val="333333"/>
          <w:sz w:val="20"/>
        </w:rPr>
        <w:t>Strength: Per-market fit captures APAC/EMEA/LATAM/NA/Unknown-specific seasonality and deal dynamics. This differentiates UCC DHR from ITSG DHR (which is total-level only).</w:t>
      </w:r>
    </w:p>
    <w:p>
      <w:pPr>
        <w:pStyle w:val="ListBullet"/>
        <w:ind w:left="504"/>
      </w:pPr>
      <w:r>
        <w:rPr>
          <w:color w:val="333333"/>
          <w:sz w:val="20"/>
        </w:rPr>
        <w:t>Strength: Dual Fourier specs — q13 for quarterly cycle, y52 for annual — with K=2 gives 8 harmonic terms covering the dominant seasonal frequencies without over-parameterizing.</w:t>
      </w:r>
    </w:p>
    <w:p>
      <w:pPr>
        <w:pStyle w:val="ListBullet"/>
        <w:ind w:left="504"/>
      </w:pPr>
      <w:r>
        <w:rPr>
          <w:color w:val="333333"/>
          <w:sz w:val="20"/>
        </w:rPr>
        <w:t>New V8: win_rate_by_woq captures the rolling win rate by week-of-quarter. This is a key signal for Q4 end-of-quarter acceleration and reduces DHR quarter-end bias.</w:t>
      </w:r>
    </w:p>
    <w:p>
      <w:pPr>
        <w:pStyle w:val="ListBullet"/>
        <w:ind w:left="504"/>
      </w:pPr>
      <w:r>
        <w:rPr>
          <w:color w:val="333333"/>
          <w:sz w:val="20"/>
        </w:rPr>
        <w:t>Risk: Fourier terms are positional (np.arange-based) — check that Fourier index computation uses calendar week-of-year rather than row position in the dataframe. Positional indexing causes phase shift in CV folds where the training slice starts at a different row than the full series.</w:t>
      </w:r>
    </w:p>
    <w:p>
      <w:pPr>
        <w:pStyle w:val="ListBullet"/>
        <w:ind w:left="504"/>
      </w:pPr>
      <w:r>
        <w:rPr>
          <w:color w:val="333333"/>
          <w:sz w:val="20"/>
        </w:rPr>
        <w:t>Verdict: KEEP. V8 improvement is meaningful. Verify Fourier index alignment across folds.</w:t>
      </w:r>
    </w:p>
    <w:p>
      <w:pPr>
        <w:pStyle w:val="Heading2"/>
      </w:pPr>
      <w:r>
        <w:rPr>
          <w:b/>
          <w:color w:val="0047AB"/>
        </w:rPr>
        <w:t>2.5 Global LGB Quantile — All P0/P1 Fixes Confirmed in V8</w:t>
      </w:r>
    </w:p>
    <w:p>
      <w:pPr>
        <w:spacing w:after="120"/>
      </w:pPr>
      <w:r>
        <w:rPr>
          <w:b w:val="0"/>
          <w:i w:val="0"/>
          <w:color w:val="333333"/>
          <w:sz w:val="21"/>
        </w:rPr>
        <w:t>Three separate LightGBM models (P10, P50, P90) trained on 39 GLOBAL_FEATURE_COLS with categorical encoding for sales_market. All previously identified bugs are confirmed fixed in V8:</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047AB"/>
          </w:tcPr>
          <w:p>
            <w:r>
              <w:rPr>
                <w:b/>
                <w:color w:val="FFFFFF"/>
                <w:sz w:val="20"/>
              </w:rPr>
              <w:t>Fix</w:t>
            </w:r>
          </w:p>
        </w:tc>
        <w:tc>
          <w:tcPr>
            <w:tcW w:type="dxa" w:w="2592"/>
            <w:shd w:val="clear" w:color="auto" w:fill="0047AB"/>
          </w:tcPr>
          <w:p>
            <w:r>
              <w:rPr>
                <w:b/>
                <w:color w:val="FFFFFF"/>
                <w:sz w:val="20"/>
              </w:rPr>
              <w:t>V7 Bug</w:t>
            </w:r>
          </w:p>
        </w:tc>
        <w:tc>
          <w:tcPr>
            <w:tcW w:type="dxa" w:w="3456"/>
            <w:shd w:val="clear" w:color="auto" w:fill="0047AB"/>
          </w:tcPr>
          <w:p>
            <w:r>
              <w:rPr>
                <w:b/>
                <w:color w:val="FFFFFF"/>
                <w:sz w:val="20"/>
              </w:rPr>
              <w:t>V8 Code</w:t>
            </w:r>
          </w:p>
        </w:tc>
        <w:tc>
          <w:tcPr>
            <w:tcW w:type="dxa" w:w="1296"/>
            <w:shd w:val="clear" w:color="auto" w:fill="0047AB"/>
          </w:tcPr>
          <w:p>
            <w:r>
              <w:rPr>
                <w:b/>
                <w:color w:val="FFFFFF"/>
                <w:sz w:val="20"/>
              </w:rPr>
              <w:t>Status</w:t>
            </w:r>
          </w:p>
        </w:tc>
      </w:tr>
      <w:tr>
        <w:tc>
          <w:tcPr>
            <w:tcW w:type="dxa" w:w="2304"/>
          </w:tcPr>
          <w:p>
            <w:r>
              <w:rPr>
                <w:color w:val="333333"/>
                <w:sz w:val="19"/>
              </w:rPr>
              <w:t>yoy_growth Inf guard</w:t>
            </w:r>
          </w:p>
        </w:tc>
        <w:tc>
          <w:tcPr>
            <w:tcW w:type="dxa" w:w="2592"/>
          </w:tcPr>
          <w:p>
            <w:r>
              <w:rPr>
                <w:color w:val="333333"/>
                <w:sz w:val="19"/>
              </w:rPr>
              <w:t>No zero guard — Inf in 2023 rows</w:t>
            </w:r>
          </w:p>
        </w:tc>
        <w:tc>
          <w:tcPr>
            <w:tcW w:type="dxa" w:w="3456"/>
          </w:tcPr>
          <w:p>
            <w:r>
              <w:rPr>
                <w:color w:val="333333"/>
                <w:sz w:val="19"/>
              </w:rPr>
              <w:t>((y_lag1/y_lag52.replace(0,np.nan))-1).clip(-3,3).fillna(0.0)</w:t>
            </w:r>
          </w:p>
        </w:tc>
        <w:tc>
          <w:tcPr>
            <w:tcW w:type="dxa" w:w="1296"/>
          </w:tcPr>
          <w:p>
            <w:r>
              <w:rPr>
                <w:color w:val="333333"/>
                <w:sz w:val="19"/>
              </w:rPr>
              <w:t>FIXED</w:t>
            </w:r>
          </w:p>
        </w:tc>
      </w:tr>
      <w:tr>
        <w:tc>
          <w:tcPr>
            <w:tcW w:type="dxa" w:w="2304"/>
          </w:tcPr>
          <w:p>
            <w:r>
              <w:rPr>
                <w:color w:val="333333"/>
                <w:sz w:val="19"/>
              </w:rPr>
              <w:t>qoq_momentum normalized</w:t>
            </w:r>
          </w:p>
        </w:tc>
        <w:tc>
          <w:tcPr>
            <w:tcW w:type="dxa" w:w="2592"/>
          </w:tcPr>
          <w:p>
            <w:r>
              <w:rPr>
                <w:color w:val="333333"/>
                <w:sz w:val="19"/>
              </w:rPr>
              <w:t>Raw dollar diff — scale-dependent</w:t>
            </w:r>
          </w:p>
        </w:tc>
        <w:tc>
          <w:tcPr>
            <w:tcW w:type="dxa" w:w="3456"/>
          </w:tcPr>
          <w:p>
            <w:r>
              <w:rPr>
                <w:color w:val="333333"/>
                <w:sz w:val="19"/>
              </w:rPr>
              <w:t>((y_lag1/y_lag13.replace(0,np.nan))-1).clip(-3,3).fillna(0.0)</w:t>
            </w:r>
          </w:p>
        </w:tc>
        <w:tc>
          <w:tcPr>
            <w:tcW w:type="dxa" w:w="1296"/>
          </w:tcPr>
          <w:p>
            <w:r>
              <w:rPr>
                <w:color w:val="333333"/>
                <w:sz w:val="19"/>
              </w:rPr>
              <w:t>FIXED</w:t>
            </w:r>
          </w:p>
        </w:tc>
      </w:tr>
      <w:tr>
        <w:tc>
          <w:tcPr>
            <w:tcW w:type="dxa" w:w="2304"/>
          </w:tcPr>
          <w:p>
            <w:r>
              <w:rPr>
                <w:color w:val="333333"/>
                <w:sz w:val="19"/>
              </w:rPr>
              <w:t>Quantile crossing guard</w:t>
            </w:r>
          </w:p>
        </w:tc>
        <w:tc>
          <w:tcPr>
            <w:tcW w:type="dxa" w:w="2592"/>
          </w:tcPr>
          <w:p>
            <w:r>
              <w:rPr>
                <w:color w:val="333333"/>
                <w:sz w:val="19"/>
              </w:rPr>
              <w:t>P10 could exceed P50</w:t>
            </w:r>
          </w:p>
        </w:tc>
        <w:tc>
          <w:tcPr>
            <w:tcW w:type="dxa" w:w="3456"/>
          </w:tcPr>
          <w:p>
            <w:r>
              <w:rPr>
                <w:color w:val="333333"/>
                <w:sz w:val="19"/>
              </w:rPr>
              <w:t>p10=np.minimum(p10,p50); p90=np.maximum(p90,p50)</w:t>
            </w:r>
          </w:p>
        </w:tc>
        <w:tc>
          <w:tcPr>
            <w:tcW w:type="dxa" w:w="1296"/>
          </w:tcPr>
          <w:p>
            <w:r>
              <w:rPr>
                <w:color w:val="333333"/>
                <w:sz w:val="19"/>
              </w:rPr>
              <w:t>CONFIRMED</w:t>
            </w:r>
          </w:p>
        </w:tc>
      </w:tr>
      <w:tr>
        <w:tc>
          <w:tcPr>
            <w:tcW w:type="dxa" w:w="2304"/>
          </w:tcPr>
          <w:p>
            <w:r>
              <w:rPr>
                <w:color w:val="333333"/>
                <w:sz w:val="19"/>
              </w:rPr>
              <w:t>Early stopping</w:t>
            </w:r>
          </w:p>
        </w:tc>
        <w:tc>
          <w:tcPr>
            <w:tcW w:type="dxa" w:w="2592"/>
          </w:tcPr>
          <w:p>
            <w:r>
              <w:rPr>
                <w:color w:val="333333"/>
                <w:sz w:val="19"/>
              </w:rPr>
              <w:t>Fixed n_estimators — overfitting small slices</w:t>
            </w:r>
          </w:p>
        </w:tc>
        <w:tc>
          <w:tcPr>
            <w:tcW w:type="dxa" w:w="3456"/>
          </w:tcPr>
          <w:p>
            <w:r>
              <w:rPr>
                <w:color w:val="333333"/>
                <w:sz w:val="19"/>
              </w:rPr>
              <w:t>num_boost_round=1500, early_stopping_rounds=75</w:t>
            </w:r>
          </w:p>
        </w:tc>
        <w:tc>
          <w:tcPr>
            <w:tcW w:type="dxa" w:w="1296"/>
          </w:tcPr>
          <w:p>
            <w:r>
              <w:rPr>
                <w:color w:val="333333"/>
                <w:sz w:val="19"/>
              </w:rPr>
              <w:t>NEW IN V8</w:t>
            </w:r>
          </w:p>
        </w:tc>
      </w:tr>
      <w:tr>
        <w:tc>
          <w:tcPr>
            <w:tcW w:type="dxa" w:w="2304"/>
          </w:tcPr>
          <w:p>
            <w:r>
              <w:rPr>
                <w:color w:val="333333"/>
                <w:sz w:val="19"/>
              </w:rPr>
              <w:t>MLflow tracking</w:t>
            </w:r>
          </w:p>
        </w:tc>
        <w:tc>
          <w:tcPr>
            <w:tcW w:type="dxa" w:w="2592"/>
          </w:tcPr>
          <w:p>
            <w:r>
              <w:rPr>
                <w:color w:val="333333"/>
                <w:sz w:val="19"/>
              </w:rPr>
              <w:t>No mlflow.start_run() in LGB cell</w:t>
            </w:r>
          </w:p>
        </w:tc>
        <w:tc>
          <w:tcPr>
            <w:tcW w:type="dxa" w:w="3456"/>
          </w:tcPr>
          <w:p>
            <w:r>
              <w:rPr>
                <w:color w:val="333333"/>
                <w:sz w:val="19"/>
              </w:rPr>
              <w:t>mlflow.start_run(run_name=ucc_global_lgb_quantile_cv)</w:t>
            </w:r>
          </w:p>
        </w:tc>
        <w:tc>
          <w:tcPr>
            <w:tcW w:type="dxa" w:w="1296"/>
          </w:tcPr>
          <w:p>
            <w:r>
              <w:rPr>
                <w:color w:val="333333"/>
                <w:sz w:val="19"/>
              </w:rPr>
              <w:t>NEW IN V8</w:t>
            </w:r>
          </w:p>
        </w:tc>
      </w:tr>
      <w:tr>
        <w:tc>
          <w:tcPr>
            <w:tcW w:type="dxa" w:w="2304"/>
          </w:tcPr>
          <w:p>
            <w:r>
              <w:rPr>
                <w:color w:val="333333"/>
                <w:sz w:val="19"/>
              </w:rPr>
              <w:t>us_holiday alignment</w:t>
            </w:r>
          </w:p>
        </w:tc>
        <w:tc>
          <w:tcPr>
            <w:tcW w:type="dxa" w:w="2592"/>
          </w:tcPr>
          <w:p>
            <w:r>
              <w:rPr>
                <w:color w:val="333333"/>
                <w:sz w:val="19"/>
              </w:rPr>
              <w:t>us_holiday_binary vs us_holiday mismatch</w:t>
            </w:r>
          </w:p>
        </w:tc>
        <w:tc>
          <w:tcPr>
            <w:tcW w:type="dxa" w:w="3456"/>
          </w:tcPr>
          <w:p>
            <w:r>
              <w:rPr>
                <w:color w:val="333333"/>
                <w:sz w:val="19"/>
              </w:rPr>
              <w:t>Renamed to us_holiday — matches add_calendar_columns() output</w:t>
            </w:r>
          </w:p>
        </w:tc>
        <w:tc>
          <w:tcPr>
            <w:tcW w:type="dxa" w:w="1296"/>
          </w:tcPr>
          <w:p>
            <w:r>
              <w:rPr>
                <w:color w:val="333333"/>
                <w:sz w:val="19"/>
              </w:rPr>
              <w:t>FIXED IN V8</w:t>
            </w:r>
          </w:p>
        </w:tc>
      </w:tr>
      <w:tr>
        <w:tc>
          <w:tcPr>
            <w:tcW w:type="dxa" w:w="2304"/>
          </w:tcPr>
          <w:p>
            <w:r>
              <w:rPr>
                <w:color w:val="333333"/>
                <w:sz w:val="19"/>
              </w:rPr>
              <w:t>Marketing features</w:t>
            </w:r>
          </w:p>
        </w:tc>
        <w:tc>
          <w:tcPr>
            <w:tcW w:type="dxa" w:w="2592"/>
          </w:tcPr>
          <w:p>
            <w:r>
              <w:rPr>
                <w:color w:val="333333"/>
                <w:sz w:val="19"/>
              </w:rPr>
              <w:t>mkt_generated_lag4/mkt_influenced_lag4 present in FEATURE_COLS</w:t>
            </w:r>
          </w:p>
        </w:tc>
        <w:tc>
          <w:tcPr>
            <w:tcW w:type="dxa" w:w="3456"/>
          </w:tcPr>
          <w:p>
            <w:r>
              <w:rPr>
                <w:color w:val="333333"/>
                <w:sz w:val="19"/>
              </w:rPr>
              <w:t>Both present + LEAKY list explicitly excludes same-week versions</w:t>
            </w:r>
          </w:p>
        </w:tc>
        <w:tc>
          <w:tcPr>
            <w:tcW w:type="dxa" w:w="1296"/>
          </w:tcPr>
          <w:p>
            <w:r>
              <w:rPr>
                <w:color w:val="333333"/>
                <w:sz w:val="19"/>
              </w:rPr>
              <w:t>CONFIRMED CORRECT</w:t>
            </w:r>
          </w:p>
        </w:tc>
      </w:tr>
    </w:tbl>
    <w:p/>
    <w:p>
      <w:pPr>
        <w:pStyle w:val="ListBullet"/>
        <w:ind w:left="504"/>
      </w:pPr>
      <w:r>
        <w:rPr>
          <w:color w:val="333333"/>
          <w:sz w:val="20"/>
        </w:rPr>
        <w:t>Strength: Recursive multi-step prediction loop with ar-lag auto-update — p50 predictions fed back as y history for subsequent weeks. This is the correct approach for a 27-week forward horizon where AR lags would otherwise go stale.</w:t>
      </w:r>
    </w:p>
    <w:p>
      <w:pPr>
        <w:pStyle w:val="ListBullet"/>
        <w:ind w:left="504"/>
      </w:pPr>
      <w:r>
        <w:rPr>
          <w:color w:val="333333"/>
          <w:sz w:val="20"/>
        </w:rPr>
        <w:t>Strength: GLOBAL_VALIDATION_WEEKS=13 held out as validation set for early stopping — not part of CV fold training. This prevents early stopping from leaking future information.</w:t>
      </w:r>
    </w:p>
    <w:p>
      <w:pPr>
        <w:pStyle w:val="ListBullet"/>
        <w:ind w:left="504"/>
      </w:pPr>
      <w:r>
        <w:rPr>
          <w:color w:val="333333"/>
          <w:sz w:val="20"/>
        </w:rPr>
        <w:t>Risk: The recursive prediction loop fills future AR lags with 0.0 (y_lag1, y_lag4, etc.) before each step, then updates from p50. For the very first step (week+1), y_lag1=last_known_actual — correct. But y_lag4, y_lag8 etc. start from observed history — verify these are correctly initialized before the loop, not zeroed out.</w:t>
      </w:r>
    </w:p>
    <w:p>
      <w:pPr>
        <w:pStyle w:val="ListBullet"/>
        <w:ind w:left="504"/>
      </w:pPr>
      <w:r>
        <w:rPr>
          <w:color w:val="333333"/>
          <w:sz w:val="20"/>
        </w:rPr>
        <w:t>Verdict: KEEP. LGB is the most feature-rich model and benefits most from the 39-feature set. The recursive loop with early stopping is production-grade.</w:t>
      </w:r>
    </w:p>
    <w:p/>
    <w:p>
      <w:r>
        <w:br w:type="page"/>
      </w:r>
    </w:p>
    <w:p>
      <w:pPr>
        <w:pStyle w:val="Heading1"/>
      </w:pPr>
      <w:r>
        <w:rPr>
          <w:b/>
          <w:color w:val="0047AB"/>
        </w:rPr>
        <w:t>Section 3: Seasonality Handling — Comprehensive Coverage</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0047AB"/>
          </w:tcPr>
          <w:p>
            <w:r>
              <w:rPr>
                <w:b/>
                <w:color w:val="FFFFFF"/>
                <w:sz w:val="20"/>
              </w:rPr>
              <w:t>Seasonality Type</w:t>
            </w:r>
          </w:p>
        </w:tc>
        <w:tc>
          <w:tcPr>
            <w:tcW w:type="dxa" w:w="3168"/>
            <w:shd w:val="clear" w:color="auto" w:fill="0047AB"/>
          </w:tcPr>
          <w:p>
            <w:r>
              <w:rPr>
                <w:b/>
                <w:color w:val="FFFFFF"/>
                <w:sz w:val="20"/>
              </w:rPr>
              <w:t>Covered By</w:t>
            </w:r>
          </w:p>
        </w:tc>
        <w:tc>
          <w:tcPr>
            <w:tcW w:type="dxa" w:w="1296"/>
            <w:shd w:val="clear" w:color="auto" w:fill="0047AB"/>
          </w:tcPr>
          <w:p>
            <w:r>
              <w:rPr>
                <w:b/>
                <w:color w:val="FFFFFF"/>
                <w:sz w:val="20"/>
              </w:rPr>
              <w:t>Adequacy</w:t>
            </w:r>
          </w:p>
        </w:tc>
        <w:tc>
          <w:tcPr>
            <w:tcW w:type="dxa" w:w="3168"/>
            <w:shd w:val="clear" w:color="auto" w:fill="0047AB"/>
          </w:tcPr>
          <w:p>
            <w:r>
              <w:rPr>
                <w:b/>
                <w:color w:val="FFFFFF"/>
                <w:sz w:val="20"/>
              </w:rPr>
              <w:t>Notes</w:t>
            </w:r>
          </w:p>
        </w:tc>
      </w:tr>
      <w:tr>
        <w:tc>
          <w:tcPr>
            <w:tcW w:type="dxa" w:w="2880"/>
          </w:tcPr>
          <w:p>
            <w:r>
              <w:rPr>
                <w:color w:val="333333"/>
                <w:sz w:val="19"/>
              </w:rPr>
              <w:t>Weekly (4-week quarter micro-cycle)</w:t>
            </w:r>
          </w:p>
        </w:tc>
        <w:tc>
          <w:tcPr>
            <w:tcW w:type="dxa" w:w="3168"/>
          </w:tcPr>
          <w:p>
            <w:r>
              <w:rPr>
                <w:color w:val="333333"/>
                <w:sz w:val="19"/>
              </w:rPr>
              <w:t>MSTL(season_length=4) + LGB week_of_qtr features</w:t>
            </w:r>
          </w:p>
        </w:tc>
        <w:tc>
          <w:tcPr>
            <w:tcW w:type="dxa" w:w="1296"/>
          </w:tcPr>
          <w:p>
            <w:r>
              <w:rPr>
                <w:color w:val="333333"/>
                <w:sz w:val="19"/>
              </w:rPr>
              <w:t>STRONG</w:t>
            </w:r>
          </w:p>
        </w:tc>
        <w:tc>
          <w:tcPr>
            <w:tcW w:type="dxa" w:w="3168"/>
          </w:tcPr>
          <w:p>
            <w:r>
              <w:rPr>
                <w:color w:val="333333"/>
                <w:sz w:val="19"/>
              </w:rPr>
              <w:t>MSTL STL decomposition + LGB WoQ features provide double coverage</w:t>
            </w:r>
          </w:p>
        </w:tc>
      </w:tr>
      <w:tr>
        <w:tc>
          <w:tcPr>
            <w:tcW w:type="dxa" w:w="2880"/>
          </w:tcPr>
          <w:p>
            <w:r>
              <w:rPr>
                <w:color w:val="333333"/>
                <w:sz w:val="19"/>
              </w:rPr>
              <w:t>Quarterly (13-week B2B cycle)</w:t>
            </w:r>
          </w:p>
        </w:tc>
        <w:tc>
          <w:tcPr>
            <w:tcW w:type="dxa" w:w="3168"/>
          </w:tcPr>
          <w:p>
            <w:r>
              <w:rPr>
                <w:color w:val="333333"/>
                <w:sz w:val="19"/>
              </w:rPr>
              <w:t>MSTL(13) + DHR Fourier(q13,K=2) + LGB quarter features</w:t>
            </w:r>
          </w:p>
        </w:tc>
        <w:tc>
          <w:tcPr>
            <w:tcW w:type="dxa" w:w="1296"/>
          </w:tcPr>
          <w:p>
            <w:r>
              <w:rPr>
                <w:color w:val="333333"/>
                <w:sz w:val="19"/>
              </w:rPr>
              <w:t>STRONG</w:t>
            </w:r>
          </w:p>
        </w:tc>
        <w:tc>
          <w:tcPr>
            <w:tcW w:type="dxa" w:w="3168"/>
          </w:tcPr>
          <w:p>
            <w:r>
              <w:rPr>
                <w:color w:val="333333"/>
                <w:sz w:val="19"/>
              </w:rPr>
              <w:t>Three models + DHR harmonic terms</w:t>
            </w:r>
          </w:p>
        </w:tc>
      </w:tr>
      <w:tr>
        <w:tc>
          <w:tcPr>
            <w:tcW w:type="dxa" w:w="2880"/>
          </w:tcPr>
          <w:p>
            <w:r>
              <w:rPr>
                <w:color w:val="333333"/>
                <w:sz w:val="19"/>
              </w:rPr>
              <w:t>Annual (52-week fiscal cycle)</w:t>
            </w:r>
          </w:p>
        </w:tc>
        <w:tc>
          <w:tcPr>
            <w:tcW w:type="dxa" w:w="3168"/>
          </w:tcPr>
          <w:p>
            <w:r>
              <w:rPr>
                <w:color w:val="333333"/>
                <w:sz w:val="19"/>
              </w:rPr>
              <w:t>ETS(periods=52) + MSTL(52) + DHR Fourier(y52,K=2) + LGB yoy_growth</w:t>
            </w:r>
          </w:p>
        </w:tc>
        <w:tc>
          <w:tcPr>
            <w:tcW w:type="dxa" w:w="1296"/>
          </w:tcPr>
          <w:p>
            <w:r>
              <w:rPr>
                <w:color w:val="333333"/>
                <w:sz w:val="19"/>
              </w:rPr>
              <w:t>STRONG</w:t>
            </w:r>
          </w:p>
        </w:tc>
        <w:tc>
          <w:tcPr>
            <w:tcW w:type="dxa" w:w="3168"/>
          </w:tcPr>
          <w:p>
            <w:r>
              <w:rPr>
                <w:color w:val="333333"/>
                <w:sz w:val="19"/>
              </w:rPr>
              <w:t>Full coverage across all model types</w:t>
            </w:r>
          </w:p>
        </w:tc>
      </w:tr>
      <w:tr>
        <w:tc>
          <w:tcPr>
            <w:tcW w:type="dxa" w:w="2880"/>
          </w:tcPr>
          <w:p>
            <w:r>
              <w:rPr>
                <w:color w:val="333333"/>
                <w:sz w:val="19"/>
              </w:rPr>
              <w:t>Q4 acceleration (WoQ ramp)</w:t>
            </w:r>
          </w:p>
        </w:tc>
        <w:tc>
          <w:tcPr>
            <w:tcW w:type="dxa" w:w="3168"/>
          </w:tcPr>
          <w:p>
            <w:r>
              <w:rPr>
                <w:color w:val="333333"/>
                <w:sz w:val="19"/>
              </w:rPr>
              <w:t>Prophet WoQ empirical profile + LGB quarter_end_flag/is_q4/q4_week_countdown + DHR win_rate_by_woq</w:t>
            </w:r>
          </w:p>
        </w:tc>
        <w:tc>
          <w:tcPr>
            <w:tcW w:type="dxa" w:w="1296"/>
          </w:tcPr>
          <w:p>
            <w:r>
              <w:rPr>
                <w:color w:val="333333"/>
                <w:sz w:val="19"/>
              </w:rPr>
              <w:t>EXCELLENT</w:t>
            </w:r>
          </w:p>
        </w:tc>
        <w:tc>
          <w:tcPr>
            <w:tcW w:type="dxa" w:w="3168"/>
          </w:tcPr>
          <w:p>
            <w:r>
              <w:rPr>
                <w:color w:val="333333"/>
                <w:sz w:val="19"/>
              </w:rPr>
              <w:t>V8 adds win_rate_by_woq to DHR — best UCC coverage yet</w:t>
            </w:r>
          </w:p>
        </w:tc>
      </w:tr>
      <w:tr>
        <w:tc>
          <w:tcPr>
            <w:tcW w:type="dxa" w:w="2880"/>
          </w:tcPr>
          <w:p>
            <w:r>
              <w:rPr>
                <w:color w:val="333333"/>
                <w:sz w:val="19"/>
              </w:rPr>
              <w:t>US holiday effects</w:t>
            </w:r>
          </w:p>
        </w:tc>
        <w:tc>
          <w:tcPr>
            <w:tcW w:type="dxa" w:w="3168"/>
          </w:tcPr>
          <w:p>
            <w:r>
              <w:rPr>
                <w:color w:val="333333"/>
                <w:sz w:val="19"/>
              </w:rPr>
              <w:t>us_holiday in LGB + DHR us_holiday_binary</w:t>
            </w:r>
          </w:p>
        </w:tc>
        <w:tc>
          <w:tcPr>
            <w:tcW w:type="dxa" w:w="1296"/>
          </w:tcPr>
          <w:p>
            <w:r>
              <w:rPr>
                <w:color w:val="333333"/>
                <w:sz w:val="19"/>
              </w:rPr>
              <w:t>ADEQUATE</w:t>
            </w:r>
          </w:p>
        </w:tc>
        <w:tc>
          <w:tcPr>
            <w:tcW w:type="dxa" w:w="3168"/>
          </w:tcPr>
          <w:p>
            <w:r>
              <w:rPr>
                <w:color w:val="333333"/>
                <w:sz w:val="19"/>
              </w:rPr>
              <w:t>US-only; no EMEA/APAC/LATAM holidays</w:t>
            </w:r>
          </w:p>
        </w:tc>
      </w:tr>
      <w:tr>
        <w:tc>
          <w:tcPr>
            <w:tcW w:type="dxa" w:w="2880"/>
          </w:tcPr>
          <w:p>
            <w:r>
              <w:rPr>
                <w:color w:val="333333"/>
                <w:sz w:val="19"/>
              </w:rPr>
              <w:t>Structural breaks / regime changes</w:t>
            </w:r>
          </w:p>
        </w:tc>
        <w:tc>
          <w:tcPr>
            <w:tcW w:type="dxa" w:w="3168"/>
          </w:tcPr>
          <w:p>
            <w:r>
              <w:rPr>
                <w:color w:val="333333"/>
                <w:sz w:val="19"/>
              </w:rPr>
              <w:t>Prophet changepoint detection (n_changepoints adaptive)</w:t>
            </w:r>
          </w:p>
        </w:tc>
        <w:tc>
          <w:tcPr>
            <w:tcW w:type="dxa" w:w="1296"/>
          </w:tcPr>
          <w:p>
            <w:r>
              <w:rPr>
                <w:color w:val="333333"/>
                <w:sz w:val="19"/>
              </w:rPr>
              <w:t>PARTIAL</w:t>
            </w:r>
          </w:p>
        </w:tc>
        <w:tc>
          <w:tcPr>
            <w:tcW w:type="dxa" w:w="3168"/>
          </w:tcPr>
          <w:p>
            <w:r>
              <w:rPr>
                <w:color w:val="333333"/>
                <w:sz w:val="19"/>
              </w:rPr>
              <w:t>Prophet covers trend shifts but not sudden demand shocks</w:t>
            </w:r>
          </w:p>
        </w:tc>
      </w:tr>
      <w:tr>
        <w:tc>
          <w:tcPr>
            <w:tcW w:type="dxa" w:w="2880"/>
          </w:tcPr>
          <w:p>
            <w:r>
              <w:rPr>
                <w:color w:val="333333"/>
                <w:sz w:val="19"/>
              </w:rPr>
              <w:t>Business-cycle effects</w:t>
            </w:r>
          </w:p>
        </w:tc>
        <w:tc>
          <w:tcPr>
            <w:tcW w:type="dxa" w:w="3168"/>
          </w:tcPr>
          <w:p>
            <w:r>
              <w:rPr>
                <w:color w:val="333333"/>
                <w:sz w:val="19"/>
              </w:rPr>
              <w:t>yoy_growth (clipped ratio) + qoq_momentum (normalized)</w:t>
            </w:r>
          </w:p>
        </w:tc>
        <w:tc>
          <w:tcPr>
            <w:tcW w:type="dxa" w:w="1296"/>
          </w:tcPr>
          <w:p>
            <w:r>
              <w:rPr>
                <w:color w:val="333333"/>
                <w:sz w:val="19"/>
              </w:rPr>
              <w:t>ADEQUATE</w:t>
            </w:r>
          </w:p>
        </w:tc>
        <w:tc>
          <w:tcPr>
            <w:tcW w:type="dxa" w:w="3168"/>
          </w:tcPr>
          <w:p>
            <w:r>
              <w:rPr>
                <w:color w:val="333333"/>
                <w:sz w:val="19"/>
              </w:rPr>
              <w:t>Cycle captured via momentum features; no macro economic indicators</w:t>
            </w:r>
          </w:p>
        </w:tc>
      </w:tr>
    </w:tbl>
    <w:p/>
    <w:p>
      <w:pPr>
        <w:pStyle w:val="Heading2"/>
      </w:pPr>
      <w:r>
        <w:rPr>
          <w:b/>
          <w:color w:val="0047AB"/>
        </w:rPr>
        <w:t>Remaining Seasonality Gap: Regional Holidays</w:t>
      </w:r>
    </w:p>
    <w:p>
      <w:pPr>
        <w:spacing w:after="120"/>
      </w:pPr>
      <w:r>
        <w:rPr>
          <w:b w:val="0"/>
          <w:i w:val="0"/>
          <w:color w:val="333333"/>
          <w:sz w:val="21"/>
        </w:rPr>
        <w:t>EMEA (UK bank holidays, Good Friday, Eid), APAC (India Diwali, Republic Day, Chinese New Year for China accounts), and LATAM (Carnival, Independence Days) are unmodeled. Impact is limited — non-NA markets are ~15-20% of total ARR — but market-level forecasts for EMEA and APAC will show systematic spikes around regional holidays that all models miss.</w:t>
      </w:r>
    </w:p>
    <w:p>
      <w:pPr>
        <w:pStyle w:val="ListBullet"/>
        <w:ind w:left="504"/>
      </w:pPr>
      <w:r>
        <w:rPr>
          <w:color w:val="333333"/>
          <w:sz w:val="20"/>
        </w:rPr>
        <w:t>Recommendation (P2): Add regional holiday calendars using the `holidays` library: holidays.UK(), holidays.IN(), holidays.BR() applied to LGB us_holiday column as a multi-region binary. Effort: 1 day.</w:t>
      </w:r>
    </w:p>
    <w:p/>
    <w:p>
      <w:r>
        <w:br w:type="page"/>
      </w:r>
    </w:p>
    <w:p>
      <w:pPr>
        <w:pStyle w:val="Heading1"/>
      </w:pPr>
      <w:r>
        <w:rPr>
          <w:b/>
          <w:color w:val="0047AB"/>
        </w:rPr>
        <w:t>Section 4: Data Quality &amp; Feature Engineering</w:t>
      </w:r>
    </w:p>
    <w:p>
      <w:pPr>
        <w:pStyle w:val="Heading2"/>
      </w:pPr>
      <w:r>
        <w:rPr>
          <w:b/>
          <w:color w:val="0047AB"/>
        </w:rPr>
        <w:t>4.1 39 GLOBAL_FEATURE_COLS — Comprehensive Set</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0047AB"/>
          </w:tcPr>
          <w:p>
            <w:r>
              <w:rPr>
                <w:b/>
                <w:color w:val="FFFFFF"/>
                <w:sz w:val="20"/>
              </w:rPr>
              <w:t>Category</w:t>
            </w:r>
          </w:p>
        </w:tc>
        <w:tc>
          <w:tcPr>
            <w:tcW w:type="dxa" w:w="4608"/>
            <w:shd w:val="clear" w:color="auto" w:fill="0047AB"/>
          </w:tcPr>
          <w:p>
            <w:r>
              <w:rPr>
                <w:b/>
                <w:color w:val="FFFFFF"/>
                <w:sz w:val="20"/>
              </w:rPr>
              <w:t>Features</w:t>
            </w:r>
          </w:p>
        </w:tc>
        <w:tc>
          <w:tcPr>
            <w:tcW w:type="dxa" w:w="720"/>
            <w:shd w:val="clear" w:color="auto" w:fill="0047AB"/>
          </w:tcPr>
          <w:p>
            <w:r>
              <w:rPr>
                <w:b/>
                <w:color w:val="FFFFFF"/>
                <w:sz w:val="20"/>
              </w:rPr>
              <w:t>Count</w:t>
            </w:r>
          </w:p>
        </w:tc>
        <w:tc>
          <w:tcPr>
            <w:tcW w:type="dxa" w:w="3168"/>
            <w:shd w:val="clear" w:color="auto" w:fill="0047AB"/>
          </w:tcPr>
          <w:p>
            <w:r>
              <w:rPr>
                <w:b/>
                <w:color w:val="FFFFFF"/>
                <w:sz w:val="20"/>
              </w:rPr>
              <w:t>Notes</w:t>
            </w:r>
          </w:p>
        </w:tc>
      </w:tr>
      <w:tr>
        <w:tc>
          <w:tcPr>
            <w:tcW w:type="dxa" w:w="2016"/>
          </w:tcPr>
          <w:p>
            <w:r>
              <w:rPr>
                <w:color w:val="333333"/>
                <w:sz w:val="19"/>
              </w:rPr>
              <w:t>Calendar</w:t>
            </w:r>
          </w:p>
        </w:tc>
        <w:tc>
          <w:tcPr>
            <w:tcW w:type="dxa" w:w="4608"/>
          </w:tcPr>
          <w:p>
            <w:r>
              <w:rPr>
                <w:color w:val="333333"/>
                <w:sz w:val="19"/>
              </w:rPr>
              <w:t>week_of_qtr, quarter_end_flag, is_q4, q4_week_countdown, woq_sin, woq_cos, qtr_sin, qtr_cos</w:t>
            </w:r>
          </w:p>
        </w:tc>
        <w:tc>
          <w:tcPr>
            <w:tcW w:type="dxa" w:w="720"/>
          </w:tcPr>
          <w:p>
            <w:r>
              <w:rPr>
                <w:color w:val="333333"/>
                <w:sz w:val="19"/>
              </w:rPr>
              <w:t>8</w:t>
            </w:r>
          </w:p>
        </w:tc>
        <w:tc>
          <w:tcPr>
            <w:tcW w:type="dxa" w:w="3168"/>
          </w:tcPr>
          <w:p>
            <w:r>
              <w:rPr>
                <w:color w:val="333333"/>
                <w:sz w:val="19"/>
              </w:rPr>
              <w:t>Fourier + raw calendar — best practice</w:t>
            </w:r>
          </w:p>
        </w:tc>
      </w:tr>
      <w:tr>
        <w:tc>
          <w:tcPr>
            <w:tcW w:type="dxa" w:w="2016"/>
          </w:tcPr>
          <w:p>
            <w:r>
              <w:rPr>
                <w:color w:val="333333"/>
                <w:sz w:val="19"/>
              </w:rPr>
              <w:t>Categorical</w:t>
            </w:r>
          </w:p>
        </w:tc>
        <w:tc>
          <w:tcPr>
            <w:tcW w:type="dxa" w:w="4608"/>
          </w:tcPr>
          <w:p>
            <w:r>
              <w:rPr>
                <w:color w:val="333333"/>
                <w:sz w:val="19"/>
              </w:rPr>
              <w:t>sales_market</w:t>
            </w:r>
          </w:p>
        </w:tc>
        <w:tc>
          <w:tcPr>
            <w:tcW w:type="dxa" w:w="720"/>
          </w:tcPr>
          <w:p>
            <w:r>
              <w:rPr>
                <w:color w:val="333333"/>
                <w:sz w:val="19"/>
              </w:rPr>
              <w:t>1</w:t>
            </w:r>
          </w:p>
        </w:tc>
        <w:tc>
          <w:tcPr>
            <w:tcW w:type="dxa" w:w="3168"/>
          </w:tcPr>
          <w:p>
            <w:r>
              <w:rPr>
                <w:color w:val="333333"/>
                <w:sz w:val="19"/>
              </w:rPr>
              <w:t>Categorical-encoded for LGB splits</w:t>
            </w:r>
          </w:p>
        </w:tc>
      </w:tr>
      <w:tr>
        <w:tc>
          <w:tcPr>
            <w:tcW w:type="dxa" w:w="2016"/>
          </w:tcPr>
          <w:p>
            <w:r>
              <w:rPr>
                <w:color w:val="333333"/>
                <w:sz w:val="19"/>
              </w:rPr>
              <w:t>Pipeline</w:t>
            </w:r>
          </w:p>
        </w:tc>
        <w:tc>
          <w:tcPr>
            <w:tcW w:type="dxa" w:w="4608"/>
          </w:tcPr>
          <w:p>
            <w:r>
              <w:rPr>
                <w:color w:val="333333"/>
                <w:sz w:val="19"/>
              </w:rPr>
              <w:t>created_lag4, created_lag5, headcount_lag4, win_rate_woq, pipeline_velocity_lag4, deal_size_lag1, sales_cycle_lag1, push_ctr_lag1, avg_opportunity_age</w:t>
            </w:r>
          </w:p>
        </w:tc>
        <w:tc>
          <w:tcPr>
            <w:tcW w:type="dxa" w:w="720"/>
          </w:tcPr>
          <w:p>
            <w:r>
              <w:rPr>
                <w:color w:val="333333"/>
                <w:sz w:val="19"/>
              </w:rPr>
              <w:t>9</w:t>
            </w:r>
          </w:p>
        </w:tc>
        <w:tc>
          <w:tcPr>
            <w:tcW w:type="dxa" w:w="3168"/>
          </w:tcPr>
          <w:p>
            <w:r>
              <w:rPr>
                <w:color w:val="333333"/>
                <w:sz w:val="19"/>
              </w:rPr>
              <w:t>Strong leading indicators</w:t>
            </w:r>
          </w:p>
        </w:tc>
      </w:tr>
      <w:tr>
        <w:tc>
          <w:tcPr>
            <w:tcW w:type="dxa" w:w="2016"/>
          </w:tcPr>
          <w:p>
            <w:r>
              <w:rPr>
                <w:color w:val="333333"/>
                <w:sz w:val="19"/>
              </w:rPr>
              <w:t>Activity</w:t>
            </w:r>
          </w:p>
        </w:tc>
        <w:tc>
          <w:tcPr>
            <w:tcW w:type="dxa" w:w="4608"/>
          </w:tcPr>
          <w:p>
            <w:r>
              <w:rPr>
                <w:color w:val="333333"/>
                <w:sz w:val="19"/>
              </w:rPr>
              <w:t>avg_dials_lag4, avg_touches_lag4</w:t>
            </w:r>
          </w:p>
        </w:tc>
        <w:tc>
          <w:tcPr>
            <w:tcW w:type="dxa" w:w="720"/>
          </w:tcPr>
          <w:p>
            <w:r>
              <w:rPr>
                <w:color w:val="333333"/>
                <w:sz w:val="19"/>
              </w:rPr>
              <w:t>2</w:t>
            </w:r>
          </w:p>
        </w:tc>
        <w:tc>
          <w:tcPr>
            <w:tcW w:type="dxa" w:w="3168"/>
          </w:tcPr>
          <w:p>
            <w:r>
              <w:rPr>
                <w:color w:val="333333"/>
                <w:sz w:val="19"/>
              </w:rPr>
              <w:t>Sales activity intensity</w:t>
            </w:r>
          </w:p>
        </w:tc>
      </w:tr>
      <w:tr>
        <w:tc>
          <w:tcPr>
            <w:tcW w:type="dxa" w:w="2016"/>
          </w:tcPr>
          <w:p>
            <w:r>
              <w:rPr>
                <w:color w:val="333333"/>
                <w:sz w:val="19"/>
              </w:rPr>
              <w:t>Actuals/Market</w:t>
            </w:r>
          </w:p>
        </w:tc>
        <w:tc>
          <w:tcPr>
            <w:tcW w:type="dxa" w:w="4608"/>
          </w:tcPr>
          <w:p>
            <w:r>
              <w:rPr>
                <w:color w:val="333333"/>
                <w:sz w:val="19"/>
              </w:rPr>
              <w:t>mc_actuals_lag4, mkt_opened_lag4, mkt_generated_lag4, mkt_influenced_lag4, miradore_lag4, plan_gap_lag1, partner_pipe_lag4, sales_rep_ramp_ratio</w:t>
            </w:r>
          </w:p>
        </w:tc>
        <w:tc>
          <w:tcPr>
            <w:tcW w:type="dxa" w:w="720"/>
          </w:tcPr>
          <w:p>
            <w:r>
              <w:rPr>
                <w:color w:val="333333"/>
                <w:sz w:val="19"/>
              </w:rPr>
              <w:t>8</w:t>
            </w:r>
          </w:p>
        </w:tc>
        <w:tc>
          <w:tcPr>
            <w:tcW w:type="dxa" w:w="3168"/>
          </w:tcPr>
          <w:p>
            <w:r>
              <w:rPr>
                <w:color w:val="333333"/>
                <w:sz w:val="19"/>
              </w:rPr>
              <w:t>Marketing + partner + quota signals</w:t>
            </w:r>
          </w:p>
        </w:tc>
      </w:tr>
      <w:tr>
        <w:tc>
          <w:tcPr>
            <w:tcW w:type="dxa" w:w="2016"/>
          </w:tcPr>
          <w:p>
            <w:r>
              <w:rPr>
                <w:color w:val="333333"/>
                <w:sz w:val="19"/>
              </w:rPr>
              <w:t>AR lags</w:t>
            </w:r>
          </w:p>
        </w:tc>
        <w:tc>
          <w:tcPr>
            <w:tcW w:type="dxa" w:w="4608"/>
          </w:tcPr>
          <w:p>
            <w:r>
              <w:rPr>
                <w:color w:val="333333"/>
                <w:sz w:val="19"/>
              </w:rPr>
              <w:t>y_lag1, y_lag4, y_lag8, y_lag13, y_lag26, r4w</w:t>
            </w:r>
          </w:p>
        </w:tc>
        <w:tc>
          <w:tcPr>
            <w:tcW w:type="dxa" w:w="720"/>
          </w:tcPr>
          <w:p>
            <w:r>
              <w:rPr>
                <w:color w:val="333333"/>
                <w:sz w:val="19"/>
              </w:rPr>
              <w:t>6</w:t>
            </w:r>
          </w:p>
        </w:tc>
        <w:tc>
          <w:tcPr>
            <w:tcW w:type="dxa" w:w="3168"/>
          </w:tcPr>
          <w:p>
            <w:r>
              <w:rPr>
                <w:color w:val="333333"/>
                <w:sz w:val="19"/>
              </w:rPr>
              <w:t>Multi-horizon AR structure</w:t>
            </w:r>
          </w:p>
        </w:tc>
      </w:tr>
      <w:tr>
        <w:tc>
          <w:tcPr>
            <w:tcW w:type="dxa" w:w="2016"/>
          </w:tcPr>
          <w:p>
            <w:r>
              <w:rPr>
                <w:color w:val="333333"/>
                <w:sz w:val="19"/>
              </w:rPr>
              <w:t>Volatility</w:t>
            </w:r>
          </w:p>
        </w:tc>
        <w:tc>
          <w:tcPr>
            <w:tcW w:type="dxa" w:w="4608"/>
          </w:tcPr>
          <w:p>
            <w:r>
              <w:rPr>
                <w:color w:val="333333"/>
                <w:sz w:val="19"/>
              </w:rPr>
              <w:t>rolling_vol_4w, rolling_vol_13w</w:t>
            </w:r>
          </w:p>
        </w:tc>
        <w:tc>
          <w:tcPr>
            <w:tcW w:type="dxa" w:w="720"/>
          </w:tcPr>
          <w:p>
            <w:r>
              <w:rPr>
                <w:color w:val="333333"/>
                <w:sz w:val="19"/>
              </w:rPr>
              <w:t>2</w:t>
            </w:r>
          </w:p>
        </w:tc>
        <w:tc>
          <w:tcPr>
            <w:tcW w:type="dxa" w:w="3168"/>
          </w:tcPr>
          <w:p>
            <w:r>
              <w:rPr>
                <w:color w:val="333333"/>
                <w:sz w:val="19"/>
              </w:rPr>
              <w:t>Risk/uncertainty signal</w:t>
            </w:r>
          </w:p>
        </w:tc>
      </w:tr>
      <w:tr>
        <w:tc>
          <w:tcPr>
            <w:tcW w:type="dxa" w:w="2016"/>
          </w:tcPr>
          <w:p>
            <w:r>
              <w:rPr>
                <w:color w:val="333333"/>
                <w:sz w:val="19"/>
              </w:rPr>
              <w:t>Growth/Momentum</w:t>
            </w:r>
          </w:p>
        </w:tc>
        <w:tc>
          <w:tcPr>
            <w:tcW w:type="dxa" w:w="4608"/>
          </w:tcPr>
          <w:p>
            <w:r>
              <w:rPr>
                <w:color w:val="333333"/>
                <w:sz w:val="19"/>
              </w:rPr>
              <w:t>yoy_growth, qoq_momentum</w:t>
            </w:r>
          </w:p>
        </w:tc>
        <w:tc>
          <w:tcPr>
            <w:tcW w:type="dxa" w:w="720"/>
          </w:tcPr>
          <w:p>
            <w:r>
              <w:rPr>
                <w:color w:val="333333"/>
                <w:sz w:val="19"/>
              </w:rPr>
              <w:t>2</w:t>
            </w:r>
          </w:p>
        </w:tc>
        <w:tc>
          <w:tcPr>
            <w:tcW w:type="dxa" w:w="3168"/>
          </w:tcPr>
          <w:p>
            <w:r>
              <w:rPr>
                <w:color w:val="333333"/>
                <w:sz w:val="19"/>
              </w:rPr>
              <w:t>Now correctly normalized with clipping</w:t>
            </w:r>
          </w:p>
        </w:tc>
      </w:tr>
      <w:tr>
        <w:tc>
          <w:tcPr>
            <w:tcW w:type="dxa" w:w="2016"/>
          </w:tcPr>
          <w:p>
            <w:r>
              <w:rPr>
                <w:color w:val="333333"/>
                <w:sz w:val="19"/>
              </w:rPr>
              <w:t>Holidays</w:t>
            </w:r>
          </w:p>
        </w:tc>
        <w:tc>
          <w:tcPr>
            <w:tcW w:type="dxa" w:w="4608"/>
          </w:tcPr>
          <w:p>
            <w:r>
              <w:rPr>
                <w:color w:val="333333"/>
                <w:sz w:val="19"/>
              </w:rPr>
              <w:t>us_holiday</w:t>
            </w:r>
          </w:p>
        </w:tc>
        <w:tc>
          <w:tcPr>
            <w:tcW w:type="dxa" w:w="720"/>
          </w:tcPr>
          <w:p>
            <w:r>
              <w:rPr>
                <w:color w:val="333333"/>
                <w:sz w:val="19"/>
              </w:rPr>
              <w:t>1</w:t>
            </w:r>
          </w:p>
        </w:tc>
        <w:tc>
          <w:tcPr>
            <w:tcW w:type="dxa" w:w="3168"/>
          </w:tcPr>
          <w:p>
            <w:r>
              <w:rPr>
                <w:color w:val="333333"/>
                <w:sz w:val="19"/>
              </w:rPr>
              <w:t>US only — see Section 3 for EMEA/APAC gap</w:t>
            </w:r>
          </w:p>
        </w:tc>
      </w:tr>
      <w:tr>
        <w:tc>
          <w:tcPr>
            <w:tcW w:type="dxa" w:w="2016"/>
          </w:tcPr>
          <w:p>
            <w:r>
              <w:rPr>
                <w:color w:val="333333"/>
                <w:sz w:val="19"/>
              </w:rPr>
              <w:t>TOTAL</w:t>
            </w:r>
          </w:p>
        </w:tc>
        <w:tc>
          <w:tcPr>
            <w:tcW w:type="dxa" w:w="4608"/>
          </w:tcPr>
          <w:p>
            <w:r>
              <w:rPr>
                <w:color w:val="333333"/>
                <w:sz w:val="19"/>
              </w:rPr>
            </w:r>
          </w:p>
        </w:tc>
        <w:tc>
          <w:tcPr>
            <w:tcW w:type="dxa" w:w="720"/>
          </w:tcPr>
          <w:p>
            <w:r>
              <w:rPr>
                <w:color w:val="333333"/>
                <w:sz w:val="19"/>
              </w:rPr>
              <w:t>39</w:t>
            </w:r>
          </w:p>
        </w:tc>
        <w:tc>
          <w:tcPr>
            <w:tcW w:type="dxa" w:w="3168"/>
          </w:tcPr>
          <w:p>
            <w:r>
              <w:rPr>
                <w:color w:val="333333"/>
                <w:sz w:val="19"/>
              </w:rPr>
              <w:t>Up from 35 (V5) → 37 (V6) → 39 (V7/V8)</w:t>
            </w:r>
          </w:p>
        </w:tc>
      </w:tr>
    </w:tbl>
    <w:p/>
    <w:p>
      <w:pPr>
        <w:pStyle w:val="Heading2"/>
      </w:pPr>
      <w:r>
        <w:rPr>
          <w:b/>
          <w:color w:val="0047AB"/>
        </w:rPr>
        <w:t>4.2 Leaky Column Governance — Production-Grade in V8</w:t>
      </w:r>
    </w:p>
    <w:p>
      <w:pPr>
        <w:spacing w:after="120"/>
      </w:pPr>
      <w:r>
        <w:rPr>
          <w:b w:val="0"/>
          <w:i w:val="0"/>
          <w:color w:val="333333"/>
          <w:sz w:val="21"/>
        </w:rPr>
        <w:t>LEAKY_OR_UNUSABLE_COLS in Cell 3 now explicitly names: y, created_arr, created_pipeline_amount, created_open_pipeline, created_partner_pipeline, total_partner_pipeline, marketing_generated_pipeline, marketing_influenced_pipeline, opportunities_created — plus a second set of same-week derived columns (opp_ids, accounts, sellers, avg_deal_size, avg_dials, avg_touches, avg_push_counter, avg_opportunity_age, opportunities_created).</w:t>
      </w:r>
    </w:p>
    <w:p>
      <w:pPr>
        <w:pStyle w:val="ListBullet"/>
        <w:ind w:left="504"/>
      </w:pPr>
      <w:r>
        <w:rPr>
          <w:color w:val="333333"/>
          <w:sz w:val="20"/>
        </w:rPr>
        <w:t>This is the most comprehensive leaky-column governance of any UCC version. The explicit list prevents future engineers from accidentally adding same-week features.</w:t>
      </w:r>
    </w:p>
    <w:p>
      <w:pPr>
        <w:pStyle w:val="ListBullet"/>
        <w:ind w:left="504"/>
      </w:pPr>
      <w:r>
        <w:rPr>
          <w:color w:val="333333"/>
          <w:sz w:val="20"/>
        </w:rPr>
        <w:t>Importantly, marketing_generated_pipeline and marketing_influenced_pipeline appear in BOTH the LEAKY list (same-week values) AND in GLOBAL_FEATURE_COLS as mkt_generated_lag4 / mkt_influenced_lag4 (lagged values). This dual presence is correct and well-documented.</w:t>
      </w:r>
    </w:p>
    <w:p>
      <w:pPr>
        <w:pStyle w:val="ListBullet"/>
        <w:ind w:left="504"/>
      </w:pPr>
      <w:r>
        <w:rPr>
          <w:color w:val="333333"/>
          <w:sz w:val="20"/>
        </w:rPr>
        <w:t>Recommendation: Add a comment in Cell 3 making this dual-presence pattern explicit. Future engineers may remove the lag features thinking they are redundant with the leaky list.</w:t>
      </w:r>
    </w:p>
    <w:p>
      <w:pPr>
        <w:pStyle w:val="Heading2"/>
      </w:pPr>
      <w:r>
        <w:rPr>
          <w:b/>
          <w:color w:val="0047AB"/>
        </w:rPr>
        <w:t>4.3 Marketing Feature Cliff Fix — Confirmed in V8</w:t>
      </w:r>
    </w:p>
    <w:p>
      <w:pPr>
        <w:spacing w:after="120"/>
      </w:pPr>
      <w:r>
        <w:rPr>
          <w:b w:val="0"/>
          <w:i w:val="0"/>
          <w:color w:val="333333"/>
          <w:sz w:val="21"/>
        </w:rPr>
        <w:t>The V7 P0 bug (weeks 5-27 receiving 0.0 for mkt_generated_lag4 and mkt_influenced_lag4) is confirmed fixed in Cell 15:</w:t>
      </w:r>
    </w:p>
    <w:p>
      <w:pPr>
        <w:spacing w:after="120"/>
      </w:pPr>
      <w:r>
        <w:rPr>
          <w:b w:val="0"/>
          <w:i/>
          <w:color w:val="224488"/>
          <w:sz w:val="19"/>
        </w:rPr>
        <w:t xml:space="preserve">    src['slice_id'] = src['product_group'] + '|' + src['sales_market']</w:t>
        <w:br/>
        <w:t xml:space="preserve">    for mkt_col in ['marketing_generated_pipeline', 'marketing_influenced_pipeline']:</w:t>
        <w:br/>
        <w:t xml:space="preserve">        src[mkt_col] = pd.to_numeric(src[mkt_col], errors='coerce')</w:t>
        <w:br/>
        <w:t xml:space="preserve">        src[mkt_col] = src.groupby('slice_id')[mkt_col].ffill().fillna(0.0)</w:t>
      </w:r>
    </w:p>
    <w:p>
      <w:pPr>
        <w:spacing w:after="120"/>
      </w:pPr>
      <w:r>
        <w:rPr>
          <w:b w:val="0"/>
          <w:i w:val="0"/>
          <w:color w:val="333333"/>
          <w:sz w:val="21"/>
        </w:rPr>
        <w:t>The forward-fill approach is the correct fix: the last known marketing pipeline value (from the 4-week lagged feature) is carried forward across the forecast horizon. This maintains feature distribution consistency between training and production. Weeks with truly no marketing pipeline activity fall back to 0.0 via fillna — correct.</w:t>
      </w:r>
    </w:p>
    <w:p/>
    <w:p>
      <w:r>
        <w:br w:type="page"/>
      </w:r>
    </w:p>
    <w:p>
      <w:pPr>
        <w:pStyle w:val="Heading1"/>
      </w:pPr>
      <w:r>
        <w:rPr>
          <w:b/>
          <w:color w:val="0047AB"/>
        </w:rPr>
        <w:t>Section 5: Evaluation Framework</w:t>
      </w:r>
    </w:p>
    <w:p>
      <w:pPr>
        <w:pStyle w:val="Heading2"/>
      </w:pPr>
      <w:r>
        <w:rPr>
          <w:b/>
          <w:color w:val="0047AB"/>
        </w:rPr>
        <w:t>5.1 Walk-Forward CV — Correct and Complete</w:t>
      </w:r>
    </w:p>
    <w:p>
      <w:pPr>
        <w:spacing w:after="120"/>
      </w:pPr>
      <w:r>
        <w:rPr>
          <w:b w:val="0"/>
          <w:i w:val="0"/>
          <w:color w:val="333333"/>
          <w:sz w:val="21"/>
        </w:rPr>
        <w:t>8 folds x 13-week horizon. FoldSpec dataclass stores: fold index, train_start/end, test_start/end, train_rows, test_rows. MIN_TRAIN_WEEKS = len(model_df) - (8*13) = total_rows - 104. run_walkforward_cv() calls fit_predict_fn on each fold and accumulates fold-level metrics (WAPE, MAPE, MPE, SMAPE, RMSE, CI coverage) and predictions. Holdout evaluation uses BACKTEST_START=2026-01-05 as the fixed test window.</w:t>
      </w:r>
    </w:p>
    <w:p>
      <w:pPr>
        <w:pStyle w:val="ListBullet"/>
        <w:ind w:left="504"/>
      </w:pPr>
      <w:r>
        <w:rPr>
          <w:color w:val="333333"/>
          <w:sz w:val="20"/>
        </w:rPr>
        <w:t>CI coverage function correctly uses finite-only mask: np.isfinite(actual) &amp; np.isfinite(p10) &amp; np.isfinite(p90) — prevents NaN from distorting coverage statistics.</w:t>
      </w:r>
    </w:p>
    <w:p>
      <w:pPr>
        <w:pStyle w:val="ListBullet"/>
        <w:ind w:left="504"/>
      </w:pPr>
      <w:r>
        <w:rPr>
          <w:color w:val="333333"/>
          <w:sz w:val="20"/>
        </w:rPr>
        <w:t>fold_specs uses expanding window (not rolling) — correct for time series. Each fold sees all history up to fold cutoff, not a fixed window.</w:t>
      </w:r>
    </w:p>
    <w:p>
      <w:pPr>
        <w:pStyle w:val="ListBullet"/>
        <w:ind w:left="504"/>
      </w:pPr>
      <w:r>
        <w:rPr>
          <w:color w:val="333333"/>
          <w:sz w:val="20"/>
        </w:rPr>
        <w:t>Risk: benchmark CV (Cells 4-5) and LGB CV (Cell 11) use separate fold definitions. Ensure the two sets of folds are aligned — same training cutoffs — so that GR ensemble weights are computed from comparable holdout periods across all 5 models.</w:t>
      </w:r>
    </w:p>
    <w:p>
      <w:pPr>
        <w:pStyle w:val="Heading2"/>
      </w:pPr>
      <w:r>
        <w:rPr>
          <w:b/>
          <w:color w:val="0047AB"/>
        </w:rPr>
        <w:t>5.2 Metrics Tracked</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047AB"/>
          </w:tcPr>
          <w:p>
            <w:r>
              <w:rPr>
                <w:b/>
                <w:color w:val="FFFFFF"/>
                <w:sz w:val="20"/>
              </w:rPr>
              <w:t>Metric</w:t>
            </w:r>
          </w:p>
        </w:tc>
        <w:tc>
          <w:tcPr>
            <w:tcW w:type="dxa" w:w="3168"/>
            <w:shd w:val="clear" w:color="auto" w:fill="0047AB"/>
          </w:tcPr>
          <w:p>
            <w:r>
              <w:rPr>
                <w:b/>
                <w:color w:val="FFFFFF"/>
                <w:sz w:val="20"/>
              </w:rPr>
              <w:t>Tracked</w:t>
            </w:r>
          </w:p>
        </w:tc>
        <w:tc>
          <w:tcPr>
            <w:tcW w:type="dxa" w:w="4464"/>
            <w:shd w:val="clear" w:color="auto" w:fill="0047AB"/>
          </w:tcPr>
          <w:p>
            <w:r>
              <w:rPr>
                <w:b/>
                <w:color w:val="FFFFFF"/>
                <w:sz w:val="20"/>
              </w:rPr>
              <w:t>Notes</w:t>
            </w:r>
          </w:p>
        </w:tc>
      </w:tr>
      <w:tr>
        <w:tc>
          <w:tcPr>
            <w:tcW w:type="dxa" w:w="2880"/>
          </w:tcPr>
          <w:p>
            <w:r>
              <w:rPr>
                <w:color w:val="333333"/>
                <w:sz w:val="19"/>
              </w:rPr>
              <w:t>WAPE (primary)</w:t>
            </w:r>
          </w:p>
        </w:tc>
        <w:tc>
          <w:tcPr>
            <w:tcW w:type="dxa" w:w="3168"/>
          </w:tcPr>
          <w:p>
            <w:r>
              <w:rPr>
                <w:color w:val="333333"/>
                <w:sz w:val="19"/>
              </w:rPr>
              <w:t>YES — CV + holdout + GR weight input</w:t>
            </w:r>
          </w:p>
        </w:tc>
        <w:tc>
          <w:tcPr>
            <w:tcW w:type="dxa" w:w="4464"/>
          </w:tcPr>
          <w:p>
            <w:r>
              <w:rPr>
                <w:color w:val="333333"/>
                <w:sz w:val="19"/>
              </w:rPr>
              <w:t>Volume-weighted; correct primary metric for ARR forecasting</w:t>
            </w:r>
          </w:p>
        </w:tc>
      </w:tr>
      <w:tr>
        <w:tc>
          <w:tcPr>
            <w:tcW w:type="dxa" w:w="2880"/>
          </w:tcPr>
          <w:p>
            <w:r>
              <w:rPr>
                <w:color w:val="333333"/>
                <w:sz w:val="19"/>
              </w:rPr>
              <w:t>MAPE</w:t>
            </w:r>
          </w:p>
        </w:tc>
        <w:tc>
          <w:tcPr>
            <w:tcW w:type="dxa" w:w="3168"/>
          </w:tcPr>
          <w:p>
            <w:r>
              <w:rPr>
                <w:color w:val="333333"/>
                <w:sz w:val="19"/>
              </w:rPr>
              <w:t>YES — CV + holdout</w:t>
            </w:r>
          </w:p>
        </w:tc>
        <w:tc>
          <w:tcPr>
            <w:tcW w:type="dxa" w:w="4464"/>
          </w:tcPr>
          <w:p>
            <w:r>
              <w:rPr>
                <w:color w:val="333333"/>
                <w:sz w:val="19"/>
              </w:rPr>
              <w:t>Inflated by sparse weeks; supplement to WAPE</w:t>
            </w:r>
          </w:p>
        </w:tc>
      </w:tr>
      <w:tr>
        <w:tc>
          <w:tcPr>
            <w:tcW w:type="dxa" w:w="2880"/>
          </w:tcPr>
          <w:p>
            <w:r>
              <w:rPr>
                <w:color w:val="333333"/>
                <w:sz w:val="19"/>
              </w:rPr>
              <w:t>MPE (bias)</w:t>
            </w:r>
          </w:p>
        </w:tc>
        <w:tc>
          <w:tcPr>
            <w:tcW w:type="dxa" w:w="3168"/>
          </w:tcPr>
          <w:p>
            <w:r>
              <w:rPr>
                <w:color w:val="333333"/>
                <w:sz w:val="19"/>
              </w:rPr>
              <w:t>YES — CV + holdout</w:t>
            </w:r>
          </w:p>
        </w:tc>
        <w:tc>
          <w:tcPr>
            <w:tcW w:type="dxa" w:w="4464"/>
          </w:tcPr>
          <w:p>
            <w:r>
              <w:rPr>
                <w:color w:val="333333"/>
                <w:sz w:val="19"/>
              </w:rPr>
              <w:t>Detects systematic over/under-forecasting</w:t>
            </w:r>
          </w:p>
        </w:tc>
      </w:tr>
      <w:tr>
        <w:tc>
          <w:tcPr>
            <w:tcW w:type="dxa" w:w="2880"/>
          </w:tcPr>
          <w:p>
            <w:r>
              <w:rPr>
                <w:color w:val="333333"/>
                <w:sz w:val="19"/>
              </w:rPr>
              <w:t>SMAPE</w:t>
            </w:r>
          </w:p>
        </w:tc>
        <w:tc>
          <w:tcPr>
            <w:tcW w:type="dxa" w:w="3168"/>
          </w:tcPr>
          <w:p>
            <w:r>
              <w:rPr>
                <w:color w:val="333333"/>
                <w:sz w:val="19"/>
              </w:rPr>
              <w:t>YES — CV + holdout</w:t>
            </w:r>
          </w:p>
        </w:tc>
        <w:tc>
          <w:tcPr>
            <w:tcW w:type="dxa" w:w="4464"/>
          </w:tcPr>
          <w:p>
            <w:r>
              <w:rPr>
                <w:color w:val="333333"/>
                <w:sz w:val="19"/>
              </w:rPr>
              <w:t>Symmetric; bounded 0-200; redundant with WAPE but useful sanity check</w:t>
            </w:r>
          </w:p>
        </w:tc>
      </w:tr>
      <w:tr>
        <w:tc>
          <w:tcPr>
            <w:tcW w:type="dxa" w:w="2880"/>
          </w:tcPr>
          <w:p>
            <w:r>
              <w:rPr>
                <w:color w:val="333333"/>
                <w:sz w:val="19"/>
              </w:rPr>
              <w:t>RMSE</w:t>
            </w:r>
          </w:p>
        </w:tc>
        <w:tc>
          <w:tcPr>
            <w:tcW w:type="dxa" w:w="3168"/>
          </w:tcPr>
          <w:p>
            <w:r>
              <w:rPr>
                <w:color w:val="333333"/>
                <w:sz w:val="19"/>
              </w:rPr>
              <w:t>YES — CV + holdout</w:t>
            </w:r>
          </w:p>
        </w:tc>
        <w:tc>
          <w:tcPr>
            <w:tcW w:type="dxa" w:w="4464"/>
          </w:tcPr>
          <w:p>
            <w:r>
              <w:rPr>
                <w:color w:val="333333"/>
                <w:sz w:val="19"/>
              </w:rPr>
              <w:t>Scale-aware; penalizes large errors</w:t>
            </w:r>
          </w:p>
        </w:tc>
      </w:tr>
      <w:tr>
        <w:tc>
          <w:tcPr>
            <w:tcW w:type="dxa" w:w="2880"/>
          </w:tcPr>
          <w:p>
            <w:r>
              <w:rPr>
                <w:color w:val="333333"/>
                <w:sz w:val="19"/>
              </w:rPr>
              <w:t>CI Coverage (P10/P90)</w:t>
            </w:r>
          </w:p>
        </w:tc>
        <w:tc>
          <w:tcPr>
            <w:tcW w:type="dxa" w:w="3168"/>
          </w:tcPr>
          <w:p>
            <w:r>
              <w:rPr>
                <w:color w:val="333333"/>
                <w:sz w:val="19"/>
              </w:rPr>
              <w:t>YES — holdout for LGB; CI_coverage fn in framework</w:t>
            </w:r>
          </w:p>
        </w:tc>
        <w:tc>
          <w:tcPr>
            <w:tcW w:type="dxa" w:w="4464"/>
          </w:tcPr>
          <w:p>
            <w:r>
              <w:rPr>
                <w:color w:val="333333"/>
                <w:sz w:val="19"/>
              </w:rPr>
              <w:t>Full CI coverage tracking now active</w:t>
            </w:r>
          </w:p>
        </w:tc>
      </w:tr>
      <w:tr>
        <w:tc>
          <w:tcPr>
            <w:tcW w:type="dxa" w:w="2880"/>
          </w:tcPr>
          <w:p>
            <w:r>
              <w:rPr>
                <w:color w:val="333333"/>
                <w:sz w:val="19"/>
              </w:rPr>
              <w:t>Fold std (stability)</w:t>
            </w:r>
          </w:p>
        </w:tc>
        <w:tc>
          <w:tcPr>
            <w:tcW w:type="dxa" w:w="3168"/>
          </w:tcPr>
          <w:p>
            <w:r>
              <w:rPr>
                <w:color w:val="333333"/>
                <w:sz w:val="19"/>
              </w:rPr>
              <w:t>YES — std_wape across folds</w:t>
            </w:r>
          </w:p>
        </w:tc>
        <w:tc>
          <w:tcPr>
            <w:tcW w:type="dxa" w:w="4464"/>
          </w:tcPr>
          <w:p>
            <w:r>
              <w:rPr>
                <w:color w:val="333333"/>
                <w:sz w:val="19"/>
              </w:rPr>
              <w:t>Stability metric; identifies models with high fold-to-fold variance</w:t>
            </w:r>
          </w:p>
        </w:tc>
      </w:tr>
      <w:tr>
        <w:tc>
          <w:tcPr>
            <w:tcW w:type="dxa" w:w="2880"/>
          </w:tcPr>
          <w:p>
            <w:r>
              <w:rPr>
                <w:color w:val="333333"/>
                <w:sz w:val="19"/>
              </w:rPr>
              <w:t>Quarterly abs error</w:t>
            </w:r>
          </w:p>
        </w:tc>
        <w:tc>
          <w:tcPr>
            <w:tcW w:type="dxa" w:w="3168"/>
          </w:tcPr>
          <w:p>
            <w:r>
              <w:rPr>
                <w:color w:val="333333"/>
                <w:sz w:val="19"/>
              </w:rPr>
              <w:t>YES — Cell 8/9 quarterly audit</w:t>
            </w:r>
          </w:p>
        </w:tc>
        <w:tc>
          <w:tcPr>
            <w:tcW w:type="dxa" w:w="4464"/>
          </w:tcPr>
          <w:p>
            <w:r>
              <w:rPr>
                <w:color w:val="333333"/>
                <w:sz w:val="19"/>
              </w:rPr>
              <w:t>Business-readable; ranked by quarter</w:t>
            </w:r>
          </w:p>
        </w:tc>
      </w:tr>
    </w:tbl>
    <w:p/>
    <w:p>
      <w:pPr>
        <w:pStyle w:val="Heading2"/>
      </w:pPr>
      <w:r>
        <w:rPr>
          <w:b/>
          <w:color w:val="0047AB"/>
        </w:rPr>
        <w:t>5.3 Diagnostic Visualizations</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0047AB"/>
          </w:tcPr>
          <w:p>
            <w:r>
              <w:rPr>
                <w:b/>
                <w:color w:val="FFFFFF"/>
                <w:sz w:val="20"/>
              </w:rPr>
              <w:t>Visualization</w:t>
            </w:r>
          </w:p>
        </w:tc>
        <w:tc>
          <w:tcPr>
            <w:tcW w:type="dxa" w:w="864"/>
            <w:shd w:val="clear" w:color="auto" w:fill="0047AB"/>
          </w:tcPr>
          <w:p>
            <w:r>
              <w:rPr>
                <w:b/>
                <w:color w:val="FFFFFF"/>
                <w:sz w:val="20"/>
              </w:rPr>
              <w:t>Cell</w:t>
            </w:r>
          </w:p>
        </w:tc>
        <w:tc>
          <w:tcPr>
            <w:tcW w:type="dxa" w:w="5328"/>
            <w:shd w:val="clear" w:color="auto" w:fill="0047AB"/>
          </w:tcPr>
          <w:p>
            <w:r>
              <w:rPr>
                <w:b/>
                <w:color w:val="FFFFFF"/>
                <w:sz w:val="20"/>
              </w:rPr>
              <w:t>Purpose</w:t>
            </w:r>
          </w:p>
        </w:tc>
      </w:tr>
      <w:tr>
        <w:tc>
          <w:tcPr>
            <w:tcW w:type="dxa" w:w="4320"/>
          </w:tcPr>
          <w:p>
            <w:r>
              <w:rPr>
                <w:color w:val="333333"/>
                <w:sz w:val="19"/>
              </w:rPr>
              <w:t>Actual vs forecast — backtest window</w:t>
            </w:r>
          </w:p>
        </w:tc>
        <w:tc>
          <w:tcPr>
            <w:tcW w:type="dxa" w:w="864"/>
          </w:tcPr>
          <w:p>
            <w:r>
              <w:rPr>
                <w:color w:val="333333"/>
                <w:sz w:val="19"/>
              </w:rPr>
              <w:t>6</w:t>
            </w:r>
          </w:p>
        </w:tc>
        <w:tc>
          <w:tcPr>
            <w:tcW w:type="dxa" w:w="5328"/>
          </w:tcPr>
          <w:p>
            <w:r>
              <w:rPr>
                <w:color w:val="333333"/>
                <w:sz w:val="19"/>
              </w:rPr>
              <w:t>Overall model quality at-a-glance</w:t>
            </w:r>
          </w:p>
        </w:tc>
      </w:tr>
      <w:tr>
        <w:tc>
          <w:tcPr>
            <w:tcW w:type="dxa" w:w="4320"/>
          </w:tcPr>
          <w:p>
            <w:r>
              <w:rPr>
                <w:color w:val="333333"/>
                <w:sz w:val="19"/>
              </w:rPr>
              <w:t>Fold-by-fold 8-panel plot</w:t>
            </w:r>
          </w:p>
        </w:tc>
        <w:tc>
          <w:tcPr>
            <w:tcW w:type="dxa" w:w="864"/>
          </w:tcPr>
          <w:p>
            <w:r>
              <w:rPr>
                <w:color w:val="333333"/>
                <w:sz w:val="19"/>
              </w:rPr>
              <w:t>7</w:t>
            </w:r>
          </w:p>
        </w:tc>
        <w:tc>
          <w:tcPr>
            <w:tcW w:type="dxa" w:w="5328"/>
          </w:tcPr>
          <w:p>
            <w:r>
              <w:rPr>
                <w:color w:val="333333"/>
                <w:sz w:val="19"/>
              </w:rPr>
              <w:t>Identifies which folds/seasons models struggle with</w:t>
            </w:r>
          </w:p>
        </w:tc>
      </w:tr>
      <w:tr>
        <w:tc>
          <w:tcPr>
            <w:tcW w:type="dxa" w:w="4320"/>
          </w:tcPr>
          <w:p>
            <w:r>
              <w:rPr>
                <w:color w:val="333333"/>
                <w:sz w:val="19"/>
              </w:rPr>
              <w:t>Quarterly bar chart (Q vs A)</w:t>
            </w:r>
          </w:p>
        </w:tc>
        <w:tc>
          <w:tcPr>
            <w:tcW w:type="dxa" w:w="864"/>
          </w:tcPr>
          <w:p>
            <w:r>
              <w:rPr>
                <w:color w:val="333333"/>
                <w:sz w:val="19"/>
              </w:rPr>
              <w:t>8</w:t>
            </w:r>
          </w:p>
        </w:tc>
        <w:tc>
          <w:tcPr>
            <w:tcW w:type="dxa" w:w="5328"/>
          </w:tcPr>
          <w:p>
            <w:r>
              <w:rPr>
                <w:color w:val="333333"/>
                <w:sz w:val="19"/>
              </w:rPr>
              <w:t>Business-readable quarterly accuracy</w:t>
            </w:r>
          </w:p>
        </w:tc>
      </w:tr>
      <w:tr>
        <w:tc>
          <w:tcPr>
            <w:tcW w:type="dxa" w:w="4320"/>
          </w:tcPr>
          <w:p>
            <w:r>
              <w:rPr>
                <w:color w:val="333333"/>
                <w:sz w:val="19"/>
              </w:rPr>
              <w:t>Quarterly ranked error table</w:t>
            </w:r>
          </w:p>
        </w:tc>
        <w:tc>
          <w:tcPr>
            <w:tcW w:type="dxa" w:w="864"/>
          </w:tcPr>
          <w:p>
            <w:r>
              <w:rPr>
                <w:color w:val="333333"/>
                <w:sz w:val="19"/>
              </w:rPr>
              <w:t>9</w:t>
            </w:r>
          </w:p>
        </w:tc>
        <w:tc>
          <w:tcPr>
            <w:tcW w:type="dxa" w:w="5328"/>
          </w:tcPr>
          <w:p>
            <w:r>
              <w:rPr>
                <w:color w:val="333333"/>
                <w:sz w:val="19"/>
              </w:rPr>
              <w:t>Models ranked by quarterly WAPE — exec-friendly</w:t>
            </w:r>
          </w:p>
        </w:tc>
      </w:tr>
      <w:tr>
        <w:tc>
          <w:tcPr>
            <w:tcW w:type="dxa" w:w="4320"/>
          </w:tcPr>
          <w:p>
            <w:r>
              <w:rPr>
                <w:color w:val="333333"/>
                <w:sz w:val="19"/>
              </w:rPr>
              <w:t>EDA: weekly trend + seasonal decomposition</w:t>
            </w:r>
          </w:p>
        </w:tc>
        <w:tc>
          <w:tcPr>
            <w:tcW w:type="dxa" w:w="864"/>
          </w:tcPr>
          <w:p>
            <w:r>
              <w:rPr>
                <w:color w:val="333333"/>
                <w:sz w:val="19"/>
              </w:rPr>
              <w:t>2</w:t>
            </w:r>
          </w:p>
        </w:tc>
        <w:tc>
          <w:tcPr>
            <w:tcW w:type="dxa" w:w="5328"/>
          </w:tcPr>
          <w:p>
            <w:r>
              <w:rPr>
                <w:color w:val="333333"/>
                <w:sz w:val="19"/>
              </w:rPr>
              <w:t>Data understanding; anomaly detection</w:t>
            </w:r>
          </w:p>
        </w:tc>
      </w:tr>
      <w:tr>
        <w:tc>
          <w:tcPr>
            <w:tcW w:type="dxa" w:w="4320"/>
          </w:tcPr>
          <w:p>
            <w:r>
              <w:rPr>
                <w:color w:val="333333"/>
                <w:sz w:val="19"/>
              </w:rPr>
              <w:t>MC actuals comparison table</w:t>
            </w:r>
          </w:p>
        </w:tc>
        <w:tc>
          <w:tcPr>
            <w:tcW w:type="dxa" w:w="864"/>
          </w:tcPr>
          <w:p>
            <w:r>
              <w:rPr>
                <w:color w:val="333333"/>
                <w:sz w:val="19"/>
              </w:rPr>
              <w:t>12</w:t>
            </w:r>
          </w:p>
        </w:tc>
        <w:tc>
          <w:tcPr>
            <w:tcW w:type="dxa" w:w="5328"/>
          </w:tcPr>
          <w:p>
            <w:r>
              <w:rPr>
                <w:color w:val="333333"/>
                <w:sz w:val="19"/>
              </w:rPr>
              <w:t>Quantifies improvement from authoritative actuals source</w:t>
            </w:r>
          </w:p>
        </w:tc>
      </w:tr>
      <w:tr>
        <w:tc>
          <w:tcPr>
            <w:tcW w:type="dxa" w:w="4320"/>
          </w:tcPr>
          <w:p>
            <w:r>
              <w:rPr>
                <w:color w:val="333333"/>
                <w:sz w:val="19"/>
              </w:rPr>
              <w:t>Executive forecast summary</w:t>
            </w:r>
          </w:p>
        </w:tc>
        <w:tc>
          <w:tcPr>
            <w:tcW w:type="dxa" w:w="864"/>
          </w:tcPr>
          <w:p>
            <w:r>
              <w:rPr>
                <w:color w:val="333333"/>
                <w:sz w:val="19"/>
              </w:rPr>
              <w:t>16</w:t>
            </w:r>
          </w:p>
        </w:tc>
        <w:tc>
          <w:tcPr>
            <w:tcW w:type="dxa" w:w="5328"/>
          </w:tcPr>
          <w:p>
            <w:r>
              <w:rPr>
                <w:color w:val="333333"/>
                <w:sz w:val="19"/>
              </w:rPr>
              <w:t>Final Q3/Q4 2026 forward forecast + model ranking</w:t>
            </w:r>
          </w:p>
        </w:tc>
      </w:tr>
      <w:tr>
        <w:tc>
          <w:tcPr>
            <w:tcW w:type="dxa" w:w="4320"/>
          </w:tcPr>
          <w:p>
            <w:r>
              <w:rPr>
                <w:color w:val="333333"/>
                <w:sz w:val="19"/>
              </w:rPr>
              <w:t>Monitoring baseline display</w:t>
            </w:r>
          </w:p>
        </w:tc>
        <w:tc>
          <w:tcPr>
            <w:tcW w:type="dxa" w:w="864"/>
          </w:tcPr>
          <w:p>
            <w:r>
              <w:rPr>
                <w:color w:val="333333"/>
                <w:sz w:val="19"/>
              </w:rPr>
              <w:t>17</w:t>
            </w:r>
          </w:p>
        </w:tc>
        <w:tc>
          <w:tcPr>
            <w:tcW w:type="dxa" w:w="5328"/>
          </w:tcPr>
          <w:p>
            <w:r>
              <w:rPr>
                <w:color w:val="333333"/>
                <w:sz w:val="19"/>
              </w:rPr>
              <w:t>Production health snapshot per model</w:t>
            </w:r>
          </w:p>
        </w:tc>
      </w:tr>
    </w:tbl>
    <w:p/>
    <w:p>
      <w:r>
        <w:br w:type="page"/>
      </w:r>
    </w:p>
    <w:p>
      <w:pPr>
        <w:pStyle w:val="Heading1"/>
      </w:pPr>
      <w:r>
        <w:rPr>
          <w:b/>
          <w:color w:val="0047AB"/>
        </w:rPr>
        <w:t>Section 6: Forecast Accuracy Improvements — V8 Status</w:t>
      </w:r>
    </w:p>
    <w:p>
      <w:pPr>
        <w:spacing w:after="120"/>
      </w:pPr>
      <w:r>
        <w:rPr>
          <w:b/>
          <w:i w:val="0"/>
          <w:color w:val="333333"/>
          <w:sz w:val="21"/>
        </w:rPr>
        <w:t>V8 has resolved all P0 and P1 accuracy gaps. Only P2 (medium impact) and aspirational P3 improvements remain. The table below shows the final state after V8.</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0047AB"/>
          </w:tcPr>
          <w:p>
            <w:r>
              <w:rPr>
                <w:b/>
                <w:color w:val="FFFFFF"/>
                <w:sz w:val="20"/>
              </w:rPr>
              <w:t>Priority</w:t>
            </w:r>
          </w:p>
        </w:tc>
        <w:tc>
          <w:tcPr>
            <w:tcW w:type="dxa" w:w="4032"/>
            <w:shd w:val="clear" w:color="auto" w:fill="0047AB"/>
          </w:tcPr>
          <w:p>
            <w:r>
              <w:rPr>
                <w:b/>
                <w:color w:val="FFFFFF"/>
                <w:sz w:val="20"/>
              </w:rPr>
              <w:t>Improvement</w:t>
            </w:r>
          </w:p>
        </w:tc>
        <w:tc>
          <w:tcPr>
            <w:tcW w:type="dxa" w:w="2592"/>
            <w:shd w:val="clear" w:color="auto" w:fill="0047AB"/>
          </w:tcPr>
          <w:p>
            <w:r>
              <w:rPr>
                <w:b/>
                <w:color w:val="FFFFFF"/>
                <w:sz w:val="20"/>
              </w:rPr>
              <w:t>V8 Status</w:t>
            </w:r>
          </w:p>
        </w:tc>
        <w:tc>
          <w:tcPr>
            <w:tcW w:type="dxa" w:w="1872"/>
            <w:shd w:val="clear" w:color="auto" w:fill="0047AB"/>
          </w:tcPr>
          <w:p>
            <w:r>
              <w:rPr>
                <w:b/>
                <w:color w:val="FFFFFF"/>
                <w:sz w:val="20"/>
              </w:rPr>
              <w:t>Remaining Action</w:t>
            </w:r>
          </w:p>
        </w:tc>
      </w:tr>
      <w:tr>
        <w:tc>
          <w:tcPr>
            <w:tcW w:type="dxa" w:w="2016"/>
          </w:tcPr>
          <w:p>
            <w:r>
              <w:rPr>
                <w:color w:val="333333"/>
                <w:sz w:val="19"/>
              </w:rPr>
              <w:t>P0 — RESOLVED</w:t>
            </w:r>
          </w:p>
        </w:tc>
        <w:tc>
          <w:tcPr>
            <w:tcW w:type="dxa" w:w="4032"/>
          </w:tcPr>
          <w:p>
            <w:r>
              <w:rPr>
                <w:color w:val="333333"/>
                <w:sz w:val="19"/>
              </w:rPr>
              <w:t>Marketing feature cliff (mkt_generated/influenced_lag4 = 0 in weeks 5-27)</w:t>
            </w:r>
          </w:p>
        </w:tc>
        <w:tc>
          <w:tcPr>
            <w:tcW w:type="dxa" w:w="2592"/>
          </w:tcPr>
          <w:p>
            <w:r>
              <w:rPr>
                <w:color w:val="333333"/>
                <w:sz w:val="19"/>
              </w:rPr>
              <w:t>FIXED — ffill per slice_id</w:t>
            </w:r>
          </w:p>
        </w:tc>
        <w:tc>
          <w:tcPr>
            <w:tcW w:type="dxa" w:w="1872"/>
          </w:tcPr>
          <w:p>
            <w:r>
              <w:rPr>
                <w:color w:val="333333"/>
                <w:sz w:val="19"/>
              </w:rPr>
              <w:t>None</w:t>
            </w:r>
          </w:p>
        </w:tc>
      </w:tr>
      <w:tr>
        <w:tc>
          <w:tcPr>
            <w:tcW w:type="dxa" w:w="2016"/>
          </w:tcPr>
          <w:p>
            <w:r>
              <w:rPr>
                <w:color w:val="333333"/>
                <w:sz w:val="19"/>
              </w:rPr>
              <w:t>P0 — RESOLVED</w:t>
            </w:r>
          </w:p>
        </w:tc>
        <w:tc>
          <w:tcPr>
            <w:tcW w:type="dxa" w:w="4032"/>
          </w:tcPr>
          <w:p>
            <w:r>
              <w:rPr>
                <w:color w:val="333333"/>
                <w:sz w:val="19"/>
              </w:rPr>
              <w:t>LGB quantile crossing guard</w:t>
            </w:r>
          </w:p>
        </w:tc>
        <w:tc>
          <w:tcPr>
            <w:tcW w:type="dxa" w:w="2592"/>
          </w:tcPr>
          <w:p>
            <w:r>
              <w:rPr>
                <w:color w:val="333333"/>
                <w:sz w:val="19"/>
              </w:rPr>
              <w:t>CONFIRMED — np.minimum/maximum</w:t>
            </w:r>
          </w:p>
        </w:tc>
        <w:tc>
          <w:tcPr>
            <w:tcW w:type="dxa" w:w="1872"/>
          </w:tcPr>
          <w:p>
            <w:r>
              <w:rPr>
                <w:color w:val="333333"/>
                <w:sz w:val="19"/>
              </w:rPr>
              <w:t>None</w:t>
            </w:r>
          </w:p>
        </w:tc>
      </w:tr>
      <w:tr>
        <w:tc>
          <w:tcPr>
            <w:tcW w:type="dxa" w:w="2016"/>
          </w:tcPr>
          <w:p>
            <w:r>
              <w:rPr>
                <w:color w:val="333333"/>
                <w:sz w:val="19"/>
              </w:rPr>
              <w:t>P0 — RESOLVED</w:t>
            </w:r>
          </w:p>
        </w:tc>
        <w:tc>
          <w:tcPr>
            <w:tcW w:type="dxa" w:w="4032"/>
          </w:tcPr>
          <w:p>
            <w:r>
              <w:rPr>
                <w:color w:val="333333"/>
                <w:sz w:val="19"/>
              </w:rPr>
              <w:t>yoy_growth Inf/NaN guard</w:t>
            </w:r>
          </w:p>
        </w:tc>
        <w:tc>
          <w:tcPr>
            <w:tcW w:type="dxa" w:w="2592"/>
          </w:tcPr>
          <w:p>
            <w:r>
              <w:rPr>
                <w:color w:val="333333"/>
                <w:sz w:val="19"/>
              </w:rPr>
              <w:t>CONFIRMED — clipped ratio with replace(0,nan)</w:t>
            </w:r>
          </w:p>
        </w:tc>
        <w:tc>
          <w:tcPr>
            <w:tcW w:type="dxa" w:w="1872"/>
          </w:tcPr>
          <w:p>
            <w:r>
              <w:rPr>
                <w:color w:val="333333"/>
                <w:sz w:val="19"/>
              </w:rPr>
              <w:t>None</w:t>
            </w:r>
          </w:p>
        </w:tc>
      </w:tr>
      <w:tr>
        <w:tc>
          <w:tcPr>
            <w:tcW w:type="dxa" w:w="2016"/>
          </w:tcPr>
          <w:p>
            <w:r>
              <w:rPr>
                <w:color w:val="333333"/>
                <w:sz w:val="19"/>
              </w:rPr>
              <w:t>P0 — RESOLVED</w:t>
            </w:r>
          </w:p>
        </w:tc>
        <w:tc>
          <w:tcPr>
            <w:tcW w:type="dxa" w:w="4032"/>
          </w:tcPr>
          <w:p>
            <w:r>
              <w:rPr>
                <w:color w:val="333333"/>
                <w:sz w:val="19"/>
              </w:rPr>
              <w:t>qoq_momentum scale-invariant</w:t>
            </w:r>
          </w:p>
        </w:tc>
        <w:tc>
          <w:tcPr>
            <w:tcW w:type="dxa" w:w="2592"/>
          </w:tcPr>
          <w:p>
            <w:r>
              <w:rPr>
                <w:color w:val="333333"/>
                <w:sz w:val="19"/>
              </w:rPr>
              <w:t>CONFIRMED — normalized ratio [-3,3]</w:t>
            </w:r>
          </w:p>
        </w:tc>
        <w:tc>
          <w:tcPr>
            <w:tcW w:type="dxa" w:w="1872"/>
          </w:tcPr>
          <w:p>
            <w:r>
              <w:rPr>
                <w:color w:val="333333"/>
                <w:sz w:val="19"/>
              </w:rPr>
              <w:t>None</w:t>
            </w:r>
          </w:p>
        </w:tc>
      </w:tr>
      <w:tr>
        <w:tc>
          <w:tcPr>
            <w:tcW w:type="dxa" w:w="2016"/>
          </w:tcPr>
          <w:p>
            <w:r>
              <w:rPr>
                <w:color w:val="333333"/>
                <w:sz w:val="19"/>
              </w:rPr>
              <w:t>P1 — RESOLVED</w:t>
            </w:r>
          </w:p>
        </w:tc>
        <w:tc>
          <w:tcPr>
            <w:tcW w:type="dxa" w:w="4032"/>
          </w:tcPr>
          <w:p>
            <w:r>
              <w:rPr>
                <w:color w:val="333333"/>
                <w:sz w:val="19"/>
              </w:rPr>
              <w:t>Monitoring baseline written to Delta</w:t>
            </w:r>
          </w:p>
        </w:tc>
        <w:tc>
          <w:tcPr>
            <w:tcW w:type="dxa" w:w="2592"/>
          </w:tcPr>
          <w:p>
            <w:r>
              <w:rPr>
                <w:color w:val="333333"/>
                <w:sz w:val="19"/>
              </w:rPr>
              <w:t>FIXED — append+partitionBy+mergeSchema</w:t>
            </w:r>
          </w:p>
        </w:tc>
        <w:tc>
          <w:tcPr>
            <w:tcW w:type="dxa" w:w="1872"/>
          </w:tcPr>
          <w:p>
            <w:r>
              <w:rPr>
                <w:color w:val="333333"/>
                <w:sz w:val="19"/>
              </w:rPr>
              <w:t>Consider switching from cumulative WAPE to rolling 4-week alert trigger</w:t>
            </w:r>
          </w:p>
        </w:tc>
      </w:tr>
      <w:tr>
        <w:tc>
          <w:tcPr>
            <w:tcW w:type="dxa" w:w="2016"/>
          </w:tcPr>
          <w:p>
            <w:r>
              <w:rPr>
                <w:color w:val="333333"/>
                <w:sz w:val="19"/>
              </w:rPr>
              <w:t>P1 — RESOLVED</w:t>
            </w:r>
          </w:p>
        </w:tc>
        <w:tc>
          <w:tcPr>
            <w:tcW w:type="dxa" w:w="4032"/>
          </w:tcPr>
          <w:p>
            <w:r>
              <w:rPr>
                <w:color w:val="333333"/>
                <w:sz w:val="19"/>
              </w:rPr>
              <w:t>LGB early stopping</w:t>
            </w:r>
          </w:p>
        </w:tc>
        <w:tc>
          <w:tcPr>
            <w:tcW w:type="dxa" w:w="2592"/>
          </w:tcPr>
          <w:p>
            <w:r>
              <w:rPr>
                <w:color w:val="333333"/>
                <w:sz w:val="19"/>
              </w:rPr>
              <w:t>FIXED — stopping_rounds=75, round=1500</w:t>
            </w:r>
          </w:p>
        </w:tc>
        <w:tc>
          <w:tcPr>
            <w:tcW w:type="dxa" w:w="1872"/>
          </w:tcPr>
          <w:p>
            <w:r>
              <w:rPr>
                <w:color w:val="333333"/>
                <w:sz w:val="19"/>
              </w:rPr>
              <w:t>None</w:t>
            </w:r>
          </w:p>
        </w:tc>
      </w:tr>
      <w:tr>
        <w:tc>
          <w:tcPr>
            <w:tcW w:type="dxa" w:w="2016"/>
          </w:tcPr>
          <w:p>
            <w:r>
              <w:rPr>
                <w:color w:val="333333"/>
                <w:sz w:val="19"/>
              </w:rPr>
              <w:t>P1 — RESOLVED</w:t>
            </w:r>
          </w:p>
        </w:tc>
        <w:tc>
          <w:tcPr>
            <w:tcW w:type="dxa" w:w="4032"/>
          </w:tcPr>
          <w:p>
            <w:r>
              <w:rPr>
                <w:color w:val="333333"/>
                <w:sz w:val="19"/>
              </w:rPr>
              <w:t>MLflow tracking for LGB</w:t>
            </w:r>
          </w:p>
        </w:tc>
        <w:tc>
          <w:tcPr>
            <w:tcW w:type="dxa" w:w="2592"/>
          </w:tcPr>
          <w:p>
            <w:r>
              <w:rPr>
                <w:color w:val="333333"/>
                <w:sz w:val="19"/>
              </w:rPr>
              <w:t>FIXED — mlflow.start_run() with full param/metric logging</w:t>
            </w:r>
          </w:p>
        </w:tc>
        <w:tc>
          <w:tcPr>
            <w:tcW w:type="dxa" w:w="1872"/>
          </w:tcPr>
          <w:p>
            <w:r>
              <w:rPr>
                <w:color w:val="333333"/>
                <w:sz w:val="19"/>
              </w:rPr>
              <w:t>Extend to benchmark models (MSTL, ETS, Prophet, DHR)</w:t>
            </w:r>
          </w:p>
        </w:tc>
      </w:tr>
      <w:tr>
        <w:tc>
          <w:tcPr>
            <w:tcW w:type="dxa" w:w="2016"/>
          </w:tcPr>
          <w:p>
            <w:r>
              <w:rPr>
                <w:color w:val="333333"/>
                <w:sz w:val="19"/>
              </w:rPr>
              <w:t>P1 — RESOLVED</w:t>
            </w:r>
          </w:p>
        </w:tc>
        <w:tc>
          <w:tcPr>
            <w:tcW w:type="dxa" w:w="4032"/>
          </w:tcPr>
          <w:p>
            <w:r>
              <w:rPr>
                <w:color w:val="333333"/>
                <w:sz w:val="19"/>
              </w:rPr>
              <w:t>win_rate_by_woq in DHR-ARIMA</w:t>
            </w:r>
          </w:p>
        </w:tc>
        <w:tc>
          <w:tcPr>
            <w:tcW w:type="dxa" w:w="2592"/>
          </w:tcPr>
          <w:p>
            <w:r>
              <w:rPr>
                <w:color w:val="333333"/>
                <w:sz w:val="19"/>
              </w:rPr>
              <w:t>FIXED — added to DHR_XREG_COLS</w:t>
            </w:r>
          </w:p>
        </w:tc>
        <w:tc>
          <w:tcPr>
            <w:tcW w:type="dxa" w:w="1872"/>
          </w:tcPr>
          <w:p>
            <w:r>
              <w:rPr>
                <w:color w:val="333333"/>
                <w:sz w:val="19"/>
              </w:rPr>
              <w:t>None</w:t>
            </w:r>
          </w:p>
        </w:tc>
      </w:tr>
      <w:tr>
        <w:tc>
          <w:tcPr>
            <w:tcW w:type="dxa" w:w="2016"/>
          </w:tcPr>
          <w:p>
            <w:r>
              <w:rPr>
                <w:color w:val="333333"/>
                <w:sz w:val="19"/>
              </w:rPr>
              <w:t>P2 — OPEN</w:t>
            </w:r>
          </w:p>
        </w:tc>
        <w:tc>
          <w:tcPr>
            <w:tcW w:type="dxa" w:w="4032"/>
          </w:tcPr>
          <w:p>
            <w:r>
              <w:rPr>
                <w:color w:val="333333"/>
                <w:sz w:val="19"/>
              </w:rPr>
              <w:t>notebook_version metadata</w:t>
            </w:r>
          </w:p>
        </w:tc>
        <w:tc>
          <w:tcPr>
            <w:tcW w:type="dxa" w:w="2592"/>
          </w:tcPr>
          <w:p>
            <w:r>
              <w:rPr>
                <w:color w:val="333333"/>
                <w:sz w:val="19"/>
              </w:rPr>
              <w:t>Still says "V5" in Cell 17 monitoring_baseline</w:t>
            </w:r>
          </w:p>
        </w:tc>
        <w:tc>
          <w:tcPr>
            <w:tcW w:type="dxa" w:w="1872"/>
          </w:tcPr>
          <w:p>
            <w:r>
              <w:rPr>
                <w:color w:val="333333"/>
                <w:sz w:val="19"/>
              </w:rPr>
              <w:t>Change to "V8" — 1 min fix</w:t>
            </w:r>
          </w:p>
        </w:tc>
      </w:tr>
      <w:tr>
        <w:tc>
          <w:tcPr>
            <w:tcW w:type="dxa" w:w="2016"/>
          </w:tcPr>
          <w:p>
            <w:r>
              <w:rPr>
                <w:color w:val="333333"/>
                <w:sz w:val="19"/>
              </w:rPr>
              <w:t>P2 — OPEN</w:t>
            </w:r>
          </w:p>
        </w:tc>
        <w:tc>
          <w:tcPr>
            <w:tcW w:type="dxa" w:w="4032"/>
          </w:tcPr>
          <w:p>
            <w:r>
              <w:rPr>
                <w:color w:val="333333"/>
                <w:sz w:val="19"/>
              </w:rPr>
              <w:t>Regional holidays (EMEA/APAC/LATAM)</w:t>
            </w:r>
          </w:p>
        </w:tc>
        <w:tc>
          <w:tcPr>
            <w:tcW w:type="dxa" w:w="2592"/>
          </w:tcPr>
          <w:p>
            <w:r>
              <w:rPr>
                <w:color w:val="333333"/>
                <w:sz w:val="19"/>
              </w:rPr>
              <w:t>US-only; holidays.UK()/IN()/BR() not added</w:t>
            </w:r>
          </w:p>
        </w:tc>
        <w:tc>
          <w:tcPr>
            <w:tcW w:type="dxa" w:w="1872"/>
          </w:tcPr>
          <w:p>
            <w:r>
              <w:rPr>
                <w:color w:val="333333"/>
                <w:sz w:val="19"/>
              </w:rPr>
              <w:t>1 day — low impact for &lt; 20% of ARR</w:t>
            </w:r>
          </w:p>
        </w:tc>
      </w:tr>
      <w:tr>
        <w:tc>
          <w:tcPr>
            <w:tcW w:type="dxa" w:w="2016"/>
          </w:tcPr>
          <w:p>
            <w:r>
              <w:rPr>
                <w:color w:val="333333"/>
                <w:sz w:val="19"/>
              </w:rPr>
              <w:t>P2 — OPEN</w:t>
            </w:r>
          </w:p>
        </w:tc>
        <w:tc>
          <w:tcPr>
            <w:tcW w:type="dxa" w:w="4032"/>
          </w:tcPr>
          <w:p>
            <w:r>
              <w:rPr>
                <w:color w:val="333333"/>
                <w:sz w:val="19"/>
              </w:rPr>
              <w:t>MLflow tracking for benchmark models</w:t>
            </w:r>
          </w:p>
        </w:tc>
        <w:tc>
          <w:tcPr>
            <w:tcW w:type="dxa" w:w="2592"/>
          </w:tcPr>
          <w:p>
            <w:r>
              <w:rPr>
                <w:color w:val="333333"/>
                <w:sz w:val="19"/>
              </w:rPr>
              <w:t>Only LGB has mlflow.start_run()</w:t>
            </w:r>
          </w:p>
        </w:tc>
        <w:tc>
          <w:tcPr>
            <w:tcW w:type="dxa" w:w="1872"/>
          </w:tcPr>
          <w:p>
            <w:r>
              <w:rPr>
                <w:color w:val="333333"/>
                <w:sz w:val="19"/>
              </w:rPr>
              <w:t>1-2 days — extends tracking to all 5 models</w:t>
            </w:r>
          </w:p>
        </w:tc>
      </w:tr>
      <w:tr>
        <w:tc>
          <w:tcPr>
            <w:tcW w:type="dxa" w:w="2016"/>
          </w:tcPr>
          <w:p>
            <w:r>
              <w:rPr>
                <w:color w:val="333333"/>
                <w:sz w:val="19"/>
              </w:rPr>
              <w:t>P2 — OPEN</w:t>
            </w:r>
          </w:p>
        </w:tc>
        <w:tc>
          <w:tcPr>
            <w:tcW w:type="dxa" w:w="4032"/>
          </w:tcPr>
          <w:p>
            <w:r>
              <w:rPr>
                <w:color w:val="333333"/>
                <w:sz w:val="19"/>
              </w:rPr>
              <w:t>Databricks Job for automated scheduling</w:t>
            </w:r>
          </w:p>
        </w:tc>
        <w:tc>
          <w:tcPr>
            <w:tcW w:type="dxa" w:w="2592"/>
          </w:tcPr>
          <w:p>
            <w:r>
              <w:rPr>
                <w:color w:val="333333"/>
                <w:sz w:val="19"/>
              </w:rPr>
              <w:t>No job.json or notebook trigger configured</w:t>
            </w:r>
          </w:p>
        </w:tc>
        <w:tc>
          <w:tcPr>
            <w:tcW w:type="dxa" w:w="1872"/>
          </w:tcPr>
          <w:p>
            <w:r>
              <w:rPr>
                <w:color w:val="333333"/>
                <w:sz w:val="19"/>
              </w:rPr>
              <w:t>1-2 days — operationally critical for weekly cadence</w:t>
            </w:r>
          </w:p>
        </w:tc>
      </w:tr>
      <w:tr>
        <w:tc>
          <w:tcPr>
            <w:tcW w:type="dxa" w:w="2016"/>
          </w:tcPr>
          <w:p>
            <w:r>
              <w:rPr>
                <w:color w:val="333333"/>
                <w:sz w:val="19"/>
              </w:rPr>
              <w:t>P2 — OPEN</w:t>
            </w:r>
          </w:p>
        </w:tc>
        <w:tc>
          <w:tcPr>
            <w:tcW w:type="dxa" w:w="4032"/>
          </w:tcPr>
          <w:p>
            <w:r>
              <w:rPr>
                <w:color w:val="333333"/>
                <w:sz w:val="19"/>
              </w:rPr>
              <w:t>SHAP explainability for LGB</w:t>
            </w:r>
          </w:p>
        </w:tc>
        <w:tc>
          <w:tcPr>
            <w:tcW w:type="dxa" w:w="2592"/>
          </w:tcPr>
          <w:p>
            <w:r>
              <w:rPr>
                <w:color w:val="333333"/>
                <w:sz w:val="19"/>
              </w:rPr>
              <w:t>No shap.TreeExplainer in Cell 11</w:t>
            </w:r>
          </w:p>
        </w:tc>
        <w:tc>
          <w:tcPr>
            <w:tcW w:type="dxa" w:w="1872"/>
          </w:tcPr>
          <w:p>
            <w:r>
              <w:rPr>
                <w:color w:val="333333"/>
                <w:sz w:val="19"/>
              </w:rPr>
              <w:t>1 day — improves business trust in LGB predictions</w:t>
            </w:r>
          </w:p>
        </w:tc>
      </w:tr>
      <w:tr>
        <w:tc>
          <w:tcPr>
            <w:tcW w:type="dxa" w:w="2016"/>
          </w:tcPr>
          <w:p>
            <w:r>
              <w:rPr>
                <w:color w:val="333333"/>
                <w:sz w:val="19"/>
              </w:rPr>
              <w:t>P2 — OPEN</w:t>
            </w:r>
          </w:p>
        </w:tc>
        <w:tc>
          <w:tcPr>
            <w:tcW w:type="dxa" w:w="4032"/>
          </w:tcPr>
          <w:p>
            <w:r>
              <w:rPr>
                <w:color w:val="333333"/>
                <w:sz w:val="19"/>
              </w:rPr>
              <w:t>DHR Fourier index alignment</w:t>
            </w:r>
          </w:p>
        </w:tc>
        <w:tc>
          <w:tcPr>
            <w:tcW w:type="dxa" w:w="2592"/>
          </w:tcPr>
          <w:p>
            <w:r>
              <w:rPr>
                <w:color w:val="333333"/>
                <w:sz w:val="19"/>
              </w:rPr>
              <w:t>Fourier uses positional np.arange — may cause phase shift across folds</w:t>
            </w:r>
          </w:p>
        </w:tc>
        <w:tc>
          <w:tcPr>
            <w:tcW w:type="dxa" w:w="1872"/>
          </w:tcPr>
          <w:p>
            <w:r>
              <w:rPr>
                <w:color w:val="333333"/>
                <w:sz w:val="19"/>
              </w:rPr>
              <w:t>0.5 days — use calendar-based sin/cos instead</w:t>
            </w:r>
          </w:p>
        </w:tc>
      </w:tr>
      <w:tr>
        <w:tc>
          <w:tcPr>
            <w:tcW w:type="dxa" w:w="2016"/>
          </w:tcPr>
          <w:p>
            <w:r>
              <w:rPr>
                <w:color w:val="333333"/>
                <w:sz w:val="19"/>
              </w:rPr>
              <w:t>P3 — ASPIRATIONAL</w:t>
            </w:r>
          </w:p>
        </w:tc>
        <w:tc>
          <w:tcPr>
            <w:tcW w:type="dxa" w:w="4032"/>
          </w:tcPr>
          <w:p>
            <w:r>
              <w:rPr>
                <w:color w:val="333333"/>
                <w:sz w:val="19"/>
              </w:rPr>
              <w:t>Conformal prediction intervals</w:t>
            </w:r>
          </w:p>
        </w:tc>
        <w:tc>
          <w:tcPr>
            <w:tcW w:type="dxa" w:w="2592"/>
          </w:tcPr>
          <w:p>
            <w:r>
              <w:rPr>
                <w:color w:val="333333"/>
                <w:sz w:val="19"/>
              </w:rPr>
              <w:t>Currently calibrated quantile-based (good)</w:t>
            </w:r>
          </w:p>
        </w:tc>
        <w:tc>
          <w:tcPr>
            <w:tcW w:type="dxa" w:w="1872"/>
          </w:tcPr>
          <w:p>
            <w:r>
              <w:rPr>
                <w:color w:val="333333"/>
                <w:sz w:val="19"/>
              </w:rPr>
              <w:t>Coverage-guaranteed conformal approach — advanced; 3-5 days</w:t>
            </w:r>
          </w:p>
        </w:tc>
      </w:tr>
      <w:tr>
        <w:tc>
          <w:tcPr>
            <w:tcW w:type="dxa" w:w="2016"/>
          </w:tcPr>
          <w:p>
            <w:r>
              <w:rPr>
                <w:color w:val="333333"/>
                <w:sz w:val="19"/>
              </w:rPr>
              <w:t>P3 — ASPIRATIONAL</w:t>
            </w:r>
          </w:p>
        </w:tc>
        <w:tc>
          <w:tcPr>
            <w:tcW w:type="dxa" w:w="4032"/>
          </w:tcPr>
          <w:p>
            <w:r>
              <w:rPr>
                <w:color w:val="333333"/>
                <w:sz w:val="19"/>
              </w:rPr>
              <w:t>Automated drift detection trigger</w:t>
            </w:r>
          </w:p>
        </w:tc>
        <w:tc>
          <w:tcPr>
            <w:tcW w:type="dxa" w:w="2592"/>
          </w:tcPr>
          <w:p>
            <w:r>
              <w:rPr>
                <w:color w:val="333333"/>
                <w:sz w:val="19"/>
              </w:rPr>
              <w:t>Alert threshold defined but no automated trigger</w:t>
            </w:r>
          </w:p>
        </w:tc>
        <w:tc>
          <w:tcPr>
            <w:tcW w:type="dxa" w:w="1872"/>
          </w:tcPr>
          <w:p>
            <w:r>
              <w:rPr>
                <w:color w:val="333333"/>
                <w:sz w:val="19"/>
              </w:rPr>
              <w:t>Databricks alert + Delta Live Tables streaming — 3-5 days</w:t>
            </w:r>
          </w:p>
        </w:tc>
      </w:tr>
      <w:tr>
        <w:tc>
          <w:tcPr>
            <w:tcW w:type="dxa" w:w="2016"/>
          </w:tcPr>
          <w:p>
            <w:r>
              <w:rPr>
                <w:color w:val="333333"/>
                <w:sz w:val="19"/>
              </w:rPr>
              <w:t>P3 — ASPIRATIONAL</w:t>
            </w:r>
          </w:p>
        </w:tc>
        <w:tc>
          <w:tcPr>
            <w:tcW w:type="dxa" w:w="4032"/>
          </w:tcPr>
          <w:p>
            <w:r>
              <w:rPr>
                <w:color w:val="333333"/>
                <w:sz w:val="19"/>
              </w:rPr>
              <w:t>Feature store integration</w:t>
            </w:r>
          </w:p>
        </w:tc>
        <w:tc>
          <w:tcPr>
            <w:tcW w:type="dxa" w:w="2592"/>
          </w:tcPr>
          <w:p>
            <w:r>
              <w:rPr>
                <w:color w:val="333333"/>
                <w:sz w:val="19"/>
              </w:rPr>
              <w:t>All features computed inline in notebook</w:t>
            </w:r>
          </w:p>
        </w:tc>
        <w:tc>
          <w:tcPr>
            <w:tcW w:type="dxa" w:w="1872"/>
          </w:tcPr>
          <w:p>
            <w:r>
              <w:rPr>
                <w:color w:val="333333"/>
                <w:sz w:val="19"/>
              </w:rPr>
              <w:t>Databricks Feature Store for productionized lag feature serving</w:t>
            </w:r>
          </w:p>
        </w:tc>
      </w:tr>
    </w:tbl>
    <w:p/>
    <w:p>
      <w:r>
        <w:br w:type="page"/>
      </w:r>
    </w:p>
    <w:p>
      <w:pPr>
        <w:pStyle w:val="Heading1"/>
      </w:pPr>
      <w:r>
        <w:rPr>
          <w:b/>
          <w:color w:val="0047AB"/>
        </w:rPr>
        <w:t>Section 7: Ensemble &amp; Hierarchical Reconciliation — Industry-Grade</w:t>
      </w:r>
    </w:p>
    <w:p>
      <w:pPr>
        <w:pStyle w:val="Heading2"/>
      </w:pPr>
      <w:r>
        <w:rPr>
          <w:b/>
          <w:color w:val="0047AB"/>
        </w:rPr>
        <w:t>7.1 Granger-Ramanathan Covariance-Optimal Ensemble</w:t>
      </w:r>
    </w:p>
    <w:p>
      <w:pPr>
        <w:spacing w:after="120"/>
      </w:pPr>
      <w:r>
        <w:rPr>
          <w:b w:val="0"/>
          <w:i w:val="0"/>
          <w:color w:val="333333"/>
          <w:sz w:val="21"/>
        </w:rPr>
        <w:t>The ensemble weight computation in Cell 14 is confirmed GR covariance-optimal:</w:t>
      </w:r>
    </w:p>
    <w:p>
      <w:pPr>
        <w:spacing w:after="120"/>
      </w:pPr>
      <w:r>
        <w:rPr>
          <w:b w:val="0"/>
          <w:i/>
          <w:color w:val="224488"/>
          <w:sz w:val="19"/>
        </w:rPr>
        <w:t xml:space="preserve">    error_matrix = forecast_pivot.subtract(actual_series, axis=0)</w:t>
        <w:br/>
        <w:t xml:space="preserve">    covariance = np.cov(error_matrix.to_numpy(), rowvar=False)</w:t>
        <w:br/>
        <w:t xml:space="preserve">    covariance += np.eye(covariance.shape[0]) * 1e-6  # regularization</w:t>
        <w:br/>
        <w:t xml:space="preserve">    inv_covariance = np.linalg.pinv(covariance)</w:t>
        <w:br/>
        <w:t xml:space="preserve">    ones = np.ones(inv_covariance.shape[0])</w:t>
        <w:br/>
        <w:t xml:space="preserve">    raw = inv_covariance @ ones</w:t>
        <w:br/>
        <w:t xml:space="preserve">    raw = np.clip(raw, 0.0, None)  # non-negative weights</w:t>
      </w:r>
    </w:p>
    <w:p>
      <w:pPr>
        <w:pStyle w:val="ListBullet"/>
        <w:ind w:left="504"/>
      </w:pPr>
      <w:r>
        <w:rPr>
          <w:color w:val="333333"/>
          <w:sz w:val="20"/>
        </w:rPr>
        <w:t>The 1e-6 regularization on the diagonal prevents the covariance matrix from being singular when two models produce near-identical predictions (e.g., MSTL and ETS in stable periods).</w:t>
      </w:r>
    </w:p>
    <w:p>
      <w:pPr>
        <w:pStyle w:val="ListBullet"/>
        <w:ind w:left="504"/>
      </w:pPr>
      <w:r>
        <w:rPr>
          <w:color w:val="333333"/>
          <w:sz w:val="20"/>
        </w:rPr>
        <w:t>np.clip(raw, 0.0, None) enforces non-negative weights. The unconstrained GR solution can produce negative weights (short-selling models) which is valid mathematically but can alarm executives. The non-negative constraint is the right production choice.</w:t>
      </w:r>
    </w:p>
    <w:p>
      <w:pPr>
        <w:pStyle w:val="ListBullet"/>
        <w:ind w:left="504"/>
      </w:pPr>
      <w:r>
        <w:rPr>
          <w:color w:val="333333"/>
          <w:sz w:val="20"/>
        </w:rPr>
        <w:t>Fallback to 1/WAPE if retained_preds is empty or has &lt; 3 data points — defensive programming, correct.</w:t>
      </w:r>
    </w:p>
    <w:p>
      <w:pPr>
        <w:pStyle w:val="ListBullet"/>
        <w:ind w:left="504"/>
      </w:pPr>
      <w:r>
        <w:rPr>
          <w:color w:val="333333"/>
          <w:sz w:val="20"/>
        </w:rPr>
        <w:t>Recommendation: Log GR weights per run in MLflow. Weight instability over time is an early signal of model drift or data distribution shifts.</w:t>
      </w:r>
    </w:p>
    <w:p>
      <w:pPr>
        <w:pStyle w:val="Heading2"/>
      </w:pPr>
      <w:r>
        <w:rPr>
          <w:b/>
          <w:color w:val="0047AB"/>
        </w:rPr>
        <w:t>7.2 MinT Hierarchical Reconciliation</w:t>
      </w:r>
    </w:p>
    <w:p>
      <w:pPr>
        <w:spacing w:after="120"/>
      </w:pPr>
      <w:r>
        <w:rPr>
          <w:b w:val="0"/>
          <w:i w:val="0"/>
          <w:color w:val="333333"/>
          <w:sz w:val="21"/>
        </w:rPr>
        <w:t>estimate_mint_covariances() + coherent_allocate_total_to_markets() implements Wickramasuriya et al. (2019) MinT reconciliation. The reconciliation matrix uses pinv(S.T @ inv_w @ S) @ S.T @ inv_w where S is the summing matrix and inv_w is the inverse covariance.</w:t>
      </w:r>
    </w:p>
    <w:p>
      <w:pPr>
        <w:pStyle w:val="ListBullet"/>
        <w:ind w:left="504"/>
      </w:pPr>
      <w:r>
        <w:rPr>
          <w:color w:val="333333"/>
          <w:sz w:val="20"/>
        </w:rPr>
        <w:t>This ensures total UCC forecast = sum of market-level forecasts. Without MinT, the ensemble total and the sum of market-level forecasts can diverge, creating confusion in executive reporting where NA + EMEA + APAC + LATAM + Unknown != Total.</w:t>
      </w:r>
    </w:p>
    <w:p>
      <w:pPr>
        <w:pStyle w:val="ListBullet"/>
        <w:ind w:left="504"/>
      </w:pPr>
      <w:r>
        <w:rPr>
          <w:color w:val="333333"/>
          <w:sz w:val="20"/>
        </w:rPr>
        <w:t>Fallback to OLS reconciliation (pinv(S.T @ S) @ S.T) if covariance inversion fails — correct defensive approach.</w:t>
      </w:r>
    </w:p>
    <w:p>
      <w:pPr>
        <w:pStyle w:val="ListBullet"/>
        <w:ind w:left="504"/>
      </w:pPr>
      <w:r>
        <w:rPr>
          <w:color w:val="333333"/>
          <w:sz w:val="20"/>
        </w:rPr>
        <w:t>lookback_weeks=26 for market share computation (upgraded from 13 in earlier versions). 26 weeks reduces noise from single large deals skewing shares.</w:t>
      </w:r>
    </w:p>
    <w:p>
      <w:pPr>
        <w:pStyle w:val="Heading2"/>
      </w:pPr>
      <w:r>
        <w:rPr>
          <w:b/>
          <w:color w:val="0047AB"/>
        </w:rPr>
        <w:t>7.3 Ensemble Interval Calibration</w:t>
      </w:r>
    </w:p>
    <w:p>
      <w:pPr>
        <w:spacing w:after="120"/>
      </w:pPr>
      <w:r>
        <w:rPr>
          <w:b w:val="0"/>
          <w:i w:val="0"/>
          <w:color w:val="333333"/>
          <w:sz w:val="21"/>
        </w:rPr>
        <w:t>ensemble_interval_calibration() computes p10_adjustment and p90_adjustment from holdout ensemble prediction errors — not from fixed multipliers. This replaces the V4-era ±15%/±20% multipliers with data-driven calibration.</w:t>
      </w:r>
    </w:p>
    <w:p>
      <w:pPr>
        <w:pStyle w:val="ListBullet"/>
        <w:ind w:left="504"/>
      </w:pPr>
      <w:r>
        <w:rPr>
          <w:color w:val="333333"/>
          <w:sz w:val="20"/>
        </w:rPr>
        <w:t>Implementation: errors = actual - ensemble_p50; p10_adjustment = np.percentile(errors, 10); p90_adjustment = np.percentile(errors, 90). Applied as: p10 = p50 + p10_adjustment; p90 = p50 + p90_adjustment.</w:t>
      </w:r>
    </w:p>
    <w:p>
      <w:pPr>
        <w:pStyle w:val="ListBullet"/>
        <w:ind w:left="504"/>
      </w:pPr>
      <w:r>
        <w:rPr>
          <w:color w:val="333333"/>
          <w:sz w:val="20"/>
        </w:rPr>
        <w:t>Risk: If holdout has fewer than 20 data points, the 10th/90th percentile estimates are noisy (±2-3 pp coverage error). V8 has BACKTEST_START=2026-01-05 giving ~26 weeks of holdout — marginally sufficient. Add a min-observation check (n &gt;= 20) to fall back to wider intervals when calibration data is thin.</w:t>
      </w:r>
    </w:p>
    <w:p/>
    <w:p>
      <w:r>
        <w:br w:type="page"/>
      </w:r>
    </w:p>
    <w:p>
      <w:pPr>
        <w:pStyle w:val="Heading1"/>
      </w:pPr>
      <w:r>
        <w:rPr>
          <w:b/>
          <w:color w:val="0047AB"/>
        </w:rPr>
        <w:t>Section 8: Advanced Expert Recommendations</w:t>
      </w:r>
    </w:p>
    <w:p>
      <w:pPr>
        <w:pStyle w:val="Heading2"/>
      </w:pPr>
      <w:r>
        <w:rPr>
          <w:b/>
          <w:color w:val="0047AB"/>
        </w:rPr>
        <w:t>8.1 What Elite Forecasting Teams Would Add Next</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047AB"/>
          </w:tcPr>
          <w:p>
            <w:r>
              <w:rPr>
                <w:b/>
                <w:color w:val="FFFFFF"/>
                <w:sz w:val="20"/>
              </w:rPr>
              <w:t>Practice</w:t>
            </w:r>
          </w:p>
        </w:tc>
        <w:tc>
          <w:tcPr>
            <w:tcW w:type="dxa" w:w="4032"/>
            <w:shd w:val="clear" w:color="auto" w:fill="0047AB"/>
          </w:tcPr>
          <w:p>
            <w:r>
              <w:rPr>
                <w:b/>
                <w:color w:val="FFFFFF"/>
                <w:sz w:val="20"/>
              </w:rPr>
              <w:t>Description</w:t>
            </w:r>
          </w:p>
        </w:tc>
        <w:tc>
          <w:tcPr>
            <w:tcW w:type="dxa" w:w="2160"/>
            <w:shd w:val="clear" w:color="auto" w:fill="0047AB"/>
          </w:tcPr>
          <w:p>
            <w:r>
              <w:rPr>
                <w:b/>
                <w:color w:val="FFFFFF"/>
                <w:sz w:val="20"/>
              </w:rPr>
              <w:t>Impact</w:t>
            </w:r>
          </w:p>
        </w:tc>
        <w:tc>
          <w:tcPr>
            <w:tcW w:type="dxa" w:w="1008"/>
            <w:shd w:val="clear" w:color="auto" w:fill="0047AB"/>
          </w:tcPr>
          <w:p>
            <w:r>
              <w:rPr>
                <w:b/>
                <w:color w:val="FFFFFF"/>
                <w:sz w:val="20"/>
              </w:rPr>
              <w:t>Effort</w:t>
            </w:r>
          </w:p>
        </w:tc>
      </w:tr>
      <w:tr>
        <w:tc>
          <w:tcPr>
            <w:tcW w:type="dxa" w:w="2592"/>
          </w:tcPr>
          <w:p>
            <w:r>
              <w:rPr>
                <w:color w:val="333333"/>
                <w:sz w:val="19"/>
              </w:rPr>
              <w:t>Databricks Job automation</w:t>
            </w:r>
          </w:p>
        </w:tc>
        <w:tc>
          <w:tcPr>
            <w:tcW w:type="dxa" w:w="4032"/>
          </w:tcPr>
          <w:p>
            <w:r>
              <w:rPr>
                <w:color w:val="333333"/>
                <w:sz w:val="19"/>
              </w:rPr>
              <w:t>Configure a Databricks Job (job.json) with weekly trigger on Monday at 06:00 UTC. Runs all 18 cells, writes to Delta, logs to MLflow, sends Slack alert if WAPE &gt; threshold.</w:t>
            </w:r>
          </w:p>
        </w:tc>
        <w:tc>
          <w:tcPr>
            <w:tcW w:type="dxa" w:w="2160"/>
          </w:tcPr>
          <w:p>
            <w:r>
              <w:rPr>
                <w:color w:val="333333"/>
                <w:sz w:val="19"/>
              </w:rPr>
              <w:t>CRITICAL for production — eliminates manual run dependency</w:t>
            </w:r>
          </w:p>
        </w:tc>
        <w:tc>
          <w:tcPr>
            <w:tcW w:type="dxa" w:w="1008"/>
          </w:tcPr>
          <w:p>
            <w:r>
              <w:rPr>
                <w:color w:val="333333"/>
                <w:sz w:val="19"/>
              </w:rPr>
              <w:t>1-2 days</w:t>
            </w:r>
          </w:p>
        </w:tc>
      </w:tr>
      <w:tr>
        <w:tc>
          <w:tcPr>
            <w:tcW w:type="dxa" w:w="2592"/>
          </w:tcPr>
          <w:p>
            <w:r>
              <w:rPr>
                <w:color w:val="333333"/>
                <w:sz w:val="19"/>
              </w:rPr>
              <w:t>SHAP feature importance</w:t>
            </w:r>
          </w:p>
        </w:tc>
        <w:tc>
          <w:tcPr>
            <w:tcW w:type="dxa" w:w="4032"/>
          </w:tcPr>
          <w:p>
            <w:r>
              <w:rPr>
                <w:color w:val="333333"/>
                <w:sz w:val="19"/>
              </w:rPr>
              <w:t>shap.TreeExplainer(models["P50"]).shap_values(X_train) per fold. Log feature importance heatmap to MLflow. Surface top-5 features in executive summary.</w:t>
            </w:r>
          </w:p>
        </w:tc>
        <w:tc>
          <w:tcPr>
            <w:tcW w:type="dxa" w:w="2160"/>
          </w:tcPr>
          <w:p>
            <w:r>
              <w:rPr>
                <w:color w:val="333333"/>
                <w:sz w:val="19"/>
              </w:rPr>
              <w:t>High — explains WHY LGB predicted a specific value; builds exec trust</w:t>
            </w:r>
          </w:p>
        </w:tc>
        <w:tc>
          <w:tcPr>
            <w:tcW w:type="dxa" w:w="1008"/>
          </w:tcPr>
          <w:p>
            <w:r>
              <w:rPr>
                <w:color w:val="333333"/>
                <w:sz w:val="19"/>
              </w:rPr>
              <w:t>1 day</w:t>
            </w:r>
          </w:p>
        </w:tc>
      </w:tr>
      <w:tr>
        <w:tc>
          <w:tcPr>
            <w:tcW w:type="dxa" w:w="2592"/>
          </w:tcPr>
          <w:p>
            <w:r>
              <w:rPr>
                <w:color w:val="333333"/>
                <w:sz w:val="19"/>
              </w:rPr>
              <w:t>Drift detection alert</w:t>
            </w:r>
          </w:p>
        </w:tc>
        <w:tc>
          <w:tcPr>
            <w:tcW w:type="dxa" w:w="4032"/>
          </w:tcPr>
          <w:p>
            <w:r>
              <w:rPr>
                <w:color w:val="333333"/>
                <w:sz w:val="19"/>
              </w:rPr>
              <w:t>After each production run, query monitoring_baseline. If rolling 4-week WAPE &gt; cv_wape_baseline * 1.5, trigger alert via Databricks notification or Slack webhook.</w:t>
            </w:r>
          </w:p>
        </w:tc>
        <w:tc>
          <w:tcPr>
            <w:tcW w:type="dxa" w:w="2160"/>
          </w:tcPr>
          <w:p>
            <w:r>
              <w:rPr>
                <w:color w:val="333333"/>
                <w:sz w:val="19"/>
              </w:rPr>
              <w:t>High — prevents stale model from running undetected for weeks</w:t>
            </w:r>
          </w:p>
        </w:tc>
        <w:tc>
          <w:tcPr>
            <w:tcW w:type="dxa" w:w="1008"/>
          </w:tcPr>
          <w:p>
            <w:r>
              <w:rPr>
                <w:color w:val="333333"/>
                <w:sz w:val="19"/>
              </w:rPr>
              <w:t>1-2 days</w:t>
            </w:r>
          </w:p>
        </w:tc>
      </w:tr>
      <w:tr>
        <w:tc>
          <w:tcPr>
            <w:tcW w:type="dxa" w:w="2592"/>
          </w:tcPr>
          <w:p>
            <w:r>
              <w:rPr>
                <w:color w:val="333333"/>
                <w:sz w:val="19"/>
              </w:rPr>
              <w:t>Conformal prediction intervals</w:t>
            </w:r>
          </w:p>
        </w:tc>
        <w:tc>
          <w:tcPr>
            <w:tcW w:type="dxa" w:w="4032"/>
          </w:tcPr>
          <w:p>
            <w:r>
              <w:rPr>
                <w:color w:val="333333"/>
                <w:sz w:val="19"/>
              </w:rPr>
              <w:t>Use split conformal prediction on holdout residuals to guarantee 80% coverage. Unlike quantile calibration, conformal coverage is distribution-free and holds under mild data stationarity assumptions.</w:t>
            </w:r>
          </w:p>
        </w:tc>
        <w:tc>
          <w:tcPr>
            <w:tcW w:type="dxa" w:w="2160"/>
          </w:tcPr>
          <w:p>
            <w:r>
              <w:rPr>
                <w:color w:val="333333"/>
                <w:sz w:val="19"/>
              </w:rPr>
              <w:t>Medium — current calibrated approach is good; conformal adds coverage guarantee</w:t>
            </w:r>
          </w:p>
        </w:tc>
        <w:tc>
          <w:tcPr>
            <w:tcW w:type="dxa" w:w="1008"/>
          </w:tcPr>
          <w:p>
            <w:r>
              <w:rPr>
                <w:color w:val="333333"/>
                <w:sz w:val="19"/>
              </w:rPr>
              <w:t>3-5 days</w:t>
            </w:r>
          </w:p>
        </w:tc>
      </w:tr>
      <w:tr>
        <w:tc>
          <w:tcPr>
            <w:tcW w:type="dxa" w:w="2592"/>
          </w:tcPr>
          <w:p>
            <w:r>
              <w:rPr>
                <w:color w:val="333333"/>
                <w:sz w:val="19"/>
              </w:rPr>
              <w:t>MLflow tracking for all models</w:t>
            </w:r>
          </w:p>
        </w:tc>
        <w:tc>
          <w:tcPr>
            <w:tcW w:type="dxa" w:w="4032"/>
          </w:tcPr>
          <w:p>
            <w:r>
              <w:rPr>
                <w:color w:val="333333"/>
                <w:sz w:val="19"/>
              </w:rPr>
              <w:t>Extend mlflow.start_run() to MSTL, ETS, Prophet, and DHR-ARIMA in their respective CV runs. Currently only LGB is tracked.</w:t>
            </w:r>
          </w:p>
        </w:tc>
        <w:tc>
          <w:tcPr>
            <w:tcW w:type="dxa" w:w="2160"/>
          </w:tcPr>
          <w:p>
            <w:r>
              <w:rPr>
                <w:color w:val="333333"/>
                <w:sz w:val="19"/>
              </w:rPr>
              <w:t>Medium — enables full model comparison history across releases</w:t>
            </w:r>
          </w:p>
        </w:tc>
        <w:tc>
          <w:tcPr>
            <w:tcW w:type="dxa" w:w="1008"/>
          </w:tcPr>
          <w:p>
            <w:r>
              <w:rPr>
                <w:color w:val="333333"/>
                <w:sz w:val="19"/>
              </w:rPr>
              <w:t>1-2 days</w:t>
            </w:r>
          </w:p>
        </w:tc>
      </w:tr>
      <w:tr>
        <w:tc>
          <w:tcPr>
            <w:tcW w:type="dxa" w:w="2592"/>
          </w:tcPr>
          <w:p>
            <w:r>
              <w:rPr>
                <w:color w:val="333333"/>
                <w:sz w:val="19"/>
              </w:rPr>
              <w:t>Databricks Feature Store</w:t>
            </w:r>
          </w:p>
        </w:tc>
        <w:tc>
          <w:tcPr>
            <w:tcW w:type="dxa" w:w="4032"/>
          </w:tcPr>
          <w:p>
            <w:r>
              <w:rPr>
                <w:color w:val="333333"/>
                <w:sz w:val="19"/>
              </w:rPr>
              <w:t>Register GLOBAL_FEATURE_COLS as a Feature Store table updated weekly. Decouple feature engineering from model training — enables serving the same features to multiple consumers.</w:t>
            </w:r>
          </w:p>
        </w:tc>
        <w:tc>
          <w:tcPr>
            <w:tcW w:type="dxa" w:w="2160"/>
          </w:tcPr>
          <w:p>
            <w:r>
              <w:rPr>
                <w:color w:val="333333"/>
                <w:sz w:val="19"/>
              </w:rPr>
              <w:t>Medium/Long-term — reduces data engineering duplication</w:t>
            </w:r>
          </w:p>
        </w:tc>
        <w:tc>
          <w:tcPr>
            <w:tcW w:type="dxa" w:w="1008"/>
          </w:tcPr>
          <w:p>
            <w:r>
              <w:rPr>
                <w:color w:val="333333"/>
                <w:sz w:val="19"/>
              </w:rPr>
              <w:t>3-5 days</w:t>
            </w:r>
          </w:p>
        </w:tc>
      </w:tr>
      <w:tr>
        <w:tc>
          <w:tcPr>
            <w:tcW w:type="dxa" w:w="2592"/>
          </w:tcPr>
          <w:p>
            <w:r>
              <w:rPr>
                <w:color w:val="333333"/>
                <w:sz w:val="19"/>
              </w:rPr>
              <w:t>Win-rate vs WoQ prediction</w:t>
            </w:r>
          </w:p>
        </w:tc>
        <w:tc>
          <w:tcPr>
            <w:tcW w:type="dxa" w:w="4032"/>
          </w:tcPr>
          <w:p>
            <w:r>
              <w:rPr>
                <w:color w:val="333333"/>
                <w:sz w:val="19"/>
              </w:rPr>
              <w:t>Add a secondary model that predicts win_rate_woq itself (from pipeline and activity features), and use the predicted win_rate_woq as a forward feature in LGB. Currently win_rate_woq is 0.0 in production weeks 5-13 (no known future win rate).</w:t>
            </w:r>
          </w:p>
        </w:tc>
        <w:tc>
          <w:tcPr>
            <w:tcW w:type="dxa" w:w="2160"/>
          </w:tcPr>
          <w:p>
            <w:r>
              <w:rPr>
                <w:color w:val="333333"/>
                <w:sz w:val="19"/>
              </w:rPr>
              <w:t>Medium — closes the information gap in weeks beyond 4 weeks</w:t>
            </w:r>
          </w:p>
        </w:tc>
        <w:tc>
          <w:tcPr>
            <w:tcW w:type="dxa" w:w="1008"/>
          </w:tcPr>
          <w:p>
            <w:r>
              <w:rPr>
                <w:color w:val="333333"/>
                <w:sz w:val="19"/>
              </w:rPr>
              <w:t>2-3 days</w:t>
            </w:r>
          </w:p>
        </w:tc>
      </w:tr>
      <w:tr>
        <w:tc>
          <w:tcPr>
            <w:tcW w:type="dxa" w:w="2592"/>
          </w:tcPr>
          <w:p>
            <w:r>
              <w:rPr>
                <w:color w:val="333333"/>
                <w:sz w:val="19"/>
              </w:rPr>
              <w:t>MinT with WLS weights from residual variance</w:t>
            </w:r>
          </w:p>
        </w:tc>
        <w:tc>
          <w:tcPr>
            <w:tcW w:type="dxa" w:w="4032"/>
          </w:tcPr>
          <w:p>
            <w:r>
              <w:rPr>
                <w:color w:val="333333"/>
                <w:sz w:val="19"/>
              </w:rPr>
              <w:t>The current MinT uses historical market series covariance. Upgrade to WLS (weighted least squares) MinT where weights = 1/variance(market_residuals) — this prioritizes more stable markets in reconciliation.</w:t>
            </w:r>
          </w:p>
        </w:tc>
        <w:tc>
          <w:tcPr>
            <w:tcW w:type="dxa" w:w="2160"/>
          </w:tcPr>
          <w:p>
            <w:r>
              <w:rPr>
                <w:color w:val="333333"/>
                <w:sz w:val="19"/>
              </w:rPr>
              <w:t>Low-Medium — marginal improvement over current implementation</w:t>
            </w:r>
          </w:p>
        </w:tc>
        <w:tc>
          <w:tcPr>
            <w:tcW w:type="dxa" w:w="1008"/>
          </w:tcPr>
          <w:p>
            <w:r>
              <w:rPr>
                <w:color w:val="333333"/>
                <w:sz w:val="19"/>
              </w:rPr>
              <w:t>1-2 days</w:t>
            </w:r>
          </w:p>
        </w:tc>
      </w:tr>
    </w:tbl>
    <w:p/>
    <w:p>
      <w:pPr>
        <w:pStyle w:val="Heading2"/>
      </w:pPr>
      <w:r>
        <w:rPr>
          <w:b/>
          <w:color w:val="0047AB"/>
        </w:rPr>
        <w:t>8.2 One Specific Bug Worth Fixing: notebook_version Metadata</w:t>
      </w:r>
    </w:p>
    <w:p>
      <w:pPr>
        <w:spacing w:after="120"/>
      </w:pPr>
      <w:r>
        <w:rPr>
          <w:b w:val="0"/>
          <w:i w:val="0"/>
          <w:color w:val="333333"/>
          <w:sz w:val="21"/>
        </w:rPr>
        <w:t>Cell 17 writes monitoring_baseline["notebook_version"] = "V5". This has been V5 since V5. Every subsequent version (V6, V7, V8) still says V5. When the monitoring table has 6 months of runs, it will be impossible to distinguish which runs came from which notebook version.</w:t>
      </w:r>
    </w:p>
    <w:p>
      <w:pPr>
        <w:spacing w:after="120"/>
      </w:pPr>
      <w:r>
        <w:rPr>
          <w:b w:val="0"/>
          <w:i w:val="0"/>
          <w:color w:val="333333"/>
          <w:sz w:val="21"/>
        </w:rPr>
        <w:t>Fix: Change to notebook_version = "V8" in Cell 17. One line. Zero risk. Do it now.</w:t>
      </w:r>
    </w:p>
    <w:p>
      <w:pPr>
        <w:pStyle w:val="Heading2"/>
      </w:pPr>
      <w:r>
        <w:rPr>
          <w:b/>
          <w:color w:val="0047AB"/>
        </w:rPr>
        <w:t>8.3 Production Stack Recommendation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047AB"/>
          </w:tcPr>
          <w:p>
            <w:r>
              <w:rPr>
                <w:b/>
                <w:color w:val="FFFFFF"/>
                <w:sz w:val="20"/>
              </w:rPr>
              <w:t>Component</w:t>
            </w:r>
          </w:p>
        </w:tc>
        <w:tc>
          <w:tcPr>
            <w:tcW w:type="dxa" w:w="3312"/>
            <w:shd w:val="clear" w:color="auto" w:fill="0047AB"/>
          </w:tcPr>
          <w:p>
            <w:r>
              <w:rPr>
                <w:b/>
                <w:color w:val="FFFFFF"/>
                <w:sz w:val="20"/>
              </w:rPr>
              <w:t>Current</w:t>
            </w:r>
          </w:p>
        </w:tc>
        <w:tc>
          <w:tcPr>
            <w:tcW w:type="dxa" w:w="4320"/>
            <w:shd w:val="clear" w:color="auto" w:fill="0047AB"/>
          </w:tcPr>
          <w:p>
            <w:r>
              <w:rPr>
                <w:b/>
                <w:color w:val="FFFFFF"/>
                <w:sz w:val="20"/>
              </w:rPr>
              <w:t>Recommended</w:t>
            </w:r>
          </w:p>
        </w:tc>
      </w:tr>
      <w:tr>
        <w:tc>
          <w:tcPr>
            <w:tcW w:type="dxa" w:w="2160"/>
          </w:tcPr>
          <w:p>
            <w:r>
              <w:rPr>
                <w:color w:val="333333"/>
                <w:sz w:val="19"/>
              </w:rPr>
              <w:t>Orchestration</w:t>
            </w:r>
          </w:p>
        </w:tc>
        <w:tc>
          <w:tcPr>
            <w:tcW w:type="dxa" w:w="3312"/>
          </w:tcPr>
          <w:p>
            <w:r>
              <w:rPr>
                <w:color w:val="333333"/>
                <w:sz w:val="19"/>
              </w:rPr>
              <w:t>Manual notebook run</w:t>
            </w:r>
          </w:p>
        </w:tc>
        <w:tc>
          <w:tcPr>
            <w:tcW w:type="dxa" w:w="4320"/>
          </w:tcPr>
          <w:p>
            <w:r>
              <w:rPr>
                <w:color w:val="333333"/>
                <w:sz w:val="19"/>
              </w:rPr>
              <w:t>Databricks Job with weekly trigger</w:t>
            </w:r>
          </w:p>
        </w:tc>
      </w:tr>
      <w:tr>
        <w:tc>
          <w:tcPr>
            <w:tcW w:type="dxa" w:w="2160"/>
          </w:tcPr>
          <w:p>
            <w:r>
              <w:rPr>
                <w:color w:val="333333"/>
                <w:sz w:val="19"/>
              </w:rPr>
              <w:t>Experiment tracking</w:t>
            </w:r>
          </w:p>
        </w:tc>
        <w:tc>
          <w:tcPr>
            <w:tcW w:type="dxa" w:w="3312"/>
          </w:tcPr>
          <w:p>
            <w:r>
              <w:rPr>
                <w:color w:val="333333"/>
                <w:sz w:val="19"/>
              </w:rPr>
              <w:t>MLflow (LGB only)</w:t>
            </w:r>
          </w:p>
        </w:tc>
        <w:tc>
          <w:tcPr>
            <w:tcW w:type="dxa" w:w="4320"/>
          </w:tcPr>
          <w:p>
            <w:r>
              <w:rPr>
                <w:color w:val="333333"/>
                <w:sz w:val="19"/>
              </w:rPr>
              <w:t>MLflow for all 5 models + ensemble weights</w:t>
            </w:r>
          </w:p>
        </w:tc>
      </w:tr>
      <w:tr>
        <w:tc>
          <w:tcPr>
            <w:tcW w:type="dxa" w:w="2160"/>
          </w:tcPr>
          <w:p>
            <w:r>
              <w:rPr>
                <w:color w:val="333333"/>
                <w:sz w:val="19"/>
              </w:rPr>
              <w:t>Feature serving</w:t>
            </w:r>
          </w:p>
        </w:tc>
        <w:tc>
          <w:tcPr>
            <w:tcW w:type="dxa" w:w="3312"/>
          </w:tcPr>
          <w:p>
            <w:r>
              <w:rPr>
                <w:color w:val="333333"/>
                <w:sz w:val="19"/>
              </w:rPr>
              <w:t>Inline computation in notebook</w:t>
            </w:r>
          </w:p>
        </w:tc>
        <w:tc>
          <w:tcPr>
            <w:tcW w:type="dxa" w:w="4320"/>
          </w:tcPr>
          <w:p>
            <w:r>
              <w:rPr>
                <w:color w:val="333333"/>
                <w:sz w:val="19"/>
              </w:rPr>
              <w:t>Databricks Feature Store (next 6 months)</w:t>
            </w:r>
          </w:p>
        </w:tc>
      </w:tr>
      <w:tr>
        <w:tc>
          <w:tcPr>
            <w:tcW w:type="dxa" w:w="2160"/>
          </w:tcPr>
          <w:p>
            <w:r>
              <w:rPr>
                <w:color w:val="333333"/>
                <w:sz w:val="19"/>
              </w:rPr>
              <w:t>Monitoring</w:t>
            </w:r>
          </w:p>
        </w:tc>
        <w:tc>
          <w:tcPr>
            <w:tcW w:type="dxa" w:w="3312"/>
          </w:tcPr>
          <w:p>
            <w:r>
              <w:rPr>
                <w:color w:val="333333"/>
                <w:sz w:val="19"/>
              </w:rPr>
              <w:t>Monitoring table written; no alert trigger</w:t>
            </w:r>
          </w:p>
        </w:tc>
        <w:tc>
          <w:tcPr>
            <w:tcW w:type="dxa" w:w="4320"/>
          </w:tcPr>
          <w:p>
            <w:r>
              <w:rPr>
                <w:color w:val="333333"/>
                <w:sz w:val="19"/>
              </w:rPr>
              <w:t>Delta Live Tables + Databricks SQL alert on 4w WAPE threshold</w:t>
            </w:r>
          </w:p>
        </w:tc>
      </w:tr>
      <w:tr>
        <w:tc>
          <w:tcPr>
            <w:tcW w:type="dxa" w:w="2160"/>
          </w:tcPr>
          <w:p>
            <w:r>
              <w:rPr>
                <w:color w:val="333333"/>
                <w:sz w:val="19"/>
              </w:rPr>
              <w:t>CI/CD</w:t>
            </w:r>
          </w:p>
        </w:tc>
        <w:tc>
          <w:tcPr>
            <w:tcW w:type="dxa" w:w="3312"/>
          </w:tcPr>
          <w:p>
            <w:r>
              <w:rPr>
                <w:color w:val="333333"/>
                <w:sz w:val="19"/>
              </w:rPr>
              <w:t>None</w:t>
            </w:r>
          </w:p>
        </w:tc>
        <w:tc>
          <w:tcPr>
            <w:tcW w:type="dxa" w:w="4320"/>
          </w:tcPr>
          <w:p>
            <w:r>
              <w:rPr>
                <w:color w:val="333333"/>
                <w:sz w:val="19"/>
              </w:rPr>
              <w:t>Databricks Repos + GitHub Actions for notebook validation on PR</w:t>
            </w:r>
          </w:p>
        </w:tc>
      </w:tr>
      <w:tr>
        <w:tc>
          <w:tcPr>
            <w:tcW w:type="dxa" w:w="2160"/>
          </w:tcPr>
          <w:p>
            <w:r>
              <w:rPr>
                <w:color w:val="333333"/>
                <w:sz w:val="19"/>
              </w:rPr>
              <w:t>Explainability</w:t>
            </w:r>
          </w:p>
        </w:tc>
        <w:tc>
          <w:tcPr>
            <w:tcW w:type="dxa" w:w="3312"/>
          </w:tcPr>
          <w:p>
            <w:r>
              <w:rPr>
                <w:color w:val="333333"/>
                <w:sz w:val="19"/>
              </w:rPr>
              <w:t>Feature importance from LGB gain (in code)</w:t>
            </w:r>
          </w:p>
        </w:tc>
        <w:tc>
          <w:tcPr>
            <w:tcW w:type="dxa" w:w="4320"/>
          </w:tcPr>
          <w:p>
            <w:r>
              <w:rPr>
                <w:color w:val="333333"/>
                <w:sz w:val="19"/>
              </w:rPr>
              <w:t>SHAP values logged to MLflow + surfaced in Atlas dashboard</w:t>
            </w:r>
          </w:p>
        </w:tc>
      </w:tr>
      <w:tr>
        <w:tc>
          <w:tcPr>
            <w:tcW w:type="dxa" w:w="2160"/>
          </w:tcPr>
          <w:p>
            <w:r>
              <w:rPr>
                <w:color w:val="333333"/>
                <w:sz w:val="19"/>
              </w:rPr>
              <w:t>Data quality</w:t>
            </w:r>
          </w:p>
        </w:tc>
        <w:tc>
          <w:tcPr>
            <w:tcW w:type="dxa" w:w="3312"/>
          </w:tcPr>
          <w:p>
            <w:r>
              <w:rPr>
                <w:color w:val="333333"/>
                <w:sz w:val="19"/>
              </w:rPr>
              <w:t>LEAKY_OR_UNUSABLE_COLS list</w:t>
            </w:r>
          </w:p>
        </w:tc>
        <w:tc>
          <w:tcPr>
            <w:tcW w:type="dxa" w:w="4320"/>
          </w:tcPr>
          <w:p>
            <w:r>
              <w:rPr>
                <w:color w:val="333333"/>
                <w:sz w:val="19"/>
              </w:rPr>
              <w:t>Add Great Expectations or Databricks data quality constraints on feature table</w:t>
            </w:r>
          </w:p>
        </w:tc>
      </w:tr>
    </w:tbl>
    <w:p/>
    <w:p>
      <w:r>
        <w:br w:type="page"/>
      </w:r>
    </w:p>
    <w:p>
      <w:pPr>
        <w:pStyle w:val="Heading1"/>
      </w:pPr>
      <w:r>
        <w:rPr>
          <w:b/>
          <w:color w:val="0047AB"/>
        </w:rPr>
        <w:t>Section 9: Executive Summary</w:t>
      </w:r>
    </w:p>
    <w:p>
      <w:pPr>
        <w:pStyle w:val="Heading2"/>
      </w:pPr>
      <w:r>
        <w:rPr>
          <w:b/>
          <w:color w:val="0047AB"/>
        </w:rPr>
        <w:t>Candid Assessment: V8 is Production-Ready</w:t>
      </w:r>
    </w:p>
    <w:p>
      <w:pPr>
        <w:spacing w:after="120"/>
      </w:pPr>
      <w:r>
        <w:rPr>
          <w:b w:val="0"/>
          <w:i w:val="0"/>
          <w:color w:val="333333"/>
          <w:sz w:val="21"/>
        </w:rPr>
        <w:t>V8 is the first UCC Forecast Foundation version that can be described as genuinely production-grade. Every P0 and P1 gap identified across five expert reviews (V3 through V7) has been resolved. The five production models are correctly specified, the ensemble is statistically optimal (GR covariance-optimal weights), the P10/P90 intervals are calibrated from holdout errors rather than fixed multipliers, MinT reconciliation ensures hierarchical coherence, and the monitoring baseline is now persisted to Delta for automated drift detection. The marketing feature cliff — which would have caused a silent distribution shift in 85% of the production forecast horizon — is confirmed fixed via forward-fill per market slice.</w:t>
      </w:r>
    </w:p>
    <w:p>
      <w:pPr>
        <w:spacing w:after="120"/>
      </w:pPr>
      <w:r>
        <w:rPr>
          <w:b w:val="0"/>
          <w:i w:val="0"/>
          <w:color w:val="333333"/>
          <w:sz w:val="21"/>
        </w:rPr>
        <w:t>This is industry-grade weekly ARR forecasting. The remaining gaps are all operational (Databricks Job, SHAP, regional holidays, MLflow for non-LGB models) — none of them degrade forecast accuracy.</w:t>
      </w:r>
    </w:p>
    <w:p>
      <w:pPr>
        <w:pStyle w:val="Heading2"/>
      </w:pPr>
      <w:r>
        <w:rPr>
          <w:b/>
          <w:color w:val="0047AB"/>
        </w:rPr>
        <w:t>Score History</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0047AB"/>
          </w:tcPr>
          <w:p>
            <w:r>
              <w:rPr>
                <w:b/>
                <w:color w:val="FFFFFF"/>
                <w:sz w:val="20"/>
              </w:rPr>
              <w:t>Version</w:t>
            </w:r>
          </w:p>
        </w:tc>
        <w:tc>
          <w:tcPr>
            <w:tcW w:type="dxa" w:w="1152"/>
            <w:shd w:val="clear" w:color="auto" w:fill="0047AB"/>
          </w:tcPr>
          <w:p>
            <w:r>
              <w:rPr>
                <w:b/>
                <w:color w:val="FFFFFF"/>
                <w:sz w:val="20"/>
              </w:rPr>
              <w:t>Score</w:t>
            </w:r>
          </w:p>
        </w:tc>
        <w:tc>
          <w:tcPr>
            <w:tcW w:type="dxa" w:w="8208"/>
            <w:shd w:val="clear" w:color="auto" w:fill="0047AB"/>
          </w:tcPr>
          <w:p>
            <w:r>
              <w:rPr>
                <w:b/>
                <w:color w:val="FFFFFF"/>
                <w:sz w:val="20"/>
              </w:rPr>
              <w:t>Key Milestone</w:t>
            </w:r>
          </w:p>
        </w:tc>
      </w:tr>
      <w:tr>
        <w:tc>
          <w:tcPr>
            <w:tcW w:type="dxa" w:w="1152"/>
          </w:tcPr>
          <w:p>
            <w:r>
              <w:rPr>
                <w:color w:val="333333"/>
                <w:sz w:val="19"/>
              </w:rPr>
              <w:t>V3/V4</w:t>
            </w:r>
          </w:p>
        </w:tc>
        <w:tc>
          <w:tcPr>
            <w:tcW w:type="dxa" w:w="1152"/>
          </w:tcPr>
          <w:p>
            <w:r>
              <w:rPr>
                <w:color w:val="333333"/>
                <w:sz w:val="19"/>
              </w:rPr>
              <w:t>71/100 → 77/100</w:t>
            </w:r>
          </w:p>
        </w:tc>
        <w:tc>
          <w:tcPr>
            <w:tcW w:type="dxa" w:w="8208"/>
          </w:tcPr>
          <w:p>
            <w:r>
              <w:rPr>
                <w:color w:val="333333"/>
                <w:sz w:val="19"/>
              </w:rPr>
              <w:t>Baseline UCC notebook; basic walk-forward CV</w:t>
            </w:r>
          </w:p>
        </w:tc>
      </w:tr>
      <w:tr>
        <w:tc>
          <w:tcPr>
            <w:tcW w:type="dxa" w:w="1152"/>
          </w:tcPr>
          <w:p>
            <w:r>
              <w:rPr>
                <w:color w:val="333333"/>
                <w:sz w:val="19"/>
              </w:rPr>
              <w:t>V5</w:t>
            </w:r>
          </w:p>
        </w:tc>
        <w:tc>
          <w:tcPr>
            <w:tcW w:type="dxa" w:w="1152"/>
          </w:tcPr>
          <w:p>
            <w:r>
              <w:rPr>
                <w:color w:val="333333"/>
                <w:sz w:val="19"/>
              </w:rPr>
              <w:t>84/100</w:t>
            </w:r>
          </w:p>
        </w:tc>
        <w:tc>
          <w:tcPr>
            <w:tcW w:type="dxa" w:w="8208"/>
          </w:tcPr>
          <w:p>
            <w:r>
              <w:rPr>
                <w:color w:val="333333"/>
                <w:sz w:val="19"/>
              </w:rPr>
              <w:t>LGB quantile crossing guard, ensemble P10/P90 calibration, Delta write</w:t>
            </w:r>
          </w:p>
        </w:tc>
      </w:tr>
      <w:tr>
        <w:tc>
          <w:tcPr>
            <w:tcW w:type="dxa" w:w="1152"/>
          </w:tcPr>
          <w:p>
            <w:r>
              <w:rPr>
                <w:color w:val="333333"/>
                <w:sz w:val="19"/>
              </w:rPr>
              <w:t>V6</w:t>
            </w:r>
          </w:p>
        </w:tc>
        <w:tc>
          <w:tcPr>
            <w:tcW w:type="dxa" w:w="1152"/>
          </w:tcPr>
          <w:p>
            <w:r>
              <w:rPr>
                <w:color w:val="333333"/>
                <w:sz w:val="19"/>
              </w:rPr>
              <w:t>91/100</w:t>
            </w:r>
          </w:p>
        </w:tc>
        <w:tc>
          <w:tcPr>
            <w:tcW w:type="dxa" w:w="8208"/>
          </w:tcPr>
          <w:p>
            <w:r>
              <w:rPr>
                <w:color w:val="333333"/>
                <w:sz w:val="19"/>
              </w:rPr>
              <w:t>Authoritative mc_actuals, ETS multiplicative, dual Delta write, leaky col governance</w:t>
            </w:r>
          </w:p>
        </w:tc>
      </w:tr>
      <w:tr>
        <w:tc>
          <w:tcPr>
            <w:tcW w:type="dxa" w:w="1152"/>
          </w:tcPr>
          <w:p>
            <w:r>
              <w:rPr>
                <w:color w:val="333333"/>
                <w:sz w:val="19"/>
              </w:rPr>
              <w:t>V7 (as-is)</w:t>
            </w:r>
          </w:p>
        </w:tc>
        <w:tc>
          <w:tcPr>
            <w:tcW w:type="dxa" w:w="1152"/>
          </w:tcPr>
          <w:p>
            <w:r>
              <w:rPr>
                <w:color w:val="333333"/>
                <w:sz w:val="19"/>
              </w:rPr>
              <w:t>83/100</w:t>
            </w:r>
          </w:p>
        </w:tc>
        <w:tc>
          <w:tcPr>
            <w:tcW w:type="dxa" w:w="8208"/>
          </w:tcPr>
          <w:p>
            <w:r>
              <w:rPr>
                <w:color w:val="333333"/>
                <w:sz w:val="19"/>
              </w:rPr>
              <w:t>Marketing features added but feature cliff P0 bug introduced</w:t>
            </w:r>
          </w:p>
        </w:tc>
      </w:tr>
      <w:tr>
        <w:tc>
          <w:tcPr>
            <w:tcW w:type="dxa" w:w="1152"/>
          </w:tcPr>
          <w:p>
            <w:r>
              <w:rPr>
                <w:color w:val="333333"/>
                <w:sz w:val="19"/>
              </w:rPr>
              <w:t>V7 (fixed)</w:t>
            </w:r>
          </w:p>
        </w:tc>
        <w:tc>
          <w:tcPr>
            <w:tcW w:type="dxa" w:w="1152"/>
          </w:tcPr>
          <w:p>
            <w:r>
              <w:rPr>
                <w:color w:val="333333"/>
                <w:sz w:val="19"/>
              </w:rPr>
              <w:t>93/100</w:t>
            </w:r>
          </w:p>
        </w:tc>
        <w:tc>
          <w:tcPr>
            <w:tcW w:type="dxa" w:w="8208"/>
          </w:tcPr>
          <w:p>
            <w:r>
              <w:rPr>
                <w:color w:val="333333"/>
                <w:sz w:val="19"/>
              </w:rPr>
              <w:t>If cliff fix applied manually</w:t>
            </w:r>
          </w:p>
        </w:tc>
      </w:tr>
      <w:tr>
        <w:tc>
          <w:tcPr>
            <w:tcW w:type="dxa" w:w="1152"/>
          </w:tcPr>
          <w:p>
            <w:r>
              <w:rPr>
                <w:color w:val="333333"/>
                <w:sz w:val="19"/>
              </w:rPr>
              <w:t>V8</w:t>
            </w:r>
          </w:p>
        </w:tc>
        <w:tc>
          <w:tcPr>
            <w:tcW w:type="dxa" w:w="1152"/>
          </w:tcPr>
          <w:p>
            <w:r>
              <w:rPr>
                <w:color w:val="333333"/>
                <w:sz w:val="19"/>
              </w:rPr>
              <w:t>95/100</w:t>
            </w:r>
          </w:p>
        </w:tc>
        <w:tc>
          <w:tcPr>
            <w:tcW w:type="dxa" w:w="8208"/>
          </w:tcPr>
          <w:p>
            <w:r>
              <w:rPr>
                <w:color w:val="333333"/>
                <w:sz w:val="19"/>
              </w:rPr>
              <w:t>All P0/P1 fixed; early stopping, MLflow, win_rate DHR, monitoring Delta write</w:t>
            </w:r>
          </w:p>
        </w:tc>
      </w:tr>
    </w:tbl>
    <w:p/>
    <w:p>
      <w:pPr>
        <w:pStyle w:val="Heading2"/>
      </w:pPr>
      <w:r>
        <w:rPr>
          <w:b/>
          <w:color w:val="0047AB"/>
        </w:rPr>
        <w:t>Top 10 Improvements — Ranked by Remaining Impact</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Rank</w:t>
            </w:r>
          </w:p>
        </w:tc>
        <w:tc>
          <w:tcPr>
            <w:tcW w:type="dxa" w:w="4320"/>
            <w:shd w:val="clear" w:color="auto" w:fill="0047AB"/>
          </w:tcPr>
          <w:p>
            <w:r>
              <w:rPr>
                <w:b/>
                <w:color w:val="FFFFFF"/>
                <w:sz w:val="20"/>
              </w:rPr>
              <w:t>Action</w:t>
            </w:r>
          </w:p>
        </w:tc>
        <w:tc>
          <w:tcPr>
            <w:tcW w:type="dxa" w:w="2304"/>
            <w:shd w:val="clear" w:color="auto" w:fill="0047AB"/>
          </w:tcPr>
          <w:p>
            <w:r>
              <w:rPr>
                <w:b/>
                <w:color w:val="FFFFFF"/>
                <w:sz w:val="20"/>
              </w:rPr>
              <w:t>Impact</w:t>
            </w:r>
          </w:p>
        </w:tc>
        <w:tc>
          <w:tcPr>
            <w:tcW w:type="dxa" w:w="1152"/>
            <w:shd w:val="clear" w:color="auto" w:fill="0047AB"/>
          </w:tcPr>
          <w:p>
            <w:r>
              <w:rPr>
                <w:b/>
                <w:color w:val="FFFFFF"/>
                <w:sz w:val="20"/>
              </w:rPr>
              <w:t>Effort</w:t>
            </w:r>
          </w:p>
        </w:tc>
      </w:tr>
      <w:tr>
        <w:tc>
          <w:tcPr>
            <w:tcW w:type="dxa" w:w="576"/>
          </w:tcPr>
          <w:p>
            <w:r>
              <w:rPr>
                <w:color w:val="333333"/>
                <w:sz w:val="19"/>
              </w:rPr>
              <w:t>1</w:t>
            </w:r>
          </w:p>
        </w:tc>
        <w:tc>
          <w:tcPr>
            <w:tcW w:type="dxa" w:w="4320"/>
          </w:tcPr>
          <w:p>
            <w:r>
              <w:rPr>
                <w:color w:val="333333"/>
                <w:sz w:val="19"/>
              </w:rPr>
              <w:t>Configure Databricks Job for weekly automated run (Monday 06:00 UTC)</w:t>
            </w:r>
          </w:p>
        </w:tc>
        <w:tc>
          <w:tcPr>
            <w:tcW w:type="dxa" w:w="2304"/>
          </w:tcPr>
          <w:p>
            <w:r>
              <w:rPr>
                <w:color w:val="333333"/>
                <w:sz w:val="19"/>
              </w:rPr>
              <w:t>CRITICAL — eliminates manual dependency</w:t>
            </w:r>
          </w:p>
        </w:tc>
        <w:tc>
          <w:tcPr>
            <w:tcW w:type="dxa" w:w="1152"/>
          </w:tcPr>
          <w:p>
            <w:r>
              <w:rPr>
                <w:color w:val="333333"/>
                <w:sz w:val="19"/>
              </w:rPr>
              <w:t>1-2 days</w:t>
            </w:r>
          </w:p>
        </w:tc>
      </w:tr>
      <w:tr>
        <w:tc>
          <w:tcPr>
            <w:tcW w:type="dxa" w:w="576"/>
          </w:tcPr>
          <w:p>
            <w:r>
              <w:rPr>
                <w:color w:val="333333"/>
                <w:sz w:val="19"/>
              </w:rPr>
              <w:t>2</w:t>
            </w:r>
          </w:p>
        </w:tc>
        <w:tc>
          <w:tcPr>
            <w:tcW w:type="dxa" w:w="4320"/>
          </w:tcPr>
          <w:p>
            <w:r>
              <w:rPr>
                <w:color w:val="333333"/>
                <w:sz w:val="19"/>
              </w:rPr>
              <w:t>Fix notebook_version from "V5" to "V8" in Cell 17</w:t>
            </w:r>
          </w:p>
        </w:tc>
        <w:tc>
          <w:tcPr>
            <w:tcW w:type="dxa" w:w="2304"/>
          </w:tcPr>
          <w:p>
            <w:r>
              <w:rPr>
                <w:color w:val="333333"/>
                <w:sz w:val="19"/>
              </w:rPr>
              <w:t>LOW effort, HIGH auditability value</w:t>
            </w:r>
          </w:p>
        </w:tc>
        <w:tc>
          <w:tcPr>
            <w:tcW w:type="dxa" w:w="1152"/>
          </w:tcPr>
          <w:p>
            <w:r>
              <w:rPr>
                <w:color w:val="333333"/>
                <w:sz w:val="19"/>
              </w:rPr>
              <w:t>1 min</w:t>
            </w:r>
          </w:p>
        </w:tc>
      </w:tr>
      <w:tr>
        <w:tc>
          <w:tcPr>
            <w:tcW w:type="dxa" w:w="576"/>
          </w:tcPr>
          <w:p>
            <w:r>
              <w:rPr>
                <w:color w:val="333333"/>
                <w:sz w:val="19"/>
              </w:rPr>
              <w:t>3</w:t>
            </w:r>
          </w:p>
        </w:tc>
        <w:tc>
          <w:tcPr>
            <w:tcW w:type="dxa" w:w="4320"/>
          </w:tcPr>
          <w:p>
            <w:r>
              <w:rPr>
                <w:color w:val="333333"/>
                <w:sz w:val="19"/>
              </w:rPr>
              <w:t>Extend MLflow tracking to MSTL, ETS, Prophet, DHR-ARIMA</w:t>
            </w:r>
          </w:p>
        </w:tc>
        <w:tc>
          <w:tcPr>
            <w:tcW w:type="dxa" w:w="2304"/>
          </w:tcPr>
          <w:p>
            <w:r>
              <w:rPr>
                <w:color w:val="333333"/>
                <w:sz w:val="19"/>
              </w:rPr>
              <w:t>Medium — complete experiment history</w:t>
            </w:r>
          </w:p>
        </w:tc>
        <w:tc>
          <w:tcPr>
            <w:tcW w:type="dxa" w:w="1152"/>
          </w:tcPr>
          <w:p>
            <w:r>
              <w:rPr>
                <w:color w:val="333333"/>
                <w:sz w:val="19"/>
              </w:rPr>
              <w:t>1-2 days</w:t>
            </w:r>
          </w:p>
        </w:tc>
      </w:tr>
      <w:tr>
        <w:tc>
          <w:tcPr>
            <w:tcW w:type="dxa" w:w="576"/>
          </w:tcPr>
          <w:p>
            <w:r>
              <w:rPr>
                <w:color w:val="333333"/>
                <w:sz w:val="19"/>
              </w:rPr>
              <w:t>4</w:t>
            </w:r>
          </w:p>
        </w:tc>
        <w:tc>
          <w:tcPr>
            <w:tcW w:type="dxa" w:w="4320"/>
          </w:tcPr>
          <w:p>
            <w:r>
              <w:rPr>
                <w:color w:val="333333"/>
                <w:sz w:val="19"/>
              </w:rPr>
              <w:t>Add SHAP explainability for LGB P50 model</w:t>
            </w:r>
          </w:p>
        </w:tc>
        <w:tc>
          <w:tcPr>
            <w:tcW w:type="dxa" w:w="2304"/>
          </w:tcPr>
          <w:p>
            <w:r>
              <w:rPr>
                <w:color w:val="333333"/>
                <w:sz w:val="19"/>
              </w:rPr>
              <w:t>Medium — exec trust, debugging aid</w:t>
            </w:r>
          </w:p>
        </w:tc>
        <w:tc>
          <w:tcPr>
            <w:tcW w:type="dxa" w:w="1152"/>
          </w:tcPr>
          <w:p>
            <w:r>
              <w:rPr>
                <w:color w:val="333333"/>
                <w:sz w:val="19"/>
              </w:rPr>
              <w:t>1 day</w:t>
            </w:r>
          </w:p>
        </w:tc>
      </w:tr>
      <w:tr>
        <w:tc>
          <w:tcPr>
            <w:tcW w:type="dxa" w:w="576"/>
          </w:tcPr>
          <w:p>
            <w:r>
              <w:rPr>
                <w:color w:val="333333"/>
                <w:sz w:val="19"/>
              </w:rPr>
              <w:t>5</w:t>
            </w:r>
          </w:p>
        </w:tc>
        <w:tc>
          <w:tcPr>
            <w:tcW w:type="dxa" w:w="4320"/>
          </w:tcPr>
          <w:p>
            <w:r>
              <w:rPr>
                <w:color w:val="333333"/>
                <w:sz w:val="19"/>
              </w:rPr>
              <w:t>Wire drift alert: monitoring_baseline threshold -&gt; Slack/DatabricksAlert</w:t>
            </w:r>
          </w:p>
        </w:tc>
        <w:tc>
          <w:tcPr>
            <w:tcW w:type="dxa" w:w="2304"/>
          </w:tcPr>
          <w:p>
            <w:r>
              <w:rPr>
                <w:color w:val="333333"/>
                <w:sz w:val="19"/>
              </w:rPr>
              <w:t>Medium — automated health monitoring</w:t>
            </w:r>
          </w:p>
        </w:tc>
        <w:tc>
          <w:tcPr>
            <w:tcW w:type="dxa" w:w="1152"/>
          </w:tcPr>
          <w:p>
            <w:r>
              <w:rPr>
                <w:color w:val="333333"/>
                <w:sz w:val="19"/>
              </w:rPr>
              <w:t>1-2 days</w:t>
            </w:r>
          </w:p>
        </w:tc>
      </w:tr>
      <w:tr>
        <w:tc>
          <w:tcPr>
            <w:tcW w:type="dxa" w:w="576"/>
          </w:tcPr>
          <w:p>
            <w:r>
              <w:rPr>
                <w:color w:val="333333"/>
                <w:sz w:val="19"/>
              </w:rPr>
              <w:t>6</w:t>
            </w:r>
          </w:p>
        </w:tc>
        <w:tc>
          <w:tcPr>
            <w:tcW w:type="dxa" w:w="4320"/>
          </w:tcPr>
          <w:p>
            <w:r>
              <w:rPr>
                <w:color w:val="333333"/>
                <w:sz w:val="19"/>
              </w:rPr>
              <w:t>Fix DHR Fourier index to calendar-based (sin/cos of week_of_year)</w:t>
            </w:r>
          </w:p>
        </w:tc>
        <w:tc>
          <w:tcPr>
            <w:tcW w:type="dxa" w:w="2304"/>
          </w:tcPr>
          <w:p>
            <w:r>
              <w:rPr>
                <w:color w:val="333333"/>
                <w:sz w:val="19"/>
              </w:rPr>
              <w:t>Low-Medium — correctness in CV folds</w:t>
            </w:r>
          </w:p>
        </w:tc>
        <w:tc>
          <w:tcPr>
            <w:tcW w:type="dxa" w:w="1152"/>
          </w:tcPr>
          <w:p>
            <w:r>
              <w:rPr>
                <w:color w:val="333333"/>
                <w:sz w:val="19"/>
              </w:rPr>
              <w:t>0.5 days</w:t>
            </w:r>
          </w:p>
        </w:tc>
      </w:tr>
      <w:tr>
        <w:tc>
          <w:tcPr>
            <w:tcW w:type="dxa" w:w="576"/>
          </w:tcPr>
          <w:p>
            <w:r>
              <w:rPr>
                <w:color w:val="333333"/>
                <w:sz w:val="19"/>
              </w:rPr>
              <w:t>7</w:t>
            </w:r>
          </w:p>
        </w:tc>
        <w:tc>
          <w:tcPr>
            <w:tcW w:type="dxa" w:w="4320"/>
          </w:tcPr>
          <w:p>
            <w:r>
              <w:rPr>
                <w:color w:val="333333"/>
                <w:sz w:val="19"/>
              </w:rPr>
              <w:t>Add EMEA/APAC/LATAM holiday calendars to LGB</w:t>
            </w:r>
          </w:p>
        </w:tc>
        <w:tc>
          <w:tcPr>
            <w:tcW w:type="dxa" w:w="2304"/>
          </w:tcPr>
          <w:p>
            <w:r>
              <w:rPr>
                <w:color w:val="333333"/>
                <w:sz w:val="19"/>
              </w:rPr>
              <w:t>Low — &lt;20% ARR in affected markets</w:t>
            </w:r>
          </w:p>
        </w:tc>
        <w:tc>
          <w:tcPr>
            <w:tcW w:type="dxa" w:w="1152"/>
          </w:tcPr>
          <w:p>
            <w:r>
              <w:rPr>
                <w:color w:val="333333"/>
                <w:sz w:val="19"/>
              </w:rPr>
              <w:t>1 day</w:t>
            </w:r>
          </w:p>
        </w:tc>
      </w:tr>
      <w:tr>
        <w:tc>
          <w:tcPr>
            <w:tcW w:type="dxa" w:w="576"/>
          </w:tcPr>
          <w:p>
            <w:r>
              <w:rPr>
                <w:color w:val="333333"/>
                <w:sz w:val="19"/>
              </w:rPr>
              <w:t>8</w:t>
            </w:r>
          </w:p>
        </w:tc>
        <w:tc>
          <w:tcPr>
            <w:tcW w:type="dxa" w:w="4320"/>
          </w:tcPr>
          <w:p>
            <w:r>
              <w:rPr>
                <w:color w:val="333333"/>
                <w:sz w:val="19"/>
              </w:rPr>
              <w:t>Add WoQ win_rate prediction model for future weeks 5-27</w:t>
            </w:r>
          </w:p>
        </w:tc>
        <w:tc>
          <w:tcPr>
            <w:tcW w:type="dxa" w:w="2304"/>
          </w:tcPr>
          <w:p>
            <w:r>
              <w:rPr>
                <w:color w:val="333333"/>
                <w:sz w:val="19"/>
              </w:rPr>
              <w:t>Medium — closes information gap</w:t>
            </w:r>
          </w:p>
        </w:tc>
        <w:tc>
          <w:tcPr>
            <w:tcW w:type="dxa" w:w="1152"/>
          </w:tcPr>
          <w:p>
            <w:r>
              <w:rPr>
                <w:color w:val="333333"/>
                <w:sz w:val="19"/>
              </w:rPr>
              <w:t>2-3 days</w:t>
            </w:r>
          </w:p>
        </w:tc>
      </w:tr>
      <w:tr>
        <w:tc>
          <w:tcPr>
            <w:tcW w:type="dxa" w:w="576"/>
          </w:tcPr>
          <w:p>
            <w:r>
              <w:rPr>
                <w:color w:val="333333"/>
                <w:sz w:val="19"/>
              </w:rPr>
              <w:t>9</w:t>
            </w:r>
          </w:p>
        </w:tc>
        <w:tc>
          <w:tcPr>
            <w:tcW w:type="dxa" w:w="4320"/>
          </w:tcPr>
          <w:p>
            <w:r>
              <w:rPr>
                <w:color w:val="333333"/>
                <w:sz w:val="19"/>
              </w:rPr>
              <w:t>Implement Databricks Feature Store for GLOBAL_FEATURE_COLS</w:t>
            </w:r>
          </w:p>
        </w:tc>
        <w:tc>
          <w:tcPr>
            <w:tcW w:type="dxa" w:w="2304"/>
          </w:tcPr>
          <w:p>
            <w:r>
              <w:rPr>
                <w:color w:val="333333"/>
                <w:sz w:val="19"/>
              </w:rPr>
              <w:t>Long-term — enables feature reuse</w:t>
            </w:r>
          </w:p>
        </w:tc>
        <w:tc>
          <w:tcPr>
            <w:tcW w:type="dxa" w:w="1152"/>
          </w:tcPr>
          <w:p>
            <w:r>
              <w:rPr>
                <w:color w:val="333333"/>
                <w:sz w:val="19"/>
              </w:rPr>
              <w:t>3-5 days</w:t>
            </w:r>
          </w:p>
        </w:tc>
      </w:tr>
      <w:tr>
        <w:tc>
          <w:tcPr>
            <w:tcW w:type="dxa" w:w="576"/>
          </w:tcPr>
          <w:p>
            <w:r>
              <w:rPr>
                <w:color w:val="333333"/>
                <w:sz w:val="19"/>
              </w:rPr>
              <w:t>10</w:t>
            </w:r>
          </w:p>
        </w:tc>
        <w:tc>
          <w:tcPr>
            <w:tcW w:type="dxa" w:w="4320"/>
          </w:tcPr>
          <w:p>
            <w:r>
              <w:rPr>
                <w:color w:val="333333"/>
                <w:sz w:val="19"/>
              </w:rPr>
              <w:t>Upgrade to conformal prediction intervals (coverage-guaranteed)</w:t>
            </w:r>
          </w:p>
        </w:tc>
        <w:tc>
          <w:tcPr>
            <w:tcW w:type="dxa" w:w="2304"/>
          </w:tcPr>
          <w:p>
            <w:r>
              <w:rPr>
                <w:color w:val="333333"/>
                <w:sz w:val="19"/>
              </w:rPr>
              <w:t>Low — current calibration is adequate</w:t>
            </w:r>
          </w:p>
        </w:tc>
        <w:tc>
          <w:tcPr>
            <w:tcW w:type="dxa" w:w="1152"/>
          </w:tcPr>
          <w:p>
            <w:r>
              <w:rPr>
                <w:color w:val="333333"/>
                <w:sz w:val="19"/>
              </w:rPr>
              <w:t>3-5 days</w:t>
            </w:r>
          </w:p>
        </w:tc>
      </w:tr>
    </w:tbl>
    <w:p/>
    <w:p>
      <w:pPr>
        <w:pStyle w:val="Heading2"/>
      </w:pPr>
      <w:r>
        <w:rPr>
          <w:b/>
          <w:color w:val="0047AB"/>
        </w:rPr>
        <w:t>Model Strategy Recommendation</w:t>
      </w:r>
    </w:p>
    <w:p>
      <w:pPr>
        <w:spacing w:after="120"/>
      </w:pPr>
      <w:r>
        <w:rPr>
          <w:b w:val="0"/>
          <w:i w:val="0"/>
          <w:color w:val="333333"/>
          <w:sz w:val="21"/>
        </w:rPr>
        <w:t>Keep all 5 production models. The GR covariance-optimal ensemble benefits from model diversity — each model captures a different aspect of the signal: MSTL captures multi-scale decomposition, ETS captures trend damping, Prophet captures structural trend breaks, DHR captures regressor-driven dynamics, and LGB captures non-linear feature interactions. Removing any model reduces ensemble diversity and increases single-model dependency risk.</w:t>
      </w:r>
    </w:p>
    <w:p>
      <w:pPr>
        <w:pStyle w:val="Heading2"/>
      </w:pPr>
      <w:r>
        <w:rPr>
          <w:b/>
          <w:color w:val="0047AB"/>
        </w:rPr>
        <w:t>Final Production Readiness Gate — V8</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0047AB"/>
          </w:tcPr>
          <w:p>
            <w:r>
              <w:rPr>
                <w:b/>
                <w:color w:val="FFFFFF"/>
                <w:sz w:val="20"/>
              </w:rPr>
              <w:t>Gate</w:t>
            </w:r>
          </w:p>
        </w:tc>
        <w:tc>
          <w:tcPr>
            <w:tcW w:type="dxa" w:w="1152"/>
            <w:shd w:val="clear" w:color="auto" w:fill="0047AB"/>
          </w:tcPr>
          <w:p>
            <w:r>
              <w:rPr>
                <w:b/>
                <w:color w:val="FFFFFF"/>
                <w:sz w:val="20"/>
              </w:rPr>
              <w:t>Status</w:t>
            </w:r>
          </w:p>
        </w:tc>
        <w:tc>
          <w:tcPr>
            <w:tcW w:type="dxa" w:w="5040"/>
            <w:shd w:val="clear" w:color="auto" w:fill="0047AB"/>
          </w:tcPr>
          <w:p>
            <w:r>
              <w:rPr>
                <w:b/>
                <w:color w:val="FFFFFF"/>
                <w:sz w:val="20"/>
              </w:rPr>
              <w:t>Notes</w:t>
            </w:r>
          </w:p>
        </w:tc>
      </w:tr>
      <w:tr>
        <w:tc>
          <w:tcPr>
            <w:tcW w:type="dxa" w:w="4320"/>
          </w:tcPr>
          <w:p>
            <w:r>
              <w:rPr>
                <w:color w:val="333333"/>
                <w:sz w:val="19"/>
              </w:rPr>
              <w:t>Dual Delta write (v5+v4)</w:t>
            </w:r>
          </w:p>
        </w:tc>
        <w:tc>
          <w:tcPr>
            <w:tcW w:type="dxa" w:w="1152"/>
          </w:tcPr>
          <w:p>
            <w:r>
              <w:rPr>
                <w:color w:val="333333"/>
                <w:sz w:val="19"/>
              </w:rPr>
              <w:t>PASS</w:t>
            </w:r>
          </w:p>
        </w:tc>
        <w:tc>
          <w:tcPr>
            <w:tcW w:type="dxa" w:w="5040"/>
          </w:tcPr>
          <w:p>
            <w:r>
              <w:rPr>
                <w:color w:val="333333"/>
                <w:sz w:val="19"/>
              </w:rPr>
              <w:t>Confirmed in Cell 15</w:t>
            </w:r>
          </w:p>
        </w:tc>
      </w:tr>
      <w:tr>
        <w:tc>
          <w:tcPr>
            <w:tcW w:type="dxa" w:w="4320"/>
          </w:tcPr>
          <w:p>
            <w:r>
              <w:rPr>
                <w:color w:val="333333"/>
                <w:sz w:val="19"/>
              </w:rPr>
              <w:t>Monitoring baseline persisted</w:t>
            </w:r>
          </w:p>
        </w:tc>
        <w:tc>
          <w:tcPr>
            <w:tcW w:type="dxa" w:w="1152"/>
          </w:tcPr>
          <w:p>
            <w:r>
              <w:rPr>
                <w:color w:val="333333"/>
                <w:sz w:val="19"/>
              </w:rPr>
              <w:t>PASS</w:t>
            </w:r>
          </w:p>
        </w:tc>
        <w:tc>
          <w:tcPr>
            <w:tcW w:type="dxa" w:w="5040"/>
          </w:tcPr>
          <w:p>
            <w:r>
              <w:rPr>
                <w:color w:val="333333"/>
                <w:sz w:val="19"/>
              </w:rPr>
              <w:t>Cell 17 — append+partitionBy+mergeSchema</w:t>
            </w:r>
          </w:p>
        </w:tc>
      </w:tr>
      <w:tr>
        <w:tc>
          <w:tcPr>
            <w:tcW w:type="dxa" w:w="4320"/>
          </w:tcPr>
          <w:p>
            <w:r>
              <w:rPr>
                <w:color w:val="333333"/>
                <w:sz w:val="19"/>
              </w:rPr>
              <w:t>Authoritative mc_actuals source</w:t>
            </w:r>
          </w:p>
        </w:tc>
        <w:tc>
          <w:tcPr>
            <w:tcW w:type="dxa" w:w="1152"/>
          </w:tcPr>
          <w:p>
            <w:r>
              <w:rPr>
                <w:color w:val="333333"/>
                <w:sz w:val="19"/>
              </w:rPr>
              <w:t>PASS</w:t>
            </w:r>
          </w:p>
        </w:tc>
        <w:tc>
          <w:tcPr>
            <w:tcW w:type="dxa" w:w="5040"/>
          </w:tcPr>
          <w:p>
            <w:r>
              <w:rPr>
                <w:color w:val="333333"/>
                <w:sz w:val="19"/>
              </w:rPr>
              <w:t>datagroup.uc_forecast.actuals WHERE version=ACTUALS</w:t>
            </w:r>
          </w:p>
        </w:tc>
      </w:tr>
      <w:tr>
        <w:tc>
          <w:tcPr>
            <w:tcW w:type="dxa" w:w="4320"/>
          </w:tcPr>
          <w:p>
            <w:r>
              <w:rPr>
                <w:color w:val="333333"/>
                <w:sz w:val="19"/>
              </w:rPr>
              <w:t>ETS multiplicative seasonal</w:t>
            </w:r>
          </w:p>
        </w:tc>
        <w:tc>
          <w:tcPr>
            <w:tcW w:type="dxa" w:w="1152"/>
          </w:tcPr>
          <w:p>
            <w:r>
              <w:rPr>
                <w:color w:val="333333"/>
                <w:sz w:val="19"/>
              </w:rPr>
              <w:t>PASS</w:t>
            </w:r>
          </w:p>
        </w:tc>
        <w:tc>
          <w:tcPr>
            <w:tcW w:type="dxa" w:w="5040"/>
          </w:tcPr>
          <w:p>
            <w:r>
              <w:rPr>
                <w:color w:val="333333"/>
                <w:sz w:val="19"/>
              </w:rPr>
              <w:t>seasonal="mul", periods=52 — V6+ fix confirmed</w:t>
            </w:r>
          </w:p>
        </w:tc>
      </w:tr>
      <w:tr>
        <w:tc>
          <w:tcPr>
            <w:tcW w:type="dxa" w:w="4320"/>
          </w:tcPr>
          <w:p>
            <w:r>
              <w:rPr>
                <w:color w:val="333333"/>
                <w:sz w:val="19"/>
              </w:rPr>
              <w:t>Prophet WoQ empirical profile</w:t>
            </w:r>
          </w:p>
        </w:tc>
        <w:tc>
          <w:tcPr>
            <w:tcW w:type="dxa" w:w="1152"/>
          </w:tcPr>
          <w:p>
            <w:r>
              <w:rPr>
                <w:color w:val="333333"/>
                <w:sz w:val="19"/>
              </w:rPr>
              <w:t>PASS</w:t>
            </w:r>
          </w:p>
        </w:tc>
        <w:tc>
          <w:tcPr>
            <w:tcW w:type="dxa" w:w="5040"/>
          </w:tcPr>
          <w:p>
            <w:r>
              <w:rPr>
                <w:color w:val="333333"/>
                <w:sz w:val="19"/>
              </w:rPr>
              <w:t>compute_woq_seasonal_profile() applied per fold</w:t>
            </w:r>
          </w:p>
        </w:tc>
      </w:tr>
      <w:tr>
        <w:tc>
          <w:tcPr>
            <w:tcW w:type="dxa" w:w="4320"/>
          </w:tcPr>
          <w:p>
            <w:r>
              <w:rPr>
                <w:color w:val="333333"/>
                <w:sz w:val="19"/>
              </w:rPr>
              <w:t>yoy_growth Inf guard</w:t>
            </w:r>
          </w:p>
        </w:tc>
        <w:tc>
          <w:tcPr>
            <w:tcW w:type="dxa" w:w="1152"/>
          </w:tcPr>
          <w:p>
            <w:r>
              <w:rPr>
                <w:color w:val="333333"/>
                <w:sz w:val="19"/>
              </w:rPr>
              <w:t>PASS</w:t>
            </w:r>
          </w:p>
        </w:tc>
        <w:tc>
          <w:tcPr>
            <w:tcW w:type="dxa" w:w="5040"/>
          </w:tcPr>
          <w:p>
            <w:r>
              <w:rPr>
                <w:color w:val="333333"/>
                <w:sz w:val="19"/>
              </w:rPr>
              <w:t>Clipped ratio with zero denominator protection</w:t>
            </w:r>
          </w:p>
        </w:tc>
      </w:tr>
      <w:tr>
        <w:tc>
          <w:tcPr>
            <w:tcW w:type="dxa" w:w="4320"/>
          </w:tcPr>
          <w:p>
            <w:r>
              <w:rPr>
                <w:color w:val="333333"/>
                <w:sz w:val="19"/>
              </w:rPr>
              <w:t>qoq_momentum normalized</w:t>
            </w:r>
          </w:p>
        </w:tc>
        <w:tc>
          <w:tcPr>
            <w:tcW w:type="dxa" w:w="1152"/>
          </w:tcPr>
          <w:p>
            <w:r>
              <w:rPr>
                <w:color w:val="333333"/>
                <w:sz w:val="19"/>
              </w:rPr>
              <w:t>PASS</w:t>
            </w:r>
          </w:p>
        </w:tc>
        <w:tc>
          <w:tcPr>
            <w:tcW w:type="dxa" w:w="5040"/>
          </w:tcPr>
          <w:p>
            <w:r>
              <w:rPr>
                <w:color w:val="333333"/>
                <w:sz w:val="19"/>
              </w:rPr>
              <w:t>Ratio-based [-3,3]</w:t>
            </w:r>
          </w:p>
        </w:tc>
      </w:tr>
      <w:tr>
        <w:tc>
          <w:tcPr>
            <w:tcW w:type="dxa" w:w="4320"/>
          </w:tcPr>
          <w:p>
            <w:r>
              <w:rPr>
                <w:color w:val="333333"/>
                <w:sz w:val="19"/>
              </w:rPr>
              <w:t>LGB quantile crossing guard</w:t>
            </w:r>
          </w:p>
        </w:tc>
        <w:tc>
          <w:tcPr>
            <w:tcW w:type="dxa" w:w="1152"/>
          </w:tcPr>
          <w:p>
            <w:r>
              <w:rPr>
                <w:color w:val="333333"/>
                <w:sz w:val="19"/>
              </w:rPr>
              <w:t>PASS</w:t>
            </w:r>
          </w:p>
        </w:tc>
        <w:tc>
          <w:tcPr>
            <w:tcW w:type="dxa" w:w="5040"/>
          </w:tcPr>
          <w:p>
            <w:r>
              <w:rPr>
                <w:color w:val="333333"/>
                <w:sz w:val="19"/>
              </w:rPr>
              <w:t>np.minimum/maximum enforced</w:t>
            </w:r>
          </w:p>
        </w:tc>
      </w:tr>
      <w:tr>
        <w:tc>
          <w:tcPr>
            <w:tcW w:type="dxa" w:w="4320"/>
          </w:tcPr>
          <w:p>
            <w:r>
              <w:rPr>
                <w:color w:val="333333"/>
                <w:sz w:val="19"/>
              </w:rPr>
              <w:t>Marketing feature cliff fix</w:t>
            </w:r>
          </w:p>
        </w:tc>
        <w:tc>
          <w:tcPr>
            <w:tcW w:type="dxa" w:w="1152"/>
          </w:tcPr>
          <w:p>
            <w:r>
              <w:rPr>
                <w:color w:val="333333"/>
                <w:sz w:val="19"/>
              </w:rPr>
              <w:t>PASS</w:t>
            </w:r>
          </w:p>
        </w:tc>
        <w:tc>
          <w:tcPr>
            <w:tcW w:type="dxa" w:w="5040"/>
          </w:tcPr>
          <w:p>
            <w:r>
              <w:rPr>
                <w:color w:val="333333"/>
                <w:sz w:val="19"/>
              </w:rPr>
              <w:t>ffill per slice_id in production source</w:t>
            </w:r>
          </w:p>
        </w:tc>
      </w:tr>
      <w:tr>
        <w:tc>
          <w:tcPr>
            <w:tcW w:type="dxa" w:w="4320"/>
          </w:tcPr>
          <w:p>
            <w:r>
              <w:rPr>
                <w:color w:val="333333"/>
                <w:sz w:val="19"/>
              </w:rPr>
              <w:t>LGB early stopping</w:t>
            </w:r>
          </w:p>
        </w:tc>
        <w:tc>
          <w:tcPr>
            <w:tcW w:type="dxa" w:w="1152"/>
          </w:tcPr>
          <w:p>
            <w:r>
              <w:rPr>
                <w:color w:val="333333"/>
                <w:sz w:val="19"/>
              </w:rPr>
              <w:t>PASS</w:t>
            </w:r>
          </w:p>
        </w:tc>
        <w:tc>
          <w:tcPr>
            <w:tcW w:type="dxa" w:w="5040"/>
          </w:tcPr>
          <w:p>
            <w:r>
              <w:rPr>
                <w:color w:val="333333"/>
                <w:sz w:val="19"/>
              </w:rPr>
              <w:t>stopping_rounds=75, num_boost_round=1500</w:t>
            </w:r>
          </w:p>
        </w:tc>
      </w:tr>
      <w:tr>
        <w:tc>
          <w:tcPr>
            <w:tcW w:type="dxa" w:w="4320"/>
          </w:tcPr>
          <w:p>
            <w:r>
              <w:rPr>
                <w:color w:val="333333"/>
                <w:sz w:val="19"/>
              </w:rPr>
              <w:t>MLflow tracking (LGB)</w:t>
            </w:r>
          </w:p>
        </w:tc>
        <w:tc>
          <w:tcPr>
            <w:tcW w:type="dxa" w:w="1152"/>
          </w:tcPr>
          <w:p>
            <w:r>
              <w:rPr>
                <w:color w:val="333333"/>
                <w:sz w:val="19"/>
              </w:rPr>
              <w:t>PASS</w:t>
            </w:r>
          </w:p>
        </w:tc>
        <w:tc>
          <w:tcPr>
            <w:tcW w:type="dxa" w:w="5040"/>
          </w:tcPr>
          <w:p>
            <w:r>
              <w:rPr>
                <w:color w:val="333333"/>
                <w:sz w:val="19"/>
              </w:rPr>
              <w:t>mlflow.start_run() confirmed</w:t>
            </w:r>
          </w:p>
        </w:tc>
      </w:tr>
      <w:tr>
        <w:tc>
          <w:tcPr>
            <w:tcW w:type="dxa" w:w="4320"/>
          </w:tcPr>
          <w:p>
            <w:r>
              <w:rPr>
                <w:color w:val="333333"/>
                <w:sz w:val="19"/>
              </w:rPr>
              <w:t>GR covariance-optimal ensemble</w:t>
            </w:r>
          </w:p>
        </w:tc>
        <w:tc>
          <w:tcPr>
            <w:tcW w:type="dxa" w:w="1152"/>
          </w:tcPr>
          <w:p>
            <w:r>
              <w:rPr>
                <w:color w:val="333333"/>
                <w:sz w:val="19"/>
              </w:rPr>
              <w:t>PASS</w:t>
            </w:r>
          </w:p>
        </w:tc>
        <w:tc>
          <w:tcPr>
            <w:tcW w:type="dxa" w:w="5040"/>
          </w:tcPr>
          <w:p>
            <w:r>
              <w:rPr>
                <w:color w:val="333333"/>
                <w:sz w:val="19"/>
              </w:rPr>
              <w:t>np.cov + pinv confirmed</w:t>
            </w:r>
          </w:p>
        </w:tc>
      </w:tr>
      <w:tr>
        <w:tc>
          <w:tcPr>
            <w:tcW w:type="dxa" w:w="4320"/>
          </w:tcPr>
          <w:p>
            <w:r>
              <w:rPr>
                <w:color w:val="333333"/>
                <w:sz w:val="19"/>
              </w:rPr>
              <w:t>MinT reconciliation</w:t>
            </w:r>
          </w:p>
        </w:tc>
        <w:tc>
          <w:tcPr>
            <w:tcW w:type="dxa" w:w="1152"/>
          </w:tcPr>
          <w:p>
            <w:r>
              <w:rPr>
                <w:color w:val="333333"/>
                <w:sz w:val="19"/>
              </w:rPr>
              <w:t>PASS</w:t>
            </w:r>
          </w:p>
        </w:tc>
        <w:tc>
          <w:tcPr>
            <w:tcW w:type="dxa" w:w="5040"/>
          </w:tcPr>
          <w:p>
            <w:r>
              <w:rPr>
                <w:color w:val="333333"/>
                <w:sz w:val="19"/>
              </w:rPr>
              <w:t>estimate_mint_covariances + coherent_allocate</w:t>
            </w:r>
          </w:p>
        </w:tc>
      </w:tr>
      <w:tr>
        <w:tc>
          <w:tcPr>
            <w:tcW w:type="dxa" w:w="4320"/>
          </w:tcPr>
          <w:p>
            <w:r>
              <w:rPr>
                <w:color w:val="333333"/>
                <w:sz w:val="19"/>
              </w:rPr>
              <w:t>Ensemble interval calibration</w:t>
            </w:r>
          </w:p>
        </w:tc>
        <w:tc>
          <w:tcPr>
            <w:tcW w:type="dxa" w:w="1152"/>
          </w:tcPr>
          <w:p>
            <w:r>
              <w:rPr>
                <w:color w:val="333333"/>
                <w:sz w:val="19"/>
              </w:rPr>
              <w:t>PASS</w:t>
            </w:r>
          </w:p>
        </w:tc>
        <w:tc>
          <w:tcPr>
            <w:tcW w:type="dxa" w:w="5040"/>
          </w:tcPr>
          <w:p>
            <w:r>
              <w:rPr>
                <w:color w:val="333333"/>
                <w:sz w:val="19"/>
              </w:rPr>
              <w:t>ensemble_interval_calibration() from holdout errors</w:t>
            </w:r>
          </w:p>
        </w:tc>
      </w:tr>
      <w:tr>
        <w:tc>
          <w:tcPr>
            <w:tcW w:type="dxa" w:w="4320"/>
          </w:tcPr>
          <w:p>
            <w:r>
              <w:rPr>
                <w:color w:val="333333"/>
                <w:sz w:val="19"/>
              </w:rPr>
              <w:t>win_rate_by_woq in DHR</w:t>
            </w:r>
          </w:p>
        </w:tc>
        <w:tc>
          <w:tcPr>
            <w:tcW w:type="dxa" w:w="1152"/>
          </w:tcPr>
          <w:p>
            <w:r>
              <w:rPr>
                <w:color w:val="333333"/>
                <w:sz w:val="19"/>
              </w:rPr>
              <w:t>PASS</w:t>
            </w:r>
          </w:p>
        </w:tc>
        <w:tc>
          <w:tcPr>
            <w:tcW w:type="dxa" w:w="5040"/>
          </w:tcPr>
          <w:p>
            <w:r>
              <w:rPr>
                <w:color w:val="333333"/>
                <w:sz w:val="19"/>
              </w:rPr>
              <w:t>DHR_XREG_COLS V8 addition</w:t>
            </w:r>
          </w:p>
        </w:tc>
      </w:tr>
      <w:tr>
        <w:tc>
          <w:tcPr>
            <w:tcW w:type="dxa" w:w="4320"/>
          </w:tcPr>
          <w:p>
            <w:r>
              <w:rPr>
                <w:color w:val="333333"/>
                <w:sz w:val="19"/>
              </w:rPr>
              <w:t>notebook_version metadata</w:t>
            </w:r>
          </w:p>
        </w:tc>
        <w:tc>
          <w:tcPr>
            <w:tcW w:type="dxa" w:w="1152"/>
          </w:tcPr>
          <w:p>
            <w:r>
              <w:rPr>
                <w:color w:val="333333"/>
                <w:sz w:val="19"/>
              </w:rPr>
              <w:t>FAIL</w:t>
            </w:r>
          </w:p>
        </w:tc>
        <w:tc>
          <w:tcPr>
            <w:tcW w:type="dxa" w:w="5040"/>
          </w:tcPr>
          <w:p>
            <w:r>
              <w:rPr>
                <w:color w:val="333333"/>
                <w:sz w:val="19"/>
              </w:rPr>
              <w:t>Still says V5 — fix in Cell 17</w:t>
            </w:r>
          </w:p>
        </w:tc>
      </w:tr>
      <w:tr>
        <w:tc>
          <w:tcPr>
            <w:tcW w:type="dxa" w:w="4320"/>
          </w:tcPr>
          <w:p>
            <w:r>
              <w:rPr>
                <w:color w:val="333333"/>
                <w:sz w:val="19"/>
              </w:rPr>
              <w:t>Databricks Job automation</w:t>
            </w:r>
          </w:p>
        </w:tc>
        <w:tc>
          <w:tcPr>
            <w:tcW w:type="dxa" w:w="1152"/>
          </w:tcPr>
          <w:p>
            <w:r>
              <w:rPr>
                <w:color w:val="333333"/>
                <w:sz w:val="19"/>
              </w:rPr>
              <w:t>OPEN</w:t>
            </w:r>
          </w:p>
        </w:tc>
        <w:tc>
          <w:tcPr>
            <w:tcW w:type="dxa" w:w="5040"/>
          </w:tcPr>
          <w:p>
            <w:r>
              <w:rPr>
                <w:color w:val="333333"/>
                <w:sz w:val="19"/>
              </w:rPr>
              <w:t>Not yet configured — operational gap</w:t>
            </w:r>
          </w:p>
        </w:tc>
      </w:tr>
      <w:tr>
        <w:tc>
          <w:tcPr>
            <w:tcW w:type="dxa" w:w="4320"/>
          </w:tcPr>
          <w:p>
            <w:r>
              <w:rPr>
                <w:color w:val="333333"/>
                <w:sz w:val="19"/>
              </w:rPr>
              <w:t>MLflow tracking (all models)</w:t>
            </w:r>
          </w:p>
        </w:tc>
        <w:tc>
          <w:tcPr>
            <w:tcW w:type="dxa" w:w="1152"/>
          </w:tcPr>
          <w:p>
            <w:r>
              <w:rPr>
                <w:color w:val="333333"/>
                <w:sz w:val="19"/>
              </w:rPr>
              <w:t>OPEN</w:t>
            </w:r>
          </w:p>
        </w:tc>
        <w:tc>
          <w:tcPr>
            <w:tcW w:type="dxa" w:w="5040"/>
          </w:tcPr>
          <w:p>
            <w:r>
              <w:rPr>
                <w:color w:val="333333"/>
                <w:sz w:val="19"/>
              </w:rPr>
              <w:t>Only LGB tracked — extend to MSTL/ETS/Prophet/DHR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