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1F4E79"/>
          <w:sz w:val="56"/>
          <w:szCs w:val="56"/>
        </w:rPr>
        <w:t xml:space="preserve">UCC Forecast Foundation V2</w:t>
      </w:r>
    </w:p>
    <w:p>
      <w:pPr>
        <w:spacing w:after="200" w:before="0"/>
        <w:jc w:val="center"/>
      </w:pPr>
      <w:r>
        <w:rPr>
          <w:rFonts w:ascii="Arial" w:cs="Arial" w:eastAsia="Arial" w:hAnsi="Arial"/>
          <w:b w:val="false"/>
          <w:bCs w:val="false"/>
          <w:color w:val="595959"/>
          <w:sz w:val="34"/>
          <w:szCs w:val="34"/>
        </w:rPr>
        <w:t xml:space="preserve">World-Class Expert Forecasting Review</w:t>
      </w:r>
    </w:p>
    <w:p>
      <w:pPr>
        <w:pBdr>
          <w:bottom w:val="single" w:color="2E74B5"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Notebook</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UCC Forecast Foundation (1).ipynb  — V2</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Review Date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July 1, 2026</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Analyst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Atlas AI / Senior Forecasting Expert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Data</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$207.70M UCC Growth ARR | 182 weeks | 2023-01-02→2026-06-22</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Models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MSTL v2, ETS, Prophet, DHR-ARIMA, Global LGB, N-HiTS, TFT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GPU</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NVIDIA A10G (CUDA) — N-HiTS 2.9M params, TFT 621K params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Production horizon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Q3 2026 (2026-07-06 → 2026-09-28, 13 weeks)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Prior review</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UCC Forecast Foundation (original) — Jun 30 2026</w:t>
            </w:r>
          </w:p>
        </w:tc>
      </w:tr>
    </w:tbl>
    <w:p>
      <w:pPr>
        <w:spacing w:after="300" w:before="0"/>
      </w:pPr>
    </w:p>
    <w:p>
      <w:pPr>
        <w:pStyle w:val="Heading1"/>
        <w:spacing w:after="160" w:before="320"/>
      </w:pPr>
      <w:r>
        <w:rPr>
          <w:rFonts w:ascii="Arial" w:cs="Arial" w:eastAsia="Arial" w:hAnsi="Arial"/>
          <w:b/>
          <w:bCs/>
          <w:color w:val="1F4E79"/>
          <w:sz w:val="32"/>
          <w:szCs w:val="32"/>
        </w:rPr>
        <w:t xml:space="preserve">1. Executive Summary</w:t>
      </w:r>
    </w:p>
    <w:p>
      <w:pPr>
        <w:spacing w:after="120" w:before="0"/>
      </w:pPr>
      <w:r>
        <w:rPr>
          <w:rFonts w:ascii="Arial" w:cs="Arial" w:eastAsia="Arial" w:hAnsi="Arial"/>
          <w:b/>
          <w:bCs/>
          <w:color w:val="1A1A1A"/>
          <w:sz w:val="22"/>
          <w:szCs w:val="22"/>
        </w:rPr>
        <w:t xml:space="preserve">V2 is a major step forward. </w:t>
      </w:r>
      <w:r>
        <w:rPr>
          <w:rFonts w:ascii="Arial" w:cs="Arial" w:eastAsia="Arial" w:hAnsi="Arial"/>
          <w:color w:val="1A1A1A"/>
          <w:sz w:val="22"/>
          <w:szCs w:val="22"/>
        </w:rPr>
        <w:t xml:space="preserve">The critical structural failures identified in V1 — broken cell order, duplicate cells, N-HiTS using the wrong loss function, discarded 2023 training history — have all been resolved. The notebook now runs end-to-end from data ingestion through production forecast generation in 17 clean, correctly ordered steps.</w:t>
      </w:r>
    </w:p>
    <w:p>
      <w:pPr>
        <w:spacing w:after="120" w:before="0"/>
      </w:pPr>
      <w:r>
        <w:rPr>
          <w:rFonts w:ascii="Arial" w:cs="Arial" w:eastAsia="Arial" w:hAnsi="Arial"/>
          <w:b/>
          <w:bCs/>
          <w:color w:val="1A1A1A"/>
          <w:sz w:val="22"/>
          <w:szCs w:val="22"/>
        </w:rPr>
        <w:t xml:space="preserve">Brian's validation confirms the approach is working: </w:t>
      </w:r>
      <w:r>
        <w:rPr>
          <w:rFonts w:ascii="Arial" w:cs="Arial" w:eastAsia="Arial" w:hAnsi="Arial"/>
          <w:color w:val="1A1A1A"/>
          <w:sz w:val="22"/>
          <w:szCs w:val="22"/>
        </w:rPr>
        <w:t xml:space="preserve">the Q2 2026 ensemble forecast of ~$14.5M was judged more accurate than Sona's standalone Prophet ($15.5M), and Q3/Q4 outlook was described as 'right around what I expect.' The weighted ensemble of LightGBM + MSTL + Prophet is already outperforming any single model.</w:t>
      </w:r>
    </w:p>
    <w:p>
      <w:pPr>
        <w:spacing w:after="120" w:before="0"/>
      </w:pPr>
      <w:r>
        <w:rPr>
          <w:rFonts w:ascii="Arial" w:cs="Arial" w:eastAsia="Arial" w:hAnsi="Arial"/>
          <w:b/>
          <w:bCs/>
          <w:color w:val="C00000"/>
          <w:sz w:val="22"/>
          <w:szCs w:val="22"/>
        </w:rPr>
        <w:t xml:space="preserve">Three gaps remain before this is fully production-grade: </w:t>
      </w:r>
      <w:r>
        <w:rPr>
          <w:rFonts w:ascii="Arial" w:cs="Arial" w:eastAsia="Arial" w:hAnsi="Arial"/>
          <w:color w:val="1A1A1A"/>
          <w:sz w:val="22"/>
          <w:szCs w:val="22"/>
        </w:rPr>
        <w:t xml:space="preserve">(1) N-HiTS and TFT are both hitting max_steps without early-stop convergence, meaning the neural models may be under-trained; (2) the reconciliation in Step 13 is OLS projection, not true MinT with error covariance weighting; (3) there is no production monitoring or drift detection.</w:t>
      </w:r>
    </w:p>
    <w:p>
      <w:pPr>
        <w:spacing w:after="120" w:before="0"/>
      </w:pPr>
      <w:r>
        <w:rPr>
          <w:rFonts w:ascii="Arial" w:cs="Arial" w:eastAsia="Arial" w:hAnsi="Arial"/>
          <w:b/>
          <w:bCs/>
          <w:color w:val="1A1A1A"/>
          <w:sz w:val="22"/>
          <w:szCs w:val="22"/>
        </w:rPr>
        <w:t xml:space="preserve">Expected accuracy after remaining fixes: </w:t>
      </w:r>
      <w:r>
        <w:rPr>
          <w:rFonts w:ascii="Arial" w:cs="Arial" w:eastAsia="Arial" w:hAnsi="Arial"/>
          <w:color w:val="1A1A1A"/>
          <w:sz w:val="22"/>
          <w:szCs w:val="22"/>
        </w:rPr>
        <w:t xml:space="preserve">9–12% WAPE at total UCC level, 12–18% at market-slice level. The current ensemble is likely already at ~13–15% WAPE — a significant improvement over V1's 16.2% best.</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2. V1→V2 Delta: What Changed</w:t>
      </w:r>
    </w:p>
    <w:p>
      <w:pPr>
        <w:pStyle w:val="Heading2"/>
        <w:spacing w:after="100" w:before="240"/>
      </w:pPr>
      <w:r>
        <w:rPr>
          <w:rFonts w:ascii="Arial" w:cs="Arial" w:eastAsia="Arial" w:hAnsi="Arial"/>
          <w:b/>
          <w:bCs/>
          <w:color w:val="2E74B5"/>
          <w:sz w:val="26"/>
          <w:szCs w:val="26"/>
        </w:rPr>
        <w:t xml:space="preserve">2.1  Issues Fixed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Model / Component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Assessment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Cell execution order</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FIXED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Steps 1–14 now run correctly top-to-bottom. NameError on model_df before data load is resolved.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Duplicate cells</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FIXED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Reduced from 19→17 cells. Cells 9 (old LGB), 10 (old N-HiTS), 16 (duplicate Step 1), 7 (duplicate quarterly chart) all removed.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N-HiTS loss function</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FIXED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MQLoss([0.10, 0.50, 0.90]) restored. Confirmed in run output: 'loss: MQLoss | 3'. P10/P50/P90 outputs active.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LGB history cutoff</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FIXED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GLOBAL_HISTORY_START changed to 2023-01-02. All 182 weeks now used for training (was 125 weeks in V1).</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ETS seasonality</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IMPROVED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seasonal_period=52 when 104+ training weeks available (was hardcoded 13). Annual cycle now captured.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prophet_ml_mc_scaled</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REMOVED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Potential look-ahead leakage feature removed from LGB feature set. Feature list is now 23 clean columns.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CI Coverage metric</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ADDED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ci_coverage() added to global_forecast_metrics(). Tracks % actuals inside [P10, P90]. Correct for quantile model evaluation.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Steps 13+14 production</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ADDED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Reconciliation helpers and production forward forecast (Q3 2026) fully implemented.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Adaptive ensemble weights</w:t>
            </w:r>
          </w:p>
        </w:tc>
        <w:tc>
          <w:tcPr>
            <w:tcW w:type="dxa" w:w="10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1"/>
                <w:szCs w:val="21"/>
              </w:rPr>
              <w:t xml:space="preserve">ADDED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Inverse-WAPE Bates-Granger weights computed from CV summary in Step 13. Theoretically sound.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TFT max_steps</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IMPROVED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Increased from 300→500. Still hits limit without converging (see remaining issues).</w:t>
            </w:r>
          </w:p>
        </w:tc>
      </w:tr>
    </w:tbl>
    <w:p>
      <w:pPr>
        <w:spacing w:after="160" w:before="0"/>
      </w:pPr>
    </w:p>
    <w:p>
      <w:pPr>
        <w:pStyle w:val="Heading2"/>
        <w:spacing w:after="100" w:before="240"/>
      </w:pPr>
      <w:r>
        <w:rPr>
          <w:rFonts w:ascii="Arial" w:cs="Arial" w:eastAsia="Arial" w:hAnsi="Arial"/>
          <w:b/>
          <w:bCs/>
          <w:color w:val="2E74B5"/>
          <w:sz w:val="26"/>
          <w:szCs w:val="26"/>
        </w:rPr>
        <w:t xml:space="preserve">2.2  Remaining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Model / Component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Assessment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N-HiTS convergence</w:t>
            </w:r>
          </w:p>
        </w:tc>
        <w:tc>
          <w:tcPr>
            <w:tcW w:type="dxa" w:w="10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1"/>
                <w:szCs w:val="21"/>
              </w:rPr>
              <w:t xml:space="preserve">NOT CONVERGED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'max_steps=400 reached' — early_stop_patience_steps=20 never triggered. Increase to 800+ or add val_size-based early stop.</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TFT convergence</w:t>
            </w:r>
          </w:p>
        </w:tc>
        <w:tc>
          <w:tcPr>
            <w:tcW w:type="dxa" w:w="10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1"/>
                <w:szCs w:val="21"/>
              </w:rPr>
              <w:t xml:space="preserve">NOT CONVERGED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'max_steps=500 reached' — same issue. TFT needs more steps given 5-market multi-series complexity.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Reconciliation (Step 13)</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OLS NOT MinT</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mint_ols_reconcile uses S(S'S)^{-1}S' projection. True MinT uses error covariance W: S(S'W^{-1}S)^{-1}S'W^{-1}ŷ. Currently ignores forecast error structure.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DHR-ARIMA scope</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TOTAL ONLY</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Still fits to aggregated UCC total. All other advanced models run by market. Inconsistent hierarchy prevents proper reconciliation for DHR-ARIMA slice outputs.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N-HiTS hist_exog</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MISSING</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 hist_exog_list. Pipeline velocity, win_rate_woq, push_ctr_lag1 should be historical covariates. TFT has these; N-HiTS does not.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TFT MLflow tracking</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UNCONFIRMED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mlflow imported but no explicit mlflow.start_run() block visible in Step 12. LGB in Step 10B logs correctly. TFT should match.</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Quantile crossing (LGB)</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UNGUARDED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Three independent LGB quantile models can produce P10 &gt; P50 or P50 &gt; P90. No post-processing crossing guard applied.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Production monitoring</w:t>
            </w:r>
          </w:p>
        </w:tc>
        <w:tc>
          <w:tcPr>
            <w:tcW w:type="dxa" w:w="10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1"/>
                <w:szCs w:val="21"/>
              </w:rPr>
              <w:t xml:space="preserve">MISSING</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 drift detection, no WAPE monitoring on new actuals, no automated retraining trigger.</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Attention weights (TFT)</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1"/>
                <w:szCs w:val="21"/>
              </w:rPr>
              <w:t xml:space="preserve">NOT EXTRACTED</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TFT attention scores over time available but not surfaced. Key for explainability to executives.</w:t>
            </w:r>
          </w:p>
        </w:tc>
      </w:tr>
    </w:tbl>
    <w:p>
      <w:pPr>
        <w:spacing w:after="80" w:before="0"/>
      </w:pPr>
    </w:p>
    <w:p>
      <w:r>
        <w:br w:type="page"/>
      </w:r>
    </w:p>
    <w:p>
      <w:pPr>
        <w:pStyle w:val="Heading1"/>
        <w:spacing w:after="160" w:before="320"/>
      </w:pPr>
      <w:r>
        <w:rPr>
          <w:rFonts w:ascii="Arial" w:cs="Arial" w:eastAsia="Arial" w:hAnsi="Arial"/>
          <w:b/>
          <w:bCs/>
          <w:color w:val="1F4E79"/>
          <w:sz w:val="32"/>
          <w:szCs w:val="32"/>
        </w:rPr>
        <w:t xml:space="preserve">3. Overall Forecasting Architecture</w:t>
      </w:r>
    </w:p>
    <w:p>
      <w:pPr>
        <w:pStyle w:val="Heading2"/>
        <w:spacing w:after="100" w:before="240"/>
      </w:pPr>
      <w:r>
        <w:rPr>
          <w:rFonts w:ascii="Arial" w:cs="Arial" w:eastAsia="Arial" w:hAnsi="Arial"/>
          <w:b/>
          <w:bCs/>
          <w:color w:val="2E74B5"/>
          <w:sz w:val="26"/>
          <w:szCs w:val="26"/>
        </w:rPr>
        <w:t xml:space="preserve">3.1  Strengths</w:t>
      </w:r>
    </w:p>
    <w:p>
      <w:pPr>
        <w:pStyle w:val="ListParagraph"/>
        <w:numPr>
          <w:ilvl w:val="0"/>
          <w:numId w:val="2"/>
        </w:numPr>
        <w:spacing w:after="60" w:before="0"/>
      </w:pPr>
      <w:r>
        <w:rPr>
          <w:rFonts w:ascii="Arial" w:cs="Arial" w:eastAsia="Arial" w:hAnsi="Arial"/>
          <w:b/>
          <w:bCs/>
          <w:color w:val="1A1A1A"/>
          <w:sz w:val="22"/>
          <w:szCs w:val="22"/>
        </w:rPr>
        <w:t xml:space="preserve">Multi-model ensemble design: </w:t>
      </w:r>
      <w:r>
        <w:rPr>
          <w:rFonts w:ascii="Arial" w:cs="Arial" w:eastAsia="Arial" w:hAnsi="Arial"/>
          <w:color w:val="1A1A1A"/>
          <w:sz w:val="22"/>
          <w:szCs w:val="22"/>
        </w:rPr>
        <w:t xml:space="preserve">6 models spanning statistical (MSTL, ETS, DHR-ARIMA), ML (Global LGB), and deep learning (N-HiTS, TFT). Each model class captures different aspects of the signal — this is elite-level architecture.</w:t>
      </w:r>
    </w:p>
    <w:p>
      <w:pPr>
        <w:pStyle w:val="ListParagraph"/>
        <w:numPr>
          <w:ilvl w:val="0"/>
          <w:numId w:val="2"/>
        </w:numPr>
        <w:spacing w:after="60" w:before="0"/>
      </w:pPr>
      <w:r>
        <w:rPr>
          <w:rFonts w:ascii="Arial" w:cs="Arial" w:eastAsia="Arial" w:hAnsi="Arial"/>
          <w:b/>
          <w:bCs/>
          <w:color w:val="1A1A1A"/>
          <w:sz w:val="22"/>
          <w:szCs w:val="22"/>
        </w:rPr>
        <w:t xml:space="preserve">Walk-forward CV (8 × 13 weeks): </w:t>
      </w:r>
      <w:r>
        <w:rPr>
          <w:rFonts w:ascii="Arial" w:cs="Arial" w:eastAsia="Arial" w:hAnsi="Arial"/>
          <w:color w:val="1A1A1A"/>
          <w:sz w:val="22"/>
          <w:szCs w:val="22"/>
        </w:rPr>
        <w:t xml:space="preserve">expanding window backtesting is the gold standard for time series. The implementation correctly avoids look-ahead by computing features only within each fold's training window.</w:t>
      </w:r>
    </w:p>
    <w:p>
      <w:pPr>
        <w:pStyle w:val="ListParagraph"/>
        <w:numPr>
          <w:ilvl w:val="0"/>
          <w:numId w:val="2"/>
        </w:numPr>
        <w:spacing w:after="60" w:before="0"/>
      </w:pPr>
      <w:r>
        <w:rPr>
          <w:rFonts w:ascii="Arial" w:cs="Arial" w:eastAsia="Arial" w:hAnsi="Arial"/>
          <w:b/>
          <w:bCs/>
          <w:color w:val="1A1A1A"/>
          <w:sz w:val="22"/>
          <w:szCs w:val="22"/>
        </w:rPr>
        <w:t xml:space="preserve">Probabilistic output (P10/P50/P90): </w:t>
      </w:r>
      <w:r>
        <w:rPr>
          <w:rFonts w:ascii="Arial" w:cs="Arial" w:eastAsia="Arial" w:hAnsi="Arial"/>
          <w:color w:val="1A1A1A"/>
          <w:sz w:val="22"/>
          <w:szCs w:val="22"/>
        </w:rPr>
        <w:t xml:space="preserve">quantile forecasts from LGB, N-HiTS, and TFT enable risk-adjusted planning. This is what separates production forecasting from point-estimate toy models.</w:t>
      </w:r>
    </w:p>
    <w:p>
      <w:pPr>
        <w:pStyle w:val="ListParagraph"/>
        <w:numPr>
          <w:ilvl w:val="0"/>
          <w:numId w:val="2"/>
        </w:numPr>
        <w:spacing w:after="60" w:before="0"/>
      </w:pPr>
      <w:r>
        <w:rPr>
          <w:rFonts w:ascii="Arial" w:cs="Arial" w:eastAsia="Arial" w:hAnsi="Arial"/>
          <w:b/>
          <w:bCs/>
          <w:color w:val="1A1A1A"/>
          <w:sz w:val="22"/>
          <w:szCs w:val="22"/>
        </w:rPr>
        <w:t xml:space="preserve">Data quality guardrails (Step 3): </w:t>
      </w:r>
      <w:r>
        <w:rPr>
          <w:rFonts w:ascii="Arial" w:cs="Arial" w:eastAsia="Arial" w:hAnsi="Arial"/>
          <w:color w:val="1A1A1A"/>
          <w:sz w:val="22"/>
          <w:szCs w:val="22"/>
        </w:rPr>
        <w:t xml:space="preserve">explicit leakage list (LEAKY_OR_UNUSABLE_COLS), 7-feature baseline, and exclusion of created_open_pipeline (zero throughout) show disciplined feature discipline.</w:t>
      </w:r>
    </w:p>
    <w:p>
      <w:pPr>
        <w:pStyle w:val="ListParagraph"/>
        <w:numPr>
          <w:ilvl w:val="0"/>
          <w:numId w:val="2"/>
        </w:numPr>
        <w:spacing w:after="60" w:before="0"/>
      </w:pPr>
      <w:r>
        <w:rPr>
          <w:rFonts w:ascii="Arial" w:cs="Arial" w:eastAsia="Arial" w:hAnsi="Arial"/>
          <w:b/>
          <w:bCs/>
          <w:color w:val="1A1A1A"/>
          <w:sz w:val="22"/>
          <w:szCs w:val="22"/>
        </w:rPr>
        <w:t xml:space="preserve">GPU utilization: </w:t>
      </w:r>
      <w:r>
        <w:rPr>
          <w:rFonts w:ascii="Arial" w:cs="Arial" w:eastAsia="Arial" w:hAnsi="Arial"/>
          <w:color w:val="1A1A1A"/>
          <w:sz w:val="22"/>
          <w:szCs w:val="22"/>
        </w:rPr>
        <w:t xml:space="preserve">NVIDIA A10G with CUDA. N-HiTS (2.9M params) and TFT (621K params) both training on GPU is correct and necessary for reasonable training times.</w:t>
      </w:r>
    </w:p>
    <w:p>
      <w:pPr>
        <w:pStyle w:val="ListParagraph"/>
        <w:numPr>
          <w:ilvl w:val="0"/>
          <w:numId w:val="2"/>
        </w:numPr>
        <w:spacing w:after="60" w:before="0"/>
      </w:pPr>
      <w:r>
        <w:rPr>
          <w:rFonts w:ascii="Arial" w:cs="Arial" w:eastAsia="Arial" w:hAnsi="Arial"/>
          <w:b/>
          <w:bCs/>
          <w:color w:val="1A1A1A"/>
          <w:sz w:val="22"/>
          <w:szCs w:val="22"/>
        </w:rPr>
        <w:t xml:space="preserve">MLflow experiment tracking (LGB): </w:t>
      </w:r>
      <w:r>
        <w:rPr>
          <w:rFonts w:ascii="Arial" w:cs="Arial" w:eastAsia="Arial" w:hAnsi="Arial"/>
          <w:color w:val="1A1A1A"/>
          <w:sz w:val="22"/>
          <w:szCs w:val="22"/>
        </w:rPr>
        <w:t xml:space="preserve">parameters and metrics logged. Creates auditability and reproducibility for the most important model.</w:t>
      </w:r>
    </w:p>
    <w:p>
      <w:pPr>
        <w:pStyle w:val="ListParagraph"/>
        <w:numPr>
          <w:ilvl w:val="0"/>
          <w:numId w:val="2"/>
        </w:numPr>
        <w:spacing w:after="60" w:before="0"/>
      </w:pPr>
      <w:r>
        <w:rPr>
          <w:rFonts w:ascii="Arial" w:cs="Arial" w:eastAsia="Arial" w:hAnsi="Arial"/>
          <w:b/>
          <w:bCs/>
          <w:color w:val="1A1A1A"/>
          <w:sz w:val="22"/>
          <w:szCs w:val="22"/>
        </w:rPr>
        <w:t xml:space="preserve">Production-ready output (Step 14): </w:t>
      </w:r>
      <w:r>
        <w:rPr>
          <w:rFonts w:ascii="Arial" w:cs="Arial" w:eastAsia="Arial" w:hAnsi="Arial"/>
          <w:color w:val="1A1A1A"/>
          <w:sz w:val="22"/>
          <w:szCs w:val="22"/>
        </w:rPr>
        <w:t xml:space="preserve">Q3 2026 forward forecast generated across all 6 models with market-level allocation. This is production-grade, not just research code.</w:t>
      </w:r>
    </w:p>
    <w:p>
      <w:pPr>
        <w:spacing w:after="100" w:before="0"/>
      </w:pPr>
    </w:p>
    <w:p>
      <w:pPr>
        <w:pStyle w:val="Heading2"/>
        <w:spacing w:after="100" w:before="240"/>
      </w:pPr>
      <w:r>
        <w:rPr>
          <w:rFonts w:ascii="Arial" w:cs="Arial" w:eastAsia="Arial" w:hAnsi="Arial"/>
          <w:b/>
          <w:bCs/>
          <w:color w:val="2E74B5"/>
          <w:sz w:val="26"/>
          <w:szCs w:val="26"/>
        </w:rPr>
        <w:t xml:space="preserve">3.2  Architecture Risks</w:t>
      </w:r>
    </w:p>
    <w:p>
      <w:pPr>
        <w:pStyle w:val="ListParagraph"/>
        <w:numPr>
          <w:ilvl w:val="0"/>
          <w:numId w:val="2"/>
        </w:numPr>
        <w:spacing w:after="60" w:before="0"/>
      </w:pPr>
      <w:r>
        <w:rPr>
          <w:rFonts w:ascii="Arial" w:cs="Arial" w:eastAsia="Arial" w:hAnsi="Arial"/>
          <w:b/>
          <w:bCs/>
          <w:color w:val="1A1A1A"/>
          <w:sz w:val="22"/>
          <w:szCs w:val="22"/>
        </w:rPr>
        <w:t xml:space="preserve">No automated retraining: </w:t>
      </w:r>
      <w:r>
        <w:rPr>
          <w:rFonts w:ascii="Arial" w:cs="Arial" w:eastAsia="Arial" w:hAnsi="Arial"/>
          <w:color w:val="1A1A1A"/>
          <w:sz w:val="22"/>
          <w:szCs w:val="22"/>
        </w:rPr>
        <w:t xml:space="preserve">the notebook runs manually. As new weeks close, the model needs to be re-run. Without an automated trigger (Databricks Jobs, Delta Live Tables, or a cron schedule), the forecast will become stale within 2–3 weeks.</w:t>
      </w:r>
    </w:p>
    <w:p>
      <w:pPr>
        <w:pStyle w:val="ListParagraph"/>
        <w:numPr>
          <w:ilvl w:val="0"/>
          <w:numId w:val="2"/>
        </w:numPr>
        <w:spacing w:after="60" w:before="0"/>
      </w:pPr>
      <w:r>
        <w:rPr>
          <w:rFonts w:ascii="Arial" w:cs="Arial" w:eastAsia="Arial" w:hAnsi="Arial"/>
          <w:b/>
          <w:bCs/>
          <w:color w:val="1A1A1A"/>
          <w:sz w:val="22"/>
          <w:szCs w:val="22"/>
        </w:rPr>
        <w:t xml:space="preserve">No monitoring layer: </w:t>
      </w:r>
      <w:r>
        <w:rPr>
          <w:rFonts w:ascii="Arial" w:cs="Arial" w:eastAsia="Arial" w:hAnsi="Arial"/>
          <w:color w:val="1A1A1A"/>
          <w:sz w:val="22"/>
          <w:szCs w:val="22"/>
        </w:rPr>
        <w:t xml:space="preserve">once deployed, there is no mechanism to detect if WAPE is degrading, if a new structural break occurred (e.g., product pricing change, macro shock), or if feature distributions are shifting.</w:t>
      </w:r>
    </w:p>
    <w:p>
      <w:pPr>
        <w:pStyle w:val="ListParagraph"/>
        <w:numPr>
          <w:ilvl w:val="0"/>
          <w:numId w:val="2"/>
        </w:numPr>
        <w:spacing w:after="60" w:before="0"/>
      </w:pPr>
      <w:r>
        <w:rPr>
          <w:rFonts w:ascii="Arial" w:cs="Arial" w:eastAsia="Arial" w:hAnsi="Arial"/>
          <w:b/>
          <w:bCs/>
          <w:color w:val="1A1A1A"/>
          <w:sz w:val="22"/>
          <w:szCs w:val="22"/>
        </w:rPr>
        <w:t xml:space="preserve">Single-notebook monolith: </w:t>
      </w:r>
      <w:r>
        <w:rPr>
          <w:rFonts w:ascii="Arial" w:cs="Arial" w:eastAsia="Arial" w:hAnsi="Arial"/>
          <w:color w:val="1A1A1A"/>
          <w:sz w:val="22"/>
          <w:szCs w:val="22"/>
        </w:rPr>
        <w:t xml:space="preserve">all 14 steps in one notebook. For production, Steps 1–3 (data) should be a Delta Live Tables pipeline, Steps 4–12 (training) should be parameterized jobs, and Steps 13–14 (inference) should be a separate serving notebook. The current design will hit timeout limits for a full retraining run.</w:t>
      </w:r>
    </w:p>
    <w:p>
      <w:pPr>
        <w:pStyle w:val="ListParagraph"/>
        <w:numPr>
          <w:ilvl w:val="0"/>
          <w:numId w:val="2"/>
        </w:numPr>
        <w:spacing w:after="60" w:before="0"/>
      </w:pPr>
      <w:r>
        <w:rPr>
          <w:rFonts w:ascii="Arial" w:cs="Arial" w:eastAsia="Arial" w:hAnsi="Arial"/>
          <w:b/>
          <w:bCs/>
          <w:color w:val="1A1A1A"/>
          <w:sz w:val="22"/>
          <w:szCs w:val="22"/>
        </w:rPr>
        <w:t xml:space="preserve">No feature store: </w:t>
      </w:r>
      <w:r>
        <w:rPr>
          <w:rFonts w:ascii="Arial" w:cs="Arial" w:eastAsia="Arial" w:hAnsi="Arial"/>
          <w:color w:val="1A1A1A"/>
          <w:sz w:val="22"/>
          <w:szCs w:val="22"/>
        </w:rPr>
        <w:t xml:space="preserve">lag features, rolling averages, pipeline velocity, and headcount are re-computed on every run. A Delta feature store would make these reusable across models and reduce pipeline latency by 60–80%.</w:t>
      </w:r>
    </w:p>
    <w:p>
      <w:pPr>
        <w:pStyle w:val="ListParagraph"/>
        <w:numPr>
          <w:ilvl w:val="0"/>
          <w:numId w:val="2"/>
        </w:numPr>
        <w:spacing w:after="60" w:before="0"/>
      </w:pPr>
      <w:r>
        <w:rPr>
          <w:rFonts w:ascii="Arial" w:cs="Arial" w:eastAsia="Arial" w:hAnsi="Arial"/>
          <w:b/>
          <w:bCs/>
          <w:color w:val="1A1A1A"/>
          <w:sz w:val="22"/>
          <w:szCs w:val="22"/>
        </w:rPr>
        <w:t xml:space="preserve">Spark query duplication: </w:t>
      </w:r>
      <w:r>
        <w:rPr>
          <w:rFonts w:ascii="Arial" w:cs="Arial" w:eastAsia="Arial" w:hAnsi="Arial"/>
          <w:color w:val="1A1A1A"/>
          <w:sz w:val="22"/>
          <w:szCs w:val="22"/>
        </w:rPr>
        <w:t xml:space="preserve">Steps 10B (LGB) and 12 (TFT) both query forecast_prophet independently. This should be materialized once as a Delta table or passed as a cached DataFrame.</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4. Model-by-Model Deep Dive</w:t>
      </w:r>
    </w:p>
    <w:p>
      <w:pPr>
        <w:pStyle w:val="Heading2"/>
        <w:spacing w:after="100" w:before="240"/>
      </w:pPr>
      <w:r>
        <w:rPr>
          <w:rFonts w:ascii="Arial" w:cs="Arial" w:eastAsia="Arial" w:hAnsi="Arial"/>
          <w:b/>
          <w:bCs/>
          <w:color w:val="2E74B5"/>
          <w:sz w:val="26"/>
          <w:szCs w:val="26"/>
        </w:rPr>
        <w:t xml:space="preserve">4.1  MSTL v2 — Multi-Seasonal Trend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Library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statsforecast.models.MSTL</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Season lengths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[4, 13, 52] — monthly, quarterly, annual</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Trend forecaster</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AutoETS(model='ZZN') — multiplicative trend, no seasonal in ETS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s_window</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package_default (tuning tried but default won)</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Frequency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W-MON</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CV verdict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Best or near-best statistical model based on V1/V2 benchmarks</w:t>
            </w:r>
          </w:p>
        </w:tc>
      </w:tr>
    </w:tbl>
    <w:p>
      <w:pPr>
        <w:spacing w:after="80" w:before="8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STL decomposes the weekly ARR series into seasonal components at 3 periods (4, 13, 52 weeks), then fits AutoETS to the trend remainder. This correctly separates the monthly quota-close rhythm, the quarterly ARR pattern, and the annual booking cycle.</w:t>
      </w:r>
    </w:p>
    <w:p>
      <w:pPr>
        <w:spacing w:after="120" w:before="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handles multiple seasonality periods simultaneously — something ARIMA and single-period ETS cannot do. AutoETS(ZZN) lets statsforecast optimize error/trend type while excluding a seasonal component from ETS (seasonality is handled by STL). The 52-week period correctly identifies annual GoTo product cycles.</w:t>
      </w:r>
    </w:p>
    <w:p>
      <w:pPr>
        <w:spacing w:after="120" w:before="0"/>
      </w:pPr>
      <w:r>
        <w:rPr>
          <w:rFonts w:ascii="Arial" w:cs="Arial" w:eastAsia="Arial" w:hAnsi="Arial"/>
          <w:b/>
          <w:bCs/>
          <w:color w:val="1A1A1A"/>
          <w:sz w:val="22"/>
          <w:szCs w:val="22"/>
        </w:rPr>
        <w:t xml:space="preserve">Weaknesses and fixes: </w:t>
      </w:r>
    </w:p>
    <w:p>
      <w:pPr>
        <w:pStyle w:val="ListParagraph"/>
        <w:numPr>
          <w:ilvl w:val="0"/>
          <w:numId w:val="2"/>
        </w:numPr>
        <w:spacing w:after="60" w:before="0"/>
      </w:pPr>
      <w:r>
        <w:rPr>
          <w:rFonts w:ascii="Arial" w:cs="Arial" w:eastAsia="Arial" w:hAnsi="Arial"/>
          <w:color w:val="1A1A1A"/>
          <w:sz w:val="22"/>
          <w:szCs w:val="22"/>
        </w:rPr>
        <w:t xml:space="preserve">s_window='package_default' means LOESS bandwidth is auto-set. For ARR with sharp quarter-end spikes, a smaller s_window (e.g., 7 or 11) would follow the seasonal pattern more tightly. The tuning loop ran but chose default — this may be because the CV window is too short to distinguish smoothing widths. Try s_window=7 explicitly and compare quarterly WAPE.</w:t>
      </w:r>
    </w:p>
    <w:p>
      <w:pPr>
        <w:pStyle w:val="ListParagraph"/>
        <w:numPr>
          <w:ilvl w:val="0"/>
          <w:numId w:val="2"/>
        </w:numPr>
        <w:spacing w:after="60" w:before="0"/>
      </w:pPr>
      <w:r>
        <w:rPr>
          <w:rFonts w:ascii="Arial" w:cs="Arial" w:eastAsia="Arial" w:hAnsi="Arial"/>
          <w:color w:val="1A1A1A"/>
          <w:sz w:val="22"/>
          <w:szCs w:val="22"/>
        </w:rPr>
        <w:t xml:space="preserve">No external regressors. MSTL is a pure time series model. Adding headcount_lag4 or pipeline_velocity_lag4 as covariates via MSTL+ARIMA is not supported in statsforecast. This is fine — let LGB and TFT handle the regressor-driven signal.</w:t>
      </w:r>
    </w:p>
    <w:p>
      <w:pPr>
        <w:pStyle w:val="ListParagraph"/>
        <w:numPr>
          <w:ilvl w:val="0"/>
          <w:numId w:val="2"/>
        </w:numPr>
        <w:spacing w:after="60" w:before="0"/>
      </w:pPr>
      <w:r>
        <w:rPr>
          <w:rFonts w:ascii="Arial" w:cs="Arial" w:eastAsia="Arial" w:hAnsi="Arial"/>
          <w:color w:val="1A1A1A"/>
          <w:sz w:val="22"/>
          <w:szCs w:val="22"/>
        </w:rPr>
        <w:t xml:space="preserve">MSTL assumes additive seasonality in the STL layer. UCC ARR may have multiplicative seasonality (Q4 is not just +$X over baseline; it's +X% of the current level). Test MSTL with log-transformed target (fit on log(y), exponentiate forecast) as an alternative.</w:t>
      </w:r>
    </w:p>
    <w:p>
      <w:pPr>
        <w:spacing w:after="100" w:before="0"/>
      </w:pPr>
    </w:p>
    <w:p>
      <w:pPr>
        <w:pStyle w:val="Heading2"/>
        <w:spacing w:after="100" w:before="240"/>
      </w:pPr>
      <w:r>
        <w:rPr>
          <w:rFonts w:ascii="Arial" w:cs="Arial" w:eastAsia="Arial" w:hAnsi="Arial"/>
          <w:b/>
          <w:bCs/>
          <w:color w:val="2E74B5"/>
          <w:sz w:val="26"/>
          <w:szCs w:val="26"/>
        </w:rPr>
        <w:t xml:space="preserve">4.2  ETS — Exponential Smoothing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Library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statsmodels.tsa.holtwinters.ExponentialSmoothing</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Trend</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Additive, damped (correct for long-range ARR)</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Seasonal</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Multiplicative, seasonal_period=52 (dynamic: 52 if 104+ weeks, else 13)</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Window</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Last 104 weeks (2 years)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Innovation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Dynamic seasonal_period selection added in V2</w:t>
            </w:r>
          </w:p>
        </w:tc>
      </w:tr>
    </w:tbl>
    <w:p>
      <w:pPr>
        <w:spacing w:after="120" w:before="0"/>
      </w:pPr>
      <w:r>
        <w:rPr>
          <w:rFonts w:ascii="Arial" w:cs="Arial" w:eastAsia="Arial" w:hAnsi="Arial"/>
          <w:b/>
          <w:bCs/>
          <w:color w:val="1A1A1A"/>
          <w:sz w:val="22"/>
          <w:szCs w:val="22"/>
        </w:rPr>
        <w:t xml:space="preserve">Strengths: </w:t>
      </w:r>
      <w:r>
        <w:rPr>
          <w:rFonts w:ascii="Arial" w:cs="Arial" w:eastAsia="Arial" w:hAnsi="Arial"/>
          <w:color w:val="1A1A1A"/>
          <w:sz w:val="22"/>
          <w:szCs w:val="22"/>
        </w:rPr>
        <w:t xml:space="preserve">damped additive trend prevents the explosive extrapolation that destroyed V1 Prophet. Multiplicative seasonality correctly scales seasonal amplitude with the level. Dynamic period selection (52 vs 13) is a smart adaptation to the expanding training window.</w:t>
      </w:r>
    </w:p>
    <w:p>
      <w:pPr>
        <w:spacing w:after="120" w:before="0"/>
      </w:pPr>
      <w:r>
        <w:rPr>
          <w:rFonts w:ascii="Arial" w:cs="Arial" w:eastAsia="Arial" w:hAnsi="Arial"/>
          <w:b/>
          <w:bCs/>
          <w:color w:val="1A1A1A"/>
          <w:sz w:val="22"/>
          <w:szCs w:val="22"/>
        </w:rPr>
        <w:t xml:space="preserve">Remaining gap: </w:t>
      </w:r>
      <w:r>
        <w:rPr>
          <w:rFonts w:ascii="Arial" w:cs="Arial" w:eastAsia="Arial" w:hAnsi="Arial"/>
          <w:color w:val="1A1A1A"/>
          <w:sz w:val="22"/>
          <w:szCs w:val="22"/>
        </w:rPr>
        <w:t xml:space="preserve">ETS still captures only one seasonality period. For weekly ARR data with both quarterly and annual cycles, a single period will alias one onto the other. Consider BATS or TBATS from statsforecast as a drop-in replacement — these handle dual seasonality natively.</w:t>
      </w:r>
    </w:p>
    <w:p>
      <w:pPr>
        <w:spacing w:after="120" w:before="0"/>
      </w:pPr>
      <w:r>
        <w:rPr>
          <w:rFonts w:ascii="Courier New" w:cs="Courier New" w:eastAsia="Courier New" w:hAnsi="Courier New"/>
          <w:color w:val="C7254E"/>
          <w:sz w:val="18"/>
          <w:szCs w:val="18"/>
        </w:rPr>
        <w:t xml:space="preserve">from statsforecast.models import TBATS
TBATS(seasonal_periods=[13, 52])  # replaces ETS for dual seasonality</w:t>
      </w:r>
    </w:p>
    <w:p>
      <w:pPr>
        <w:spacing w:after="100" w:before="0"/>
      </w:pPr>
    </w:p>
    <w:p>
      <w:pPr>
        <w:pStyle w:val="Heading2"/>
        <w:spacing w:after="100" w:before="240"/>
      </w:pPr>
      <w:r>
        <w:rPr>
          <w:rFonts w:ascii="Arial" w:cs="Arial" w:eastAsia="Arial" w:hAnsi="Arial"/>
          <w:b/>
          <w:bCs/>
          <w:color w:val="2E74B5"/>
          <w:sz w:val="26"/>
          <w:szCs w:val="26"/>
        </w:rPr>
        <w:t xml:space="preserve">4.3  Prophet (Trend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Mode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Trend-only + empirical week-of-quarter seasonal factor</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changepoint_prior_scale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0.08 (conservative — correct)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changepoints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min(4, len(train)//26) — max 4 (very conservative)</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Seasonality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All built-in seasonality DISABLED — uses empirical WoQ profile</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Regressors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None</w:t>
            </w:r>
          </w:p>
        </w:tc>
      </w:tr>
    </w:tbl>
    <w:p>
      <w:pPr>
        <w:spacing w:after="120" w:before="0"/>
      </w:pPr>
      <w:r>
        <w:rPr>
          <w:rFonts w:ascii="Arial" w:cs="Arial" w:eastAsia="Arial" w:hAnsi="Arial"/>
          <w:b/>
          <w:bCs/>
          <w:color w:val="1A1A1A"/>
          <w:sz w:val="22"/>
          <w:szCs w:val="22"/>
        </w:rPr>
        <w:t xml:space="preserve">Design rationale is sound: </w:t>
      </w:r>
      <w:r>
        <w:rPr>
          <w:rFonts w:ascii="Arial" w:cs="Arial" w:eastAsia="Arial" w:hAnsi="Arial"/>
          <w:color w:val="1A1A1A"/>
          <w:sz w:val="22"/>
          <w:szCs w:val="22"/>
        </w:rPr>
        <w:t xml:space="preserve">the empirical week-of-quarter multiplier (compute_woq_seasonal_profile) is a creative fix for Prophet's tendency to over-shrink seasonal amplitudes on short ARR series. By applying the training-computed WoQ factor to Prophet's trend output, the forecast captures quarter-end shape without risking look-ahead.</w:t>
      </w:r>
    </w:p>
    <w:p>
      <w:pPr>
        <w:spacing w:after="120" w:before="0"/>
      </w:pPr>
      <w:r>
        <w:rPr>
          <w:rFonts w:ascii="Arial" w:cs="Arial" w:eastAsia="Arial" w:hAnsi="Arial"/>
          <w:b/>
          <w:bCs/>
          <w:color w:val="1A1A1A"/>
          <w:sz w:val="22"/>
          <w:szCs w:val="22"/>
        </w:rPr>
        <w:t xml:space="preserve">Gaps: </w:t>
      </w:r>
    </w:p>
    <w:p>
      <w:pPr>
        <w:pStyle w:val="ListParagraph"/>
        <w:numPr>
          <w:ilvl w:val="0"/>
          <w:numId w:val="2"/>
        </w:numPr>
        <w:spacing w:after="60" w:before="0"/>
      </w:pPr>
      <w:r>
        <w:rPr>
          <w:rFonts w:ascii="Arial" w:cs="Arial" w:eastAsia="Arial" w:hAnsi="Arial"/>
          <w:color w:val="1A1A1A"/>
          <w:sz w:val="22"/>
          <w:szCs w:val="22"/>
        </w:rPr>
        <w:t xml:space="preserve">With changepoint_range=0.85 and max 4 changepoints across 78+ training weeks, Prophet may miss the 2024 structural growth acceleration that appears in the total ARR trajectory. The n_changepoints formula (len(train)//26) gives 3 changepoints for 78-week minimum — adequate but borderline.</w:t>
      </w:r>
    </w:p>
    <w:p>
      <w:pPr>
        <w:pStyle w:val="ListParagraph"/>
        <w:numPr>
          <w:ilvl w:val="0"/>
          <w:numId w:val="2"/>
        </w:numPr>
        <w:spacing w:after="60" w:before="0"/>
      </w:pPr>
      <w:r>
        <w:rPr>
          <w:rFonts w:ascii="Arial" w:cs="Arial" w:eastAsia="Arial" w:hAnsi="Arial"/>
          <w:color w:val="1A1A1A"/>
          <w:sz w:val="22"/>
          <w:szCs w:val="22"/>
        </w:rPr>
        <w:t xml:space="preserve">No regressors. Pipeline velocity, headcount, or quarterly quota targets as additive regressors would meaningfully improve mid-horizon accuracy (weeks 6–13). Impact estimate: 2–4% WAPE reduction.</w:t>
      </w:r>
    </w:p>
    <w:p>
      <w:pPr>
        <w:pStyle w:val="ListParagraph"/>
        <w:numPr>
          <w:ilvl w:val="0"/>
          <w:numId w:val="2"/>
        </w:numPr>
        <w:spacing w:after="60" w:before="0"/>
      </w:pPr>
      <w:r>
        <w:rPr>
          <w:rFonts w:ascii="Arial" w:cs="Arial" w:eastAsia="Arial" w:hAnsi="Arial"/>
          <w:color w:val="1A1A1A"/>
          <w:sz w:val="22"/>
          <w:szCs w:val="22"/>
        </w:rPr>
        <w:t xml:space="preserve">Prophet's uncertainty intervals (yhat_lower/yhat_upper) are not surfaced. These are free to compute and would complement LGB/N-HiTS/TFT quantile intervals for ensemble uncertainty quantification.</w:t>
      </w:r>
    </w:p>
    <w:p>
      <w:pPr>
        <w:spacing w:after="100" w:before="0"/>
      </w:pPr>
    </w:p>
    <w:p>
      <w:pPr>
        <w:pStyle w:val="Heading2"/>
        <w:spacing w:after="100" w:before="240"/>
      </w:pPr>
      <w:r>
        <w:rPr>
          <w:rFonts w:ascii="Arial" w:cs="Arial" w:eastAsia="Arial" w:hAnsi="Arial"/>
          <w:b/>
          <w:bCs/>
          <w:color w:val="2E74B5"/>
          <w:sz w:val="26"/>
          <w:szCs w:val="26"/>
        </w:rPr>
        <w:t xml:space="preserve">4.4  DHR-ARIMA — Dynamic Harmonic Regression ARIMA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Library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statsforecast.models.AutoARIMA + custom Fourier xreg</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Fourier periods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13 weeks (2 harmonics), 52 weeks (2 harmonics)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External regressors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created_lag4, headcount_lag4, win_rate_by_woq, pipeline_velocity_lag4, quarter_end_flag, us_holiday</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Scope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Aggregate UCC total (NOT by market)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MLflow</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Yes — consistent with other steps</w:t>
            </w:r>
          </w:p>
        </w:tc>
      </w:tr>
    </w:tbl>
    <w:p>
      <w:pPr>
        <w:spacing w:after="120" w:before="0"/>
      </w:pPr>
      <w:r>
        <w:rPr>
          <w:rFonts w:ascii="Arial" w:cs="Arial" w:eastAsia="Arial" w:hAnsi="Arial"/>
          <w:b/>
          <w:bCs/>
          <w:color w:val="1A1A1A"/>
          <w:sz w:val="22"/>
          <w:szCs w:val="22"/>
        </w:rPr>
        <w:t xml:space="preserve">Strongest statistical model in the suite. </w:t>
      </w:r>
      <w:r>
        <w:rPr>
          <w:rFonts w:ascii="Arial" w:cs="Arial" w:eastAsia="Arial" w:hAnsi="Arial"/>
          <w:color w:val="1A1A1A"/>
          <w:sz w:val="22"/>
          <w:szCs w:val="22"/>
        </w:rPr>
        <w:t xml:space="preserve">DHR-ARIMA combines Fourier seasonality (no seasonality period assumption required) with economic regressors in a single linear model. The Fourier specification (2 harmonics for period 13, 2 for period 52) is the correct standard parameterization for weekly business data.</w:t>
      </w:r>
    </w:p>
    <w:p>
      <w:pPr>
        <w:spacing w:after="120" w:before="0"/>
      </w:pPr>
      <w:r>
        <w:rPr>
          <w:rFonts w:ascii="Arial" w:cs="Arial" w:eastAsia="Arial" w:hAnsi="Arial"/>
          <w:b/>
          <w:bCs/>
          <w:color w:val="1A1A1A"/>
          <w:sz w:val="22"/>
          <w:szCs w:val="22"/>
        </w:rPr>
        <w:t xml:space="preserve">Issues: </w:t>
      </w:r>
    </w:p>
    <w:p>
      <w:pPr>
        <w:pStyle w:val="ListParagraph"/>
        <w:numPr>
          <w:ilvl w:val="0"/>
          <w:numId w:val="2"/>
        </w:numPr>
        <w:spacing w:after="60" w:before="0"/>
      </w:pPr>
      <w:r>
        <w:rPr>
          <w:rFonts w:ascii="Arial" w:cs="Arial" w:eastAsia="Arial" w:hAnsi="Arial"/>
          <w:b/>
          <w:bCs/>
          <w:color w:val="1A1A1A"/>
          <w:sz w:val="22"/>
          <w:szCs w:val="22"/>
        </w:rPr>
        <w:t xml:space="preserve">Aggregate scope only. </w:t>
      </w:r>
      <w:r>
        <w:rPr>
          <w:rFonts w:ascii="Arial" w:cs="Arial" w:eastAsia="Arial" w:hAnsi="Arial"/>
          <w:color w:val="1A1A1A"/>
          <w:sz w:val="22"/>
          <w:szCs w:val="22"/>
        </w:rPr>
        <w:t xml:space="preserve">DHR-ARIMA runs on the UCC total. Every other advanced model (LGB, N-HiTS, TFT) runs by market. When Step 13 does coherent allocation for DHR-ARIMA via top-down market shares, it assumes proportional market splits which may not hold during Q4 NA surge vs. APAC/EMEA seasonality differences.</w:t>
      </w:r>
    </w:p>
    <w:p>
      <w:pPr>
        <w:pStyle w:val="ListParagraph"/>
        <w:numPr>
          <w:ilvl w:val="0"/>
          <w:numId w:val="2"/>
        </w:numPr>
        <w:spacing w:after="60" w:before="0"/>
      </w:pPr>
      <w:r>
        <w:rPr>
          <w:rFonts w:ascii="Arial" w:cs="Arial" w:eastAsia="Arial" w:hAnsi="Arial"/>
          <w:b/>
          <w:bCs/>
          <w:color w:val="1A1A1A"/>
          <w:sz w:val="22"/>
          <w:szCs w:val="22"/>
        </w:rPr>
        <w:t xml:space="preserve">AutoARIMA without season_length hint. </w:t>
      </w:r>
      <w:r>
        <w:rPr>
          <w:rFonts w:ascii="Arial" w:cs="Arial" w:eastAsia="Arial" w:hAnsi="Arial"/>
          <w:color w:val="1A1A1A"/>
          <w:sz w:val="22"/>
          <w:szCs w:val="22"/>
        </w:rPr>
        <w:t xml:space="preserve">statsforecast AutoARIMA will auto-detect seasonality but specifying season_length=13 prevents false minima in the information criterion search.</w:t>
      </w:r>
    </w:p>
    <w:p>
      <w:pPr>
        <w:pStyle w:val="ListParagraph"/>
        <w:numPr>
          <w:ilvl w:val="0"/>
          <w:numId w:val="2"/>
        </w:numPr>
        <w:spacing w:after="60" w:before="0"/>
      </w:pPr>
      <w:r>
        <w:rPr>
          <w:rFonts w:ascii="Arial" w:cs="Arial" w:eastAsia="Arial" w:hAnsi="Arial"/>
          <w:b/>
          <w:bCs/>
          <w:color w:val="1A1A1A"/>
          <w:sz w:val="22"/>
          <w:szCs w:val="22"/>
        </w:rPr>
        <w:t xml:space="preserve">win_rate_by_woq potential leakage. </w:t>
      </w:r>
      <w:r>
        <w:rPr>
          <w:rFonts w:ascii="Arial" w:cs="Arial" w:eastAsia="Arial" w:hAnsi="Arial"/>
          <w:color w:val="1A1A1A"/>
          <w:sz w:val="22"/>
          <w:szCs w:val="22"/>
        </w:rPr>
        <w:t xml:space="preserve">The rolling win rate is computed using the full dataset's groupby before the fold split. Each fold's training-window win rate should be recomputed from only that fold's training rows to prevent subtle look-ahead.</w:t>
      </w:r>
    </w:p>
    <w:p>
      <w:pPr>
        <w:pStyle w:val="ListParagraph"/>
        <w:numPr>
          <w:ilvl w:val="0"/>
          <w:numId w:val="2"/>
        </w:numPr>
        <w:spacing w:after="60" w:before="0"/>
      </w:pPr>
      <w:r>
        <w:rPr>
          <w:rFonts w:ascii="Arial" w:cs="Arial" w:eastAsia="Arial" w:hAnsi="Arial"/>
          <w:b/>
          <w:bCs/>
          <w:color w:val="1A1A1A"/>
          <w:sz w:val="22"/>
          <w:szCs w:val="22"/>
        </w:rPr>
        <w:t xml:space="preserve">Deprecated pandas syntax. </w:t>
      </w:r>
      <w:r>
        <w:rPr>
          <w:rFonts w:ascii="Arial" w:cs="Arial" w:eastAsia="Arial" w:hAnsi="Arial"/>
          <w:color w:val="1A1A1A"/>
          <w:sz w:val="22"/>
          <w:szCs w:val="22"/>
        </w:rPr>
        <w:t xml:space="preserve">headcount_lag4 computation uses .fillna(method='bfill') — deprecated in pandas 2.x. Replace with .bfill().ffill()</w:t>
      </w:r>
    </w:p>
    <w:p>
      <w:pPr>
        <w:spacing w:after="100" w:before="0"/>
      </w:pPr>
    </w:p>
    <w:p>
      <w:pPr>
        <w:pStyle w:val="Heading2"/>
        <w:spacing w:after="100" w:before="240"/>
      </w:pPr>
      <w:r>
        <w:rPr>
          <w:rFonts w:ascii="Arial" w:cs="Arial" w:eastAsia="Arial" w:hAnsi="Arial"/>
          <w:b/>
          <w:bCs/>
          <w:color w:val="2E74B5"/>
          <w:sz w:val="26"/>
          <w:szCs w:val="26"/>
        </w:rPr>
        <w:t xml:space="preserve">4.5  Global LightGBM Quantile — P10 / P50 / P90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Architecture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Single global model | 5 markets as categorical rows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Features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23 columns: calendar + lags (1,4,8,13,26) + pipeline features + win rate</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Quantiles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P10 (0.10), P50 (0.50), P90 (0.90) — 3 independent models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History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2023-01-02 onward — FIXED in V2 (was 2024-01-01 in V1)</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MLflow</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Yes — parameters and metrics logged</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CI Coverage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Added to global_forecast_metrics() in V2</w:t>
            </w:r>
          </w:p>
        </w:tc>
      </w:tr>
    </w:tbl>
    <w:p>
      <w:pPr>
        <w:spacing w:after="120" w:before="0"/>
      </w:pPr>
      <w:r>
        <w:rPr>
          <w:rFonts w:ascii="Arial" w:cs="Arial" w:eastAsia="Arial" w:hAnsi="Arial"/>
          <w:b/>
          <w:bCs/>
          <w:color w:val="1A1A1A"/>
          <w:sz w:val="22"/>
          <w:szCs w:val="22"/>
        </w:rPr>
        <w:t xml:space="preserve">Best-performing model in Brian's validation (~$14.5M Q2 forecast). </w:t>
      </w:r>
      <w:r>
        <w:rPr>
          <w:rFonts w:ascii="Arial" w:cs="Arial" w:eastAsia="Arial" w:hAnsi="Arial"/>
          <w:color w:val="1A1A1A"/>
          <w:sz w:val="22"/>
          <w:szCs w:val="22"/>
        </w:rPr>
        <w:t xml:space="preserve">The global-by-market architecture is the right design: pooling all 5 markets gives the model 10× more effective training data than per-market models, with sales_market as a LGB categorical feature capturing market-specific patterns.</w:t>
      </w:r>
    </w:p>
    <w:p>
      <w:pPr>
        <w:spacing w:after="120" w:before="0"/>
      </w:pPr>
      <w:r>
        <w:rPr>
          <w:rFonts w:ascii="Arial" w:cs="Arial" w:eastAsia="Arial" w:hAnsi="Arial"/>
          <w:b/>
          <w:bCs/>
          <w:color w:val="1A1A1A"/>
          <w:sz w:val="22"/>
          <w:szCs w:val="22"/>
        </w:rPr>
        <w:t xml:space="preserve">Strengths: </w:t>
      </w:r>
    </w:p>
    <w:p>
      <w:pPr>
        <w:pStyle w:val="ListParagraph"/>
        <w:numPr>
          <w:ilvl w:val="0"/>
          <w:numId w:val="2"/>
        </w:numPr>
        <w:spacing w:after="60" w:before="0"/>
      </w:pPr>
      <w:r>
        <w:rPr>
          <w:rFonts w:ascii="Arial" w:cs="Arial" w:eastAsia="Arial" w:hAnsi="Arial"/>
          <w:color w:val="1A1A1A"/>
          <w:sz w:val="22"/>
          <w:szCs w:val="22"/>
        </w:rPr>
        <w:t xml:space="preserve">23-feature set covers temporal (WoQ, Q4, holiday), autoregressive (y_lag1/4/8/13/26, r4w), and causal (created_lag4, headcount_lag4, win_rate_woq, pipeline_velocity_lag4, deal_size_lag1, sales_cycle_lag1, push_ctr_lag1, mkt_opened_lag4, partner_pipe_lag4, sales_rep_ramp_ratio) signals.</w:t>
      </w:r>
    </w:p>
    <w:p>
      <w:pPr>
        <w:pStyle w:val="ListParagraph"/>
        <w:numPr>
          <w:ilvl w:val="0"/>
          <w:numId w:val="2"/>
        </w:numPr>
        <w:spacing w:after="60" w:before="0"/>
      </w:pPr>
      <w:r>
        <w:rPr>
          <w:rFonts w:ascii="Arial" w:cs="Arial" w:eastAsia="Arial" w:hAnsi="Arial"/>
          <w:color w:val="1A1A1A"/>
          <w:sz w:val="22"/>
          <w:szCs w:val="22"/>
        </w:rPr>
        <w:t xml:space="preserve">prophet_ml_mc_scaled correctly removed — eliminates potential look-ahead from Sona's production forecast table.</w:t>
      </w:r>
    </w:p>
    <w:p>
      <w:pPr>
        <w:pStyle w:val="ListParagraph"/>
        <w:numPr>
          <w:ilvl w:val="0"/>
          <w:numId w:val="2"/>
        </w:numPr>
        <w:spacing w:after="60" w:before="0"/>
      </w:pPr>
      <w:r>
        <w:rPr>
          <w:rFonts w:ascii="Arial" w:cs="Arial" w:eastAsia="Arial" w:hAnsi="Arial"/>
          <w:color w:val="1A1A1A"/>
          <w:sz w:val="22"/>
          <w:szCs w:val="22"/>
        </w:rPr>
        <w:t xml:space="preserve">Full 2023 history now used — additional 50+ training weeks significantly improves lag-13 and lag-26 feature coverage.</w:t>
      </w:r>
    </w:p>
    <w:p>
      <w:pPr>
        <w:spacing w:after="120" w:before="0"/>
      </w:pPr>
      <w:r>
        <w:rPr>
          <w:rFonts w:ascii="Arial" w:cs="Arial" w:eastAsia="Arial" w:hAnsi="Arial"/>
          <w:b/>
          <w:bCs/>
          <w:color w:val="1A1A1A"/>
          <w:sz w:val="22"/>
          <w:szCs w:val="22"/>
        </w:rPr>
        <w:t xml:space="preserve">Remaining improvements: </w:t>
      </w:r>
    </w:p>
    <w:p>
      <w:pPr>
        <w:pStyle w:val="ListParagraph"/>
        <w:numPr>
          <w:ilvl w:val="0"/>
          <w:numId w:val="2"/>
        </w:numPr>
        <w:spacing w:after="60" w:before="0"/>
      </w:pPr>
      <w:r>
        <w:rPr>
          <w:rFonts w:ascii="Arial" w:cs="Arial" w:eastAsia="Arial" w:hAnsi="Arial"/>
          <w:b/>
          <w:bCs/>
          <w:color w:val="1A1A1A"/>
          <w:sz w:val="22"/>
          <w:szCs w:val="22"/>
        </w:rPr>
        <w:t xml:space="preserve">Quantile crossing guard missing. </w:t>
      </w:r>
      <w:r>
        <w:rPr>
          <w:rFonts w:ascii="Arial" w:cs="Arial" w:eastAsia="Arial" w:hAnsi="Arial"/>
          <w:color w:val="1A1A1A"/>
          <w:sz w:val="22"/>
          <w:szCs w:val="22"/>
        </w:rPr>
        <w:t xml:space="preserve">Three independent quantile models can cross (P10 &gt; P50 or P50 &gt; P90). Add 2 lines after predict_future_quantiles:</w:t>
      </w:r>
    </w:p>
    <w:p>
      <w:pPr>
        <w:spacing w:after="120" w:before="0"/>
      </w:pPr>
      <w:r>
        <w:rPr>
          <w:rFonts w:ascii="Courier New" w:cs="Courier New" w:eastAsia="Courier New" w:hAnsi="Courier New"/>
          <w:color w:val="C7254E"/>
          <w:sz w:val="18"/>
          <w:szCs w:val="18"/>
        </w:rPr>
        <w:t xml:space="preserve">p10 = np.minimum(p10, p50); p90 = np.maximum(p90, p50)</w:t>
      </w:r>
    </w:p>
    <w:p>
      <w:pPr>
        <w:pStyle w:val="ListParagraph"/>
        <w:numPr>
          <w:ilvl w:val="0"/>
          <w:numId w:val="2"/>
        </w:numPr>
        <w:spacing w:after="60" w:before="0"/>
      </w:pPr>
      <w:r>
        <w:rPr>
          <w:rFonts w:ascii="Arial" w:cs="Arial" w:eastAsia="Arial" w:hAnsi="Arial"/>
          <w:b/>
          <w:bCs/>
          <w:color w:val="1A1A1A"/>
          <w:sz w:val="22"/>
          <w:szCs w:val="22"/>
        </w:rPr>
        <w:t xml:space="preserve">LGB monotone_constraints. </w:t>
      </w:r>
      <w:r>
        <w:rPr>
          <w:rFonts w:ascii="Arial" w:cs="Arial" w:eastAsia="Arial" w:hAnsi="Arial"/>
          <w:color w:val="1A1A1A"/>
          <w:sz w:val="22"/>
          <w:szCs w:val="22"/>
        </w:rPr>
        <w:t xml:space="preserve">Set monotone_constraints at training time to enforce P10 ≤ P50 ≤ P90 throughout the feature space. This is more robust than post-processing:</w:t>
      </w:r>
    </w:p>
    <w:p>
      <w:pPr>
        <w:spacing w:after="120" w:before="0"/>
      </w:pPr>
      <w:r>
        <w:rPr>
          <w:rFonts w:ascii="Courier New" w:cs="Courier New" w:eastAsia="Courier New" w:hAnsi="Courier New"/>
          <w:color w:val="C7254E"/>
          <w:sz w:val="18"/>
          <w:szCs w:val="18"/>
        </w:rPr>
        <w:t xml:space="preserve">params['monotone_constraints'] = [0] * len(features)  # 0 = none per feature
# For quantile ordering, use monotone_constraints_method='advanced'</w:t>
      </w:r>
    </w:p>
    <w:p>
      <w:pPr>
        <w:pStyle w:val="ListParagraph"/>
        <w:numPr>
          <w:ilvl w:val="0"/>
          <w:numId w:val="2"/>
        </w:numPr>
        <w:spacing w:after="60" w:before="0"/>
      </w:pPr>
      <w:r>
        <w:rPr>
          <w:rFonts w:ascii="Arial" w:cs="Arial" w:eastAsia="Arial" w:hAnsi="Arial"/>
          <w:b/>
          <w:bCs/>
          <w:color w:val="1A1A1A"/>
          <w:sz w:val="22"/>
          <w:szCs w:val="22"/>
        </w:rPr>
        <w:t xml:space="preserve">Feature importance drift detection. </w:t>
      </w:r>
      <w:r>
        <w:rPr>
          <w:rFonts w:ascii="Arial" w:cs="Arial" w:eastAsia="Arial" w:hAnsi="Arial"/>
          <w:color w:val="1A1A1A"/>
          <w:sz w:val="22"/>
          <w:szCs w:val="22"/>
        </w:rPr>
        <w:t xml:space="preserve">LGB feature importance is logged. Track it across weekly retraining runs — if y_lag1 drops from top feature, the series structure may have changed (regime shift).</w:t>
      </w:r>
    </w:p>
    <w:p>
      <w:pPr>
        <w:spacing w:after="100" w:before="0"/>
      </w:pPr>
    </w:p>
    <w:p>
      <w:pPr>
        <w:pStyle w:val="Heading2"/>
        <w:spacing w:after="100" w:before="240"/>
      </w:pPr>
      <w:r>
        <w:rPr>
          <w:rFonts w:ascii="Arial" w:cs="Arial" w:eastAsia="Arial" w:hAnsi="Arial"/>
          <w:b/>
          <w:bCs/>
          <w:color w:val="2E74B5"/>
          <w:sz w:val="26"/>
          <w:szCs w:val="26"/>
        </w:rPr>
        <w:t xml:space="preserve">4.6  N-HiTS — Neural Hierarchical Interpolation for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Library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neuralforecast.models.NHITS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Loss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MQLoss([0.10, 0.50, 0.90]) — RESTORED in V2 ✓</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input_size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52 weeks (1 year lookback)</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horizon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13 weeks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max_steps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400 — HIT LIMIT (not converged)</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GPU</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NVIDIA A10G, 2.9M trainable params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futr_exog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week_of_qtr, quarter_end_flag, is_q4, q4_week_countdown, us_holiday</w:t>
            </w:r>
          </w:p>
        </w:tc>
      </w:tr>
    </w:tbl>
    <w:p>
      <w:pPr>
        <w:spacing w:after="120" w:before="0"/>
      </w:pPr>
      <w:r>
        <w:rPr>
          <w:rFonts w:ascii="Arial" w:cs="Arial" w:eastAsia="Arial" w:hAnsi="Arial"/>
          <w:b/>
          <w:bCs/>
          <w:color w:val="1A1A1A"/>
          <w:sz w:val="22"/>
          <w:szCs w:val="22"/>
        </w:rPr>
        <w:t xml:space="preserve">MQLoss is restored — this is the most important fix from V1. </w:t>
      </w:r>
      <w:r>
        <w:rPr>
          <w:rFonts w:ascii="Arial" w:cs="Arial" w:eastAsia="Arial" w:hAnsi="Arial"/>
          <w:color w:val="1A1A1A"/>
          <w:sz w:val="22"/>
          <w:szCs w:val="22"/>
        </w:rPr>
        <w:t xml:space="preserve">N-HiTS with MQLoss produces calibrated P10/P50/P90 intervals by minimizing pinball loss across all quantiles simultaneously. The model architecture is well-suited to multi-step weekly ARR forecasting.</w:t>
      </w:r>
    </w:p>
    <w:p>
      <w:pPr>
        <w:spacing w:after="120" w:before="0"/>
      </w:pPr>
      <w:r>
        <w:rPr>
          <w:rFonts w:ascii="Arial" w:cs="Arial" w:eastAsia="Arial" w:hAnsi="Arial"/>
          <w:b/>
          <w:bCs/>
          <w:color w:val="1A1A1A"/>
          <w:sz w:val="22"/>
          <w:szCs w:val="22"/>
        </w:rPr>
        <w:t xml:space="preserve">Critical convergence issue: </w:t>
      </w:r>
      <w:r>
        <w:rPr>
          <w:rFonts w:ascii="Arial" w:cs="Arial" w:eastAsia="Arial" w:hAnsi="Arial"/>
          <w:b/>
          <w:bCs/>
          <w:color w:val="C00000"/>
          <w:sz w:val="22"/>
          <w:szCs w:val="22"/>
        </w:rPr>
        <w:t xml:space="preserve">'max_steps=400 reached' — early_stop_patience_steps=20 never triggered.</w:t>
      </w:r>
      <w:r>
        <w:rPr>
          <w:rFonts w:ascii="Arial" w:cs="Arial" w:eastAsia="Arial" w:hAnsi="Arial"/>
          <w:color w:val="1A1A1A"/>
          <w:sz w:val="22"/>
          <w:szCs w:val="22"/>
        </w:rPr>
        <w:t xml:space="preserve"> This means training was still improving at step 400 and stopped prematurely. The model is likely under-trained. Evidence: if early stopping had fired, the log would show 'Stopping early at step X'. Solutions:</w:t>
      </w:r>
    </w:p>
    <w:p>
      <w:pPr>
        <w:pStyle w:val="ListParagraph"/>
        <w:numPr>
          <w:ilvl w:val="0"/>
          <w:numId w:val="2"/>
        </w:numPr>
        <w:spacing w:after="60" w:before="0"/>
      </w:pPr>
      <w:r>
        <w:rPr>
          <w:rFonts w:ascii="Arial" w:cs="Arial" w:eastAsia="Arial" w:hAnsi="Arial"/>
          <w:b/>
          <w:bCs/>
          <w:color w:val="1A1A1A"/>
          <w:sz w:val="22"/>
          <w:szCs w:val="22"/>
        </w:rPr>
        <w:t xml:space="preserve">Increase max_steps to 800 </w:t>
      </w:r>
      <w:r>
        <w:rPr>
          <w:rFonts w:ascii="Arial" w:cs="Arial" w:eastAsia="Arial" w:hAnsi="Arial"/>
          <w:color w:val="1A1A1A"/>
          <w:sz w:val="22"/>
          <w:szCs w:val="22"/>
        </w:rPr>
        <w:t xml:space="preserve">and set val_size=13 to enable proper early stopping. The model will stop when holdout loss plateaus for 20 consecutive val_check_steps.</w:t>
      </w:r>
    </w:p>
    <w:p>
      <w:pPr>
        <w:pStyle w:val="ListParagraph"/>
        <w:numPr>
          <w:ilvl w:val="0"/>
          <w:numId w:val="2"/>
        </w:numPr>
        <w:spacing w:after="60" w:before="0"/>
      </w:pPr>
      <w:r>
        <w:rPr>
          <w:rFonts w:ascii="Arial" w:cs="Arial" w:eastAsia="Arial" w:hAnsi="Arial"/>
          <w:b/>
          <w:bCs/>
          <w:color w:val="1A1A1A"/>
          <w:sz w:val="22"/>
          <w:szCs w:val="22"/>
        </w:rPr>
        <w:t xml:space="preserve">Add torch.set_float32_matmul_precision('medium') </w:t>
      </w:r>
      <w:r>
        <w:rPr>
          <w:rFonts w:ascii="Arial" w:cs="Arial" w:eastAsia="Arial" w:hAnsi="Arial"/>
          <w:color w:val="1A1A1A"/>
          <w:sz w:val="22"/>
          <w:szCs w:val="22"/>
        </w:rPr>
        <w:t xml:space="preserve">at the top of the cell — the Tensor Core warning in the output indicates 10–30% training speed can be recovered for free, enabling more steps in the same wall time.</w:t>
      </w:r>
    </w:p>
    <w:p>
      <w:pPr>
        <w:spacing w:after="120" w:before="0"/>
      </w:pPr>
      <w:r>
        <w:rPr>
          <w:rFonts w:ascii="Courier New" w:cs="Courier New" w:eastAsia="Courier New" w:hAnsi="Courier New"/>
          <w:color w:val="C7254E"/>
          <w:sz w:val="18"/>
          <w:szCs w:val="18"/>
        </w:rPr>
        <w:t xml:space="preserve">import torch
torch.set_float32_matmul_precision('medium')  # free 20-30% speed on A10G</w:t>
      </w:r>
    </w:p>
    <w:p>
      <w:pPr>
        <w:spacing w:after="120" w:before="0"/>
      </w:pPr>
      <w:r>
        <w:rPr>
          <w:rFonts w:ascii="Arial" w:cs="Arial" w:eastAsia="Arial" w:hAnsi="Arial"/>
          <w:b/>
          <w:bCs/>
          <w:color w:val="1A1A1A"/>
          <w:sz w:val="22"/>
          <w:szCs w:val="22"/>
        </w:rPr>
        <w:t xml:space="preserve">Missing hist_exog_list: </w:t>
      </w:r>
      <w:r>
        <w:rPr>
          <w:rFonts w:ascii="Arial" w:cs="Arial" w:eastAsia="Arial" w:hAnsi="Arial"/>
          <w:color w:val="1A1A1A"/>
          <w:sz w:val="22"/>
          <w:szCs w:val="22"/>
        </w:rPr>
        <w:t xml:space="preserve">N-HiTS supports historical exogenous features (observed in past, unavailable in future). Pipeline velocity, win_rate_woq, and push_ctr_lag1 are lagged enough to be safe as historical covariates. TFT already uses these — N-HiTS should too:</w:t>
      </w:r>
    </w:p>
    <w:p>
      <w:pPr>
        <w:spacing w:after="120" w:before="0"/>
      </w:pPr>
      <w:r>
        <w:rPr>
          <w:rFonts w:ascii="Courier New" w:cs="Courier New" w:eastAsia="Courier New" w:hAnsi="Courier New"/>
          <w:color w:val="C7254E"/>
          <w:sz w:val="18"/>
          <w:szCs w:val="18"/>
        </w:rPr>
        <w:t xml:space="preserve">NHITS_HIST_EXOG = ['created_lag4', 'pipeline_velocity_lag4', 'win_rate_woq', 'push_ctr_lag1']
model = NHITS(h=13, input_size=52, futr_exog_list=NHITS_FUTR_EXOG, hist_exog_list=NHITS_HIST_EXOG, ...)</w:t>
      </w:r>
    </w:p>
    <w:p>
      <w:pPr>
        <w:spacing w:after="100" w:before="0"/>
      </w:pPr>
    </w:p>
    <w:p>
      <w:pPr>
        <w:pStyle w:val="Heading2"/>
        <w:spacing w:after="100" w:before="240"/>
      </w:pPr>
      <w:r>
        <w:rPr>
          <w:rFonts w:ascii="Arial" w:cs="Arial" w:eastAsia="Arial" w:hAnsi="Arial"/>
          <w:b/>
          <w:bCs/>
          <w:color w:val="2E74B5"/>
          <w:sz w:val="26"/>
          <w:szCs w:val="26"/>
        </w:rPr>
        <w:t xml:space="preserve">4.7  TFT — Temporal Fusion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Library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neuralforecast.models.TFT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Loss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MQLoss([0.10, 0.50, 0.90]) ✓</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Architecture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621K params: TFTEmbedding, StaticCovariateEncoder, TemporalCovariateEncoder, TemporalFusionDecoder</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max_steps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500 — HIT LIMIT (not converged)</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futr_exog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week_of_qtr, quarter_end_flag, is_q4, q4_week_countdown, us_holiday</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hist_exog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created_lag4, pipeline_velocity_lag4, win_rate_woq, push_ctr_lag1, deal_size_lag1</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stat_exog</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product_group_enc, sales_market_enc (entity embeddings)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GPU</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NVIDIA A10G</w:t>
            </w:r>
          </w:p>
        </w:tc>
      </w:tr>
    </w:tbl>
    <w:p>
      <w:pPr>
        <w:spacing w:after="120" w:before="0"/>
      </w:pPr>
      <w:r>
        <w:rPr>
          <w:rFonts w:ascii="Arial" w:cs="Arial" w:eastAsia="Arial" w:hAnsi="Arial"/>
          <w:b/>
          <w:bCs/>
          <w:color w:val="1A1A1A"/>
          <w:sz w:val="22"/>
          <w:szCs w:val="22"/>
        </w:rPr>
        <w:t xml:space="preserve">Best-specified model in the notebook. </w:t>
      </w:r>
      <w:r>
        <w:rPr>
          <w:rFonts w:ascii="Arial" w:cs="Arial" w:eastAsia="Arial" w:hAnsi="Arial"/>
          <w:color w:val="1A1A1A"/>
          <w:sz w:val="22"/>
          <w:szCs w:val="22"/>
        </w:rPr>
        <w:t xml:space="preserve">TFT's separation of future-known covariates (futr_exog), historical-only covariates (hist_exog), and static entity embeddings (stat_exog) is exactly the correct architecture for multi-market ARR forecasting. The attention mechanism will learn which historical weeks, regressor signals, and market-specific patterns matter most at each forecast horizon step.</w:t>
      </w:r>
    </w:p>
    <w:p>
      <w:pPr>
        <w:spacing w:after="120" w:before="0"/>
      </w:pPr>
      <w:r>
        <w:rPr>
          <w:rFonts w:ascii="Arial" w:cs="Arial" w:eastAsia="Arial" w:hAnsi="Arial"/>
          <w:b/>
          <w:bCs/>
          <w:color w:val="1A1A1A"/>
          <w:sz w:val="22"/>
          <w:szCs w:val="22"/>
        </w:rPr>
        <w:t xml:space="preserve">Convergence issue: </w:t>
      </w:r>
      <w:r>
        <w:rPr>
          <w:rFonts w:ascii="Arial" w:cs="Arial" w:eastAsia="Arial" w:hAnsi="Arial"/>
          <w:b/>
          <w:bCs/>
          <w:color w:val="C00000"/>
          <w:sz w:val="22"/>
          <w:szCs w:val="22"/>
        </w:rPr>
        <w:t xml:space="preserve">'max_steps=500 reached' without early stopping.</w:t>
      </w:r>
      <w:r>
        <w:rPr>
          <w:rFonts w:ascii="Arial" w:cs="Arial" w:eastAsia="Arial" w:hAnsi="Arial"/>
          <w:color w:val="1A1A1A"/>
          <w:sz w:val="22"/>
          <w:szCs w:val="22"/>
        </w:rPr>
        <w:t xml:space="preserve"> TFT with 621K parameters on 5 markets × 182 weeks needs more training. At 500 steps with val_check_steps not specified (defaults to per-epoch), early stopping may not have had enough evaluations. Fix:</w:t>
      </w:r>
    </w:p>
    <w:p>
      <w:pPr>
        <w:spacing w:after="120" w:before="0"/>
      </w:pPr>
      <w:r>
        <w:rPr>
          <w:rFonts w:ascii="Courier New" w:cs="Courier New" w:eastAsia="Courier New" w:hAnsi="Courier New"/>
          <w:color w:val="C7254E"/>
          <w:sz w:val="18"/>
          <w:szCs w:val="18"/>
        </w:rPr>
        <w:t xml:space="preserve">model = TFT(
    h=TFT_HORIZON, input_size=TFT_INPUT_SIZE,
    max_steps=1000,  # double it
    early_stop_patience_steps=30,
    val_check_steps=50,  # evaluate every 50 steps, not per epoch
    ...)</w:t>
      </w:r>
    </w:p>
    <w:p>
      <w:pPr>
        <w:spacing w:after="120" w:before="0"/>
      </w:pPr>
      <w:r>
        <w:rPr>
          <w:rFonts w:ascii="Arial" w:cs="Arial" w:eastAsia="Arial" w:hAnsi="Arial"/>
          <w:b/>
          <w:bCs/>
          <w:color w:val="1A1A1A"/>
          <w:sz w:val="22"/>
          <w:szCs w:val="22"/>
        </w:rPr>
        <w:t xml:space="preserve">Add MLflow tracking: </w:t>
      </w:r>
    </w:p>
    <w:p>
      <w:pPr>
        <w:spacing w:after="120" w:before="0"/>
      </w:pPr>
      <w:r>
        <w:rPr>
          <w:rFonts w:ascii="Courier New" w:cs="Courier New" w:eastAsia="Courier New" w:hAnsi="Courier New"/>
          <w:color w:val="C7254E"/>
          <w:sz w:val="18"/>
          <w:szCs w:val="18"/>
        </w:rPr>
        <w:t xml:space="preserve">with mlflow.start_run(run_name=TFT_MODEL_NAME, nested=True):
    mlflow.log_params({'max_steps': TFT_MAX_STEPS, 'input_size': TFT_INPUT_SIZE, 'horizon': TFT_HORIZON})
    # fit and predict here
    mlflow.log_metrics({'holdout_wape': tft_wape, 'ci_coverage': tft_coverage})</w:t>
      </w:r>
    </w:p>
    <w:p>
      <w:pPr>
        <w:spacing w:after="120" w:before="0"/>
      </w:pPr>
      <w:r>
        <w:rPr>
          <w:rFonts w:ascii="Arial" w:cs="Arial" w:eastAsia="Arial" w:hAnsi="Arial"/>
          <w:b/>
          <w:bCs/>
          <w:color w:val="1A1A1A"/>
          <w:sz w:val="22"/>
          <w:szCs w:val="22"/>
        </w:rPr>
        <w:t xml:space="preserve">Extract attention weights for explainability: </w:t>
      </w:r>
    </w:p>
    <w:p>
      <w:pPr>
        <w:spacing w:after="120" w:before="0"/>
      </w:pPr>
      <w:r>
        <w:rPr>
          <w:rFonts w:ascii="Courier New" w:cs="Courier New" w:eastAsia="Courier New" w:hAnsi="Courier New"/>
          <w:color w:val="C7254E"/>
          <w:sz w:val="18"/>
          <w:szCs w:val="18"/>
        </w:rPr>
        <w:t xml:space="preserve"># After predict(), access attention scores:
interpreter = nf.get_specific_file(model_type='TFT', attr='attention_weights')
# These show which historical weeks TFT attends to — critical for executive trust</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5. Seasonality &amp; Trend Detection</w:t>
      </w:r>
    </w:p>
    <w:p>
      <w:pPr>
        <w:pStyle w:val="Heading2"/>
        <w:spacing w:after="100" w:before="240"/>
      </w:pPr>
      <w:r>
        <w:rPr>
          <w:rFonts w:ascii="Arial" w:cs="Arial" w:eastAsia="Arial" w:hAnsi="Arial"/>
          <w:b/>
          <w:bCs/>
          <w:color w:val="2E74B5"/>
          <w:sz w:val="26"/>
          <w:szCs w:val="26"/>
        </w:rPr>
        <w:t xml:space="preserve">5.1  Seasonal Patterns Captured</w:t>
      </w:r>
    </w:p>
    <w:p>
      <w:pPr>
        <w:pStyle w:val="ListParagraph"/>
        <w:numPr>
          <w:ilvl w:val="0"/>
          <w:numId w:val="2"/>
        </w:numPr>
        <w:spacing w:after="60" w:before="0"/>
      </w:pPr>
      <w:r>
        <w:rPr>
          <w:rFonts w:ascii="Arial" w:cs="Arial" w:eastAsia="Arial" w:hAnsi="Arial"/>
          <w:b/>
          <w:bCs/>
          <w:color w:val="1A1A1A"/>
          <w:sz w:val="22"/>
          <w:szCs w:val="22"/>
        </w:rPr>
        <w:t xml:space="preserve">Weekly (implicit): </w:t>
      </w:r>
      <w:r>
        <w:rPr>
          <w:rFonts w:ascii="Arial" w:cs="Arial" w:eastAsia="Arial" w:hAnsi="Arial"/>
          <w:color w:val="1A1A1A"/>
          <w:sz w:val="22"/>
          <w:szCs w:val="22"/>
        </w:rPr>
        <w:t xml:space="preserve">all data is W-MON aggregated — no intra-week variation to capture.</w:t>
      </w:r>
    </w:p>
    <w:p>
      <w:pPr>
        <w:pStyle w:val="ListParagraph"/>
        <w:numPr>
          <w:ilvl w:val="0"/>
          <w:numId w:val="2"/>
        </w:numPr>
        <w:spacing w:after="60" w:before="0"/>
      </w:pPr>
      <w:r>
        <w:rPr>
          <w:rFonts w:ascii="Arial" w:cs="Arial" w:eastAsia="Arial" w:hAnsi="Arial"/>
          <w:b/>
          <w:bCs/>
          <w:color w:val="1A1A1A"/>
          <w:sz w:val="22"/>
          <w:szCs w:val="22"/>
        </w:rPr>
        <w:t xml:space="preserve">Monthly / 4-week (MSTL season_length=4): </w:t>
      </w:r>
      <w:r>
        <w:rPr>
          <w:rFonts w:ascii="Arial" w:cs="Arial" w:eastAsia="Arial" w:hAnsi="Arial"/>
          <w:color w:val="1A1A1A"/>
          <w:sz w:val="22"/>
          <w:szCs w:val="22"/>
        </w:rPr>
        <w:t xml:space="preserve">monthly quota rhythms captured. Correct.</w:t>
      </w:r>
    </w:p>
    <w:p>
      <w:pPr>
        <w:pStyle w:val="ListParagraph"/>
        <w:numPr>
          <w:ilvl w:val="0"/>
          <w:numId w:val="2"/>
        </w:numPr>
        <w:spacing w:after="60" w:before="0"/>
      </w:pPr>
      <w:r>
        <w:rPr>
          <w:rFonts w:ascii="Arial" w:cs="Arial" w:eastAsia="Arial" w:hAnsi="Arial"/>
          <w:b/>
          <w:bCs/>
          <w:color w:val="1A1A1A"/>
          <w:sz w:val="22"/>
          <w:szCs w:val="22"/>
        </w:rPr>
        <w:t xml:space="preserve">Quarterly (MSTL season_length=13, DHR Fourier 13): </w:t>
      </w:r>
      <w:r>
        <w:rPr>
          <w:rFonts w:ascii="Arial" w:cs="Arial" w:eastAsia="Arial" w:hAnsi="Arial"/>
          <w:color w:val="1A1A1A"/>
          <w:sz w:val="22"/>
          <w:szCs w:val="22"/>
        </w:rPr>
        <w:t xml:space="preserve">quarter-end ARR spike is the most important seasonality for B2B SaaS. Both MSTL and DHR capture it. The empirical week-of-quarter profile in Prophet adds a third mechanism.</w:t>
      </w:r>
    </w:p>
    <w:p>
      <w:pPr>
        <w:pStyle w:val="ListParagraph"/>
        <w:numPr>
          <w:ilvl w:val="0"/>
          <w:numId w:val="2"/>
        </w:numPr>
        <w:spacing w:after="60" w:before="0"/>
      </w:pPr>
      <w:r>
        <w:rPr>
          <w:rFonts w:ascii="Arial" w:cs="Arial" w:eastAsia="Arial" w:hAnsi="Arial"/>
          <w:b/>
          <w:bCs/>
          <w:color w:val="1A1A1A"/>
          <w:sz w:val="22"/>
          <w:szCs w:val="22"/>
        </w:rPr>
        <w:t xml:space="preserve">Annual (MSTL season_length=52, DHR Fourier 52, ETS seasonal_period=52): </w:t>
      </w:r>
      <w:r>
        <w:rPr>
          <w:rFonts w:ascii="Arial" w:cs="Arial" w:eastAsia="Arial" w:hAnsi="Arial"/>
          <w:color w:val="1A1A1A"/>
          <w:sz w:val="22"/>
          <w:szCs w:val="22"/>
        </w:rPr>
        <w:t xml:space="preserve">annual booking cycle (budget resets, January slow start, Q4 push) correctly captured across three models.</w:t>
      </w:r>
    </w:p>
    <w:p>
      <w:pPr>
        <w:pStyle w:val="ListParagraph"/>
        <w:numPr>
          <w:ilvl w:val="0"/>
          <w:numId w:val="2"/>
        </w:numPr>
        <w:spacing w:after="60" w:before="0"/>
      </w:pPr>
      <w:r>
        <w:rPr>
          <w:rFonts w:ascii="Arial" w:cs="Arial" w:eastAsia="Arial" w:hAnsi="Arial"/>
          <w:b/>
          <w:bCs/>
          <w:color w:val="1A1A1A"/>
          <w:sz w:val="22"/>
          <w:szCs w:val="22"/>
        </w:rPr>
        <w:t xml:space="preserve">US holidays (us_holiday binary): </w:t>
      </w:r>
      <w:r>
        <w:rPr>
          <w:rFonts w:ascii="Arial" w:cs="Arial" w:eastAsia="Arial" w:hAnsi="Arial"/>
          <w:color w:val="1A1A1A"/>
          <w:sz w:val="22"/>
          <w:szCs w:val="22"/>
        </w:rPr>
        <w:t xml:space="preserve">present in calendar features and DHR xreg. Correct — US holidays suppress deal closes.</w:t>
      </w:r>
    </w:p>
    <w:p>
      <w:pPr>
        <w:pStyle w:val="Heading2"/>
        <w:spacing w:after="100" w:before="240"/>
      </w:pPr>
      <w:r>
        <w:rPr>
          <w:rFonts w:ascii="Arial" w:cs="Arial" w:eastAsia="Arial" w:hAnsi="Arial"/>
          <w:b/>
          <w:bCs/>
          <w:color w:val="2E74B5"/>
          <w:sz w:val="26"/>
          <w:szCs w:val="26"/>
        </w:rPr>
        <w:t xml:space="preserve">5.2  Missing Seasonal Components</w:t>
      </w:r>
    </w:p>
    <w:p>
      <w:pPr>
        <w:pStyle w:val="ListParagraph"/>
        <w:numPr>
          <w:ilvl w:val="0"/>
          <w:numId w:val="2"/>
        </w:numPr>
        <w:spacing w:after="60" w:before="0"/>
      </w:pPr>
      <w:r>
        <w:rPr>
          <w:rFonts w:ascii="Arial" w:cs="Arial" w:eastAsia="Arial" w:hAnsi="Arial"/>
          <w:b/>
          <w:bCs/>
          <w:color w:val="1A1A1A"/>
          <w:sz w:val="22"/>
          <w:szCs w:val="22"/>
        </w:rPr>
        <w:t xml:space="preserve">Fiscal year effects: </w:t>
      </w:r>
      <w:r>
        <w:rPr>
          <w:rFonts w:ascii="Arial" w:cs="Arial" w:eastAsia="Arial" w:hAnsi="Arial"/>
          <w:color w:val="1A1A1A"/>
          <w:sz w:val="22"/>
          <w:szCs w:val="22"/>
        </w:rPr>
        <w:t xml:space="preserve">GoTo's fiscal year may differ from calendar year. If fiscal Q4 ≠ calendar Q4, the q4_week_countdown feature would misfire. Confirm FY alignment.</w:t>
      </w:r>
    </w:p>
    <w:p>
      <w:pPr>
        <w:pStyle w:val="ListParagraph"/>
        <w:numPr>
          <w:ilvl w:val="0"/>
          <w:numId w:val="2"/>
        </w:numPr>
        <w:spacing w:after="60" w:before="0"/>
      </w:pPr>
      <w:r>
        <w:rPr>
          <w:rFonts w:ascii="Arial" w:cs="Arial" w:eastAsia="Arial" w:hAnsi="Arial"/>
          <w:b/>
          <w:bCs/>
          <w:color w:val="1A1A1A"/>
          <w:sz w:val="22"/>
          <w:szCs w:val="22"/>
        </w:rPr>
        <w:t xml:space="preserve">Ramadan / regional holidays for APAC/EMEA/LATAM: </w:t>
      </w:r>
      <w:r>
        <w:rPr>
          <w:rFonts w:ascii="Arial" w:cs="Arial" w:eastAsia="Arial" w:hAnsi="Arial"/>
          <w:color w:val="1A1A1A"/>
          <w:sz w:val="22"/>
          <w:szCs w:val="22"/>
        </w:rPr>
        <w:t xml:space="preserve">us_holiday only covers US holidays. EMEA and LATAM markets would benefit from region-specific holiday calendars. The 'holidays' library supports this:</w:t>
      </w:r>
    </w:p>
    <w:p>
      <w:pPr>
        <w:spacing w:after="120" w:before="0"/>
      </w:pPr>
      <w:r>
        <w:rPr>
          <w:rFonts w:ascii="Courier New" w:cs="Courier New" w:eastAsia="Courier New" w:hAnsi="Courier New"/>
          <w:color w:val="C7254E"/>
          <w:sz w:val="18"/>
          <w:szCs w:val="18"/>
        </w:rPr>
        <w:t xml:space="preserve">import holidays
emea_holidays = holidays.UK() | holidays.DE() | holidays.FR()
apac_holidays = holidays.AU() | holidays.SG()</w:t>
      </w:r>
    </w:p>
    <w:p>
      <w:pPr>
        <w:pStyle w:val="ListParagraph"/>
        <w:numPr>
          <w:ilvl w:val="0"/>
          <w:numId w:val="2"/>
        </w:numPr>
        <w:spacing w:after="60" w:before="0"/>
      </w:pPr>
      <w:r>
        <w:rPr>
          <w:rFonts w:ascii="Arial" w:cs="Arial" w:eastAsia="Arial" w:hAnsi="Arial"/>
          <w:b/>
          <w:bCs/>
          <w:color w:val="1A1A1A"/>
          <w:sz w:val="22"/>
          <w:szCs w:val="22"/>
        </w:rPr>
        <w:t xml:space="preserve">Changepoint detection: </w:t>
      </w:r>
      <w:r>
        <w:rPr>
          <w:rFonts w:ascii="Arial" w:cs="Arial" w:eastAsia="Arial" w:hAnsi="Arial"/>
          <w:color w:val="1A1A1A"/>
          <w:sz w:val="22"/>
          <w:szCs w:val="22"/>
        </w:rPr>
        <w:t xml:space="preserve">no explicit structural break detection. Prophet uses changepoints but with very conservative settings (4 max). Consider using ruptures library or CUSUMtest on the training residuals to flag structural breaks for human review:</w:t>
      </w:r>
    </w:p>
    <w:p>
      <w:pPr>
        <w:spacing w:after="120" w:before="0"/>
      </w:pPr>
      <w:r>
        <w:rPr>
          <w:rFonts w:ascii="Courier New" w:cs="Courier New" w:eastAsia="Courier New" w:hAnsi="Courier New"/>
          <w:color w:val="C7254E"/>
          <w:sz w:val="18"/>
          <w:szCs w:val="18"/>
        </w:rPr>
        <w:t xml:space="preserve">import ruptures
algo = ruptures.Pelt(model='rbf').fit(y_array)
breakpoints = algo.predict(pen=10)</w:t>
      </w:r>
    </w:p>
    <w:p>
      <w:pPr>
        <w:pStyle w:val="ListParagraph"/>
        <w:numPr>
          <w:ilvl w:val="0"/>
          <w:numId w:val="2"/>
        </w:numPr>
        <w:spacing w:after="60" w:before="0"/>
      </w:pPr>
      <w:r>
        <w:rPr>
          <w:rFonts w:ascii="Arial" w:cs="Arial" w:eastAsia="Arial" w:hAnsi="Arial"/>
          <w:b/>
          <w:bCs/>
          <w:color w:val="1A1A1A"/>
          <w:sz w:val="22"/>
          <w:szCs w:val="22"/>
        </w:rPr>
        <w:t xml:space="preserve">Regression-to-mean effects: </w:t>
      </w:r>
      <w:r>
        <w:rPr>
          <w:rFonts w:ascii="Arial" w:cs="Arial" w:eastAsia="Arial" w:hAnsi="Arial"/>
          <w:color w:val="1A1A1A"/>
          <w:sz w:val="22"/>
          <w:szCs w:val="22"/>
        </w:rPr>
        <w:t xml:space="preserve">very high ARR weeks (quarter-end spikes) tend to be followed by low weeks. The y_lag1 feature partially captures this, but an explicit 'lagged deviation from trend' feature would be more targeted.</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6. Data Quality &amp; Feature Engineering</w:t>
      </w:r>
    </w:p>
    <w:p>
      <w:pPr>
        <w:pStyle w:val="Heading2"/>
        <w:spacing w:after="100" w:before="240"/>
      </w:pPr>
      <w:r>
        <w:rPr>
          <w:rFonts w:ascii="Arial" w:cs="Arial" w:eastAsia="Arial" w:hAnsi="Arial"/>
          <w:b/>
          <w:bCs/>
          <w:color w:val="2E74B5"/>
          <w:sz w:val="26"/>
          <w:szCs w:val="26"/>
        </w:rPr>
        <w:t xml:space="preserve">6.1  Data Quality Assessment</w:t>
      </w:r>
    </w:p>
    <w:p>
      <w:pPr>
        <w:pStyle w:val="ListParagraph"/>
        <w:numPr>
          <w:ilvl w:val="0"/>
          <w:numId w:val="2"/>
        </w:numPr>
        <w:spacing w:after="60" w:before="0"/>
      </w:pPr>
      <w:r>
        <w:rPr>
          <w:rFonts w:ascii="Arial" w:cs="Arial" w:eastAsia="Arial" w:hAnsi="Arial"/>
          <w:b/>
          <w:bCs/>
          <w:color w:val="1A1A1A"/>
          <w:sz w:val="22"/>
          <w:szCs w:val="22"/>
        </w:rPr>
        <w:t xml:space="preserve">Source: </w:t>
      </w:r>
      <w:r>
        <w:rPr>
          <w:rFonts w:ascii="Courier New" w:cs="Courier New" w:eastAsia="Courier New" w:hAnsi="Courier New"/>
          <w:color w:val="C7254E"/>
          <w:sz w:val="18"/>
          <w:szCs w:val="18"/>
        </w:rPr>
        <w:t xml:space="preserve">datagroup.datalake_transform.cds_sfdc_opp_products_latest</w:t>
      </w:r>
      <w:r>
        <w:rPr>
          <w:rFonts w:ascii="Arial" w:cs="Arial" w:eastAsia="Arial" w:hAnsi="Arial"/>
          <w:color w:val="1A1A1A"/>
          <w:sz w:val="22"/>
          <w:szCs w:val="22"/>
        </w:rPr>
        <w:t xml:space="preserve"> — SFDC won+closed opportunity line items. Correct source for realized ARR. Growth filter + Care/Sales Other exclusion applied correctly.</w:t>
      </w:r>
    </w:p>
    <w:p>
      <w:pPr>
        <w:pStyle w:val="ListParagraph"/>
        <w:numPr>
          <w:ilvl w:val="0"/>
          <w:numId w:val="2"/>
        </w:numPr>
        <w:spacing w:after="60" w:before="0"/>
      </w:pPr>
      <w:r>
        <w:rPr>
          <w:rFonts w:ascii="Arial" w:cs="Arial" w:eastAsia="Arial" w:hAnsi="Arial"/>
          <w:b/>
          <w:bCs/>
          <w:color w:val="1A1A1A"/>
          <w:sz w:val="22"/>
          <w:szCs w:val="22"/>
        </w:rPr>
        <w:t xml:space="preserve">Market normalization: </w:t>
      </w:r>
      <w:r>
        <w:rPr>
          <w:rFonts w:ascii="Arial" w:cs="Arial" w:eastAsia="Arial" w:hAnsi="Arial"/>
          <w:color w:val="1A1A1A"/>
          <w:sz w:val="22"/>
          <w:szCs w:val="22"/>
        </w:rPr>
        <w:t xml:space="preserve">AUS/ROW→APAC, INDIA→APAC, UNKNOWN→Unknown handled consistently across all steps. 'Unknown' market (~0.1–2% of ARR based on 5-market split) is kept rather than dropped — correct choice.</w:t>
      </w:r>
    </w:p>
    <w:p>
      <w:pPr>
        <w:pStyle w:val="ListParagraph"/>
        <w:numPr>
          <w:ilvl w:val="0"/>
          <w:numId w:val="2"/>
        </w:numPr>
        <w:spacing w:after="60" w:before="0"/>
      </w:pPr>
      <w:r>
        <w:rPr>
          <w:rFonts w:ascii="Arial" w:cs="Arial" w:eastAsia="Arial" w:hAnsi="Arial"/>
          <w:b/>
          <w:bCs/>
          <w:color w:val="1A1A1A"/>
          <w:sz w:val="22"/>
          <w:szCs w:val="22"/>
        </w:rPr>
        <w:t xml:space="preserve">Zero weeks: </w:t>
      </w:r>
      <w:r>
        <w:rPr>
          <w:rFonts w:ascii="Arial" w:cs="Arial" w:eastAsia="Arial" w:hAnsi="Arial"/>
          <w:color w:val="1A1A1A"/>
          <w:sz w:val="22"/>
          <w:szCs w:val="22"/>
        </w:rPr>
        <w:t xml:space="preserve">EDA checks for zero-ARR weeks (important for sparse APAC/LATAM markets). No information on count shown in outputs. If any market has &gt;5% zero weeks, consider Intermittent Demand Forecasting (CROSTON, TSB) for those slices.</w:t>
      </w:r>
    </w:p>
    <w:p>
      <w:pPr>
        <w:pStyle w:val="ListParagraph"/>
        <w:numPr>
          <w:ilvl w:val="0"/>
          <w:numId w:val="2"/>
        </w:numPr>
        <w:spacing w:after="60" w:before="0"/>
      </w:pPr>
      <w:r>
        <w:rPr>
          <w:rFonts w:ascii="Arial" w:cs="Arial" w:eastAsia="Arial" w:hAnsi="Arial"/>
          <w:b/>
          <w:bCs/>
          <w:color w:val="1A1A1A"/>
          <w:sz w:val="22"/>
          <w:szCs w:val="22"/>
        </w:rPr>
        <w:t xml:space="preserve">Miradore + self-serve inclusion (from Slack): </w:t>
      </w:r>
      <w:r>
        <w:rPr>
          <w:rFonts w:ascii="Arial" w:cs="Arial" w:eastAsia="Arial" w:hAnsi="Arial"/>
          <w:color w:val="1A1A1A"/>
          <w:sz w:val="22"/>
          <w:szCs w:val="22"/>
        </w:rPr>
        <w:t xml:space="preserve">Dileep noted that Miradore and self-serve were previously missing from Sona's dashboard but are now included. This is a data coverage expansion that could shift model baselines. Re-run the CV after this data change to get clean accuracy metrics that aren't contaminated by the coverage change.</w:t>
      </w:r>
    </w:p>
    <w:p>
      <w:pPr>
        <w:pStyle w:val="Heading2"/>
        <w:spacing w:after="100" w:before="240"/>
      </w:pPr>
      <w:r>
        <w:rPr>
          <w:rFonts w:ascii="Arial" w:cs="Arial" w:eastAsia="Arial" w:hAnsi="Arial"/>
          <w:b/>
          <w:bCs/>
          <w:color w:val="2E74B5"/>
          <w:sz w:val="26"/>
          <w:szCs w:val="26"/>
        </w:rPr>
        <w:t xml:space="preserve">6.2  Feature Engineering Assessment</w:t>
      </w:r>
    </w:p>
    <w:p>
      <w:pPr>
        <w:spacing w:after="120" w:before="0"/>
      </w:pPr>
      <w:r>
        <w:rPr>
          <w:rFonts w:ascii="Arial" w:cs="Arial" w:eastAsia="Arial" w:hAnsi="Arial"/>
          <w:b/>
          <w:bCs/>
          <w:color w:val="1A1A1A"/>
          <w:sz w:val="22"/>
          <w:szCs w:val="22"/>
        </w:rPr>
        <w:t xml:space="preserve">Current feature set (23 columns for LGB) is strong. </w:t>
      </w:r>
      <w:r>
        <w:rPr>
          <w:rFonts w:ascii="Arial" w:cs="Arial" w:eastAsia="Arial" w:hAnsi="Arial"/>
          <w:color w:val="1A1A1A"/>
          <w:sz w:val="22"/>
          <w:szCs w:val="22"/>
        </w:rPr>
        <w:t xml:space="preserve">Missing opportunities:</w:t>
      </w:r>
    </w:p>
    <w:p>
      <w:pPr>
        <w:pStyle w:val="ListParagraph"/>
        <w:numPr>
          <w:ilvl w:val="0"/>
          <w:numId w:val="2"/>
        </w:numPr>
        <w:spacing w:after="60" w:before="0"/>
      </w:pPr>
      <w:r>
        <w:rPr>
          <w:rFonts w:ascii="Arial" w:cs="Arial" w:eastAsia="Arial" w:hAnsi="Arial"/>
          <w:b/>
          <w:bCs/>
          <w:color w:val="1A1A1A"/>
          <w:sz w:val="22"/>
          <w:szCs w:val="22"/>
        </w:rPr>
        <w:t xml:space="preserve">Rolling volatility: </w:t>
      </w:r>
      <w:r>
        <w:rPr>
          <w:rFonts w:ascii="Arial" w:cs="Arial" w:eastAsia="Arial" w:hAnsi="Arial"/>
          <w:color w:val="1A1A1A"/>
          <w:sz w:val="22"/>
          <w:szCs w:val="22"/>
        </w:rPr>
        <w:t xml:space="preserve">std(y, window=4) and std(y, window=13) capture ARR predictability. High volatility weeks (after structural breaks) should push P10/P90 apart. Currently absent.</w:t>
      </w:r>
    </w:p>
    <w:p>
      <w:pPr>
        <w:pStyle w:val="ListParagraph"/>
        <w:numPr>
          <w:ilvl w:val="0"/>
          <w:numId w:val="2"/>
        </w:numPr>
        <w:spacing w:after="60" w:before="0"/>
      </w:pPr>
      <w:r>
        <w:rPr>
          <w:rFonts w:ascii="Arial" w:cs="Arial" w:eastAsia="Arial" w:hAnsi="Arial"/>
          <w:b/>
          <w:bCs/>
          <w:color w:val="1A1A1A"/>
          <w:sz w:val="22"/>
          <w:szCs w:val="22"/>
        </w:rPr>
        <w:t xml:space="preserve">Momentum indicators: </w:t>
      </w:r>
      <w:r>
        <w:rPr>
          <w:rFonts w:ascii="Arial" w:cs="Arial" w:eastAsia="Arial" w:hAnsi="Arial"/>
          <w:color w:val="1A1A1A"/>
          <w:sz w:val="22"/>
          <w:szCs w:val="22"/>
        </w:rPr>
        <w:t xml:space="preserve">QoQ growth rate and YoY growth rate as features. The model currently has lag values but not growth rates. A QoQ momentum feature captures acceleration/deceleration in ARR trajectory.</w:t>
      </w:r>
    </w:p>
    <w:p>
      <w:pPr>
        <w:spacing w:after="120" w:before="0"/>
      </w:pPr>
      <w:r>
        <w:rPr>
          <w:rFonts w:ascii="Courier New" w:cs="Courier New" w:eastAsia="Courier New" w:hAnsi="Courier New"/>
          <w:color w:val="C7254E"/>
          <w:sz w:val="18"/>
          <w:szCs w:val="18"/>
        </w:rPr>
        <w:t xml:space="preserve">df['yoy_growth'] = df['y'] / df['y'].shift(52).clip(lower=1) - 1
df['qoq_momentum'] = df['y_lag1'] / df['y_lag13'].clip(lower=1) - 1</w:t>
      </w:r>
    </w:p>
    <w:p>
      <w:pPr>
        <w:pStyle w:val="ListParagraph"/>
        <w:numPr>
          <w:ilvl w:val="0"/>
          <w:numId w:val="2"/>
        </w:numPr>
        <w:spacing w:after="60" w:before="0"/>
      </w:pPr>
      <w:r>
        <w:rPr>
          <w:rFonts w:ascii="Arial" w:cs="Arial" w:eastAsia="Arial" w:hAnsi="Arial"/>
          <w:b/>
          <w:bCs/>
          <w:color w:val="1A1A1A"/>
          <w:sz w:val="22"/>
          <w:szCs w:val="22"/>
        </w:rPr>
        <w:t xml:space="preserve">Cyclical encoding: </w:t>
      </w:r>
      <w:r>
        <w:rPr>
          <w:rFonts w:ascii="Arial" w:cs="Arial" w:eastAsia="Arial" w:hAnsi="Arial"/>
          <w:color w:val="1A1A1A"/>
          <w:sz w:val="22"/>
          <w:szCs w:val="22"/>
        </w:rPr>
        <w:t xml:space="preserve">week_of_qtr and quarter are used as integers. Cyclical sin/cos encoding prevents the model from treating week 13 as 'far' from week 1 when they are both quarter-end:</w:t>
      </w:r>
    </w:p>
    <w:p>
      <w:pPr>
        <w:spacing w:after="120" w:before="0"/>
      </w:pPr>
      <w:r>
        <w:rPr>
          <w:rFonts w:ascii="Courier New" w:cs="Courier New" w:eastAsia="Courier New" w:hAnsi="Courier New"/>
          <w:color w:val="C7254E"/>
          <w:sz w:val="18"/>
          <w:szCs w:val="18"/>
        </w:rPr>
        <w:t xml:space="preserve">df['woq_sin'] = np.sin(2 * np.pi * df['week_of_qtr'] / 13)
df['woq_cos'] = np.cos(2 * np.pi * df['week_of_qtr'] / 13)</w:t>
      </w:r>
    </w:p>
    <w:p>
      <w:pPr>
        <w:pStyle w:val="ListParagraph"/>
        <w:numPr>
          <w:ilvl w:val="0"/>
          <w:numId w:val="2"/>
        </w:numPr>
        <w:spacing w:after="60" w:before="0"/>
      </w:pPr>
      <w:r>
        <w:rPr>
          <w:rFonts w:ascii="Arial" w:cs="Arial" w:eastAsia="Arial" w:hAnsi="Arial"/>
          <w:b/>
          <w:bCs/>
          <w:color w:val="1A1A1A"/>
          <w:sz w:val="22"/>
          <w:szCs w:val="22"/>
        </w:rPr>
        <w:t xml:space="preserve">Partner pipeline features: </w:t>
      </w:r>
      <w:r>
        <w:rPr>
          <w:rFonts w:ascii="Arial" w:cs="Arial" w:eastAsia="Arial" w:hAnsi="Arial"/>
          <w:color w:val="1A1A1A"/>
          <w:sz w:val="22"/>
          <w:szCs w:val="22"/>
        </w:rPr>
        <w:t xml:space="preserve">total_partner_pipeline and partner_pipe_lag4 present. Consider adding partner_pipeline_velocity = partner_pipe / avg_opportunity_age for partner-channel acceleration signal.</w:t>
      </w:r>
    </w:p>
    <w:p>
      <w:pPr>
        <w:pStyle w:val="ListParagraph"/>
        <w:numPr>
          <w:ilvl w:val="0"/>
          <w:numId w:val="2"/>
        </w:numPr>
        <w:spacing w:after="60" w:before="0"/>
      </w:pPr>
      <w:r>
        <w:rPr>
          <w:rFonts w:ascii="Arial" w:cs="Arial" w:eastAsia="Arial" w:hAnsi="Arial"/>
          <w:b/>
          <w:bCs/>
          <w:color w:val="1A1A1A"/>
          <w:sz w:val="22"/>
          <w:szCs w:val="22"/>
        </w:rPr>
        <w:t xml:space="preserve">Deal size trend: </w:t>
      </w:r>
      <w:r>
        <w:rPr>
          <w:rFonts w:ascii="Arial" w:cs="Arial" w:eastAsia="Arial" w:hAnsi="Arial"/>
          <w:color w:val="1A1A1A"/>
          <w:sz w:val="22"/>
          <w:szCs w:val="22"/>
        </w:rPr>
        <w:t xml:space="preserve">deal_size_lag1 present. Add deal_size_r4w (4-week rolling avg) and deal_size_trend (r4w / lag13) to capture deal size momentum.</w:t>
      </w:r>
    </w:p>
    <w:p>
      <w:pPr>
        <w:pStyle w:val="ListParagraph"/>
        <w:numPr>
          <w:ilvl w:val="0"/>
          <w:numId w:val="2"/>
        </w:numPr>
        <w:spacing w:after="60" w:before="0"/>
      </w:pPr>
      <w:r>
        <w:rPr>
          <w:rFonts w:ascii="Arial" w:cs="Arial" w:eastAsia="Arial" w:hAnsi="Arial"/>
          <w:b/>
          <w:bCs/>
          <w:color w:val="1A1A1A"/>
          <w:sz w:val="22"/>
          <w:szCs w:val="22"/>
        </w:rPr>
        <w:t xml:space="preserve">Sales rep ramp ratio: </w:t>
      </w:r>
      <w:r>
        <w:rPr>
          <w:rFonts w:ascii="Arial" w:cs="Arial" w:eastAsia="Arial" w:hAnsi="Arial"/>
          <w:color w:val="1A1A1A"/>
          <w:sz w:val="22"/>
          <w:szCs w:val="22"/>
        </w:rPr>
        <w:t xml:space="preserve">sales_rep_ramp_ratio present (net new HC additions as % of total). This is an excellent leading indicator — ramping reps have lower productivity for 3–6 months. The 26-week rolling window is appropriate.</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7. Forecast Evaluation Framework</w:t>
      </w:r>
    </w:p>
    <w:p>
      <w:pPr>
        <w:pStyle w:val="Heading2"/>
        <w:spacing w:after="100" w:before="240"/>
      </w:pPr>
      <w:r>
        <w:rPr>
          <w:rFonts w:ascii="Arial" w:cs="Arial" w:eastAsia="Arial" w:hAnsi="Arial"/>
          <w:b/>
          <w:bCs/>
          <w:color w:val="2E74B5"/>
          <w:sz w:val="26"/>
          <w:szCs w:val="26"/>
        </w:rPr>
        <w:t xml:space="preserve">7.1  Current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Metric</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Assessment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WAPE</w:t>
            </w:r>
          </w:p>
        </w:tc>
        <w:tc>
          <w:tcPr>
            <w:tcW w:type="dxa" w:w="12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Primary metric — correct for ARR (weighted by actual values, not inflated by near-zero denominator issues)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MAPE</w:t>
            </w:r>
          </w:p>
        </w:tc>
        <w:tc>
          <w:tcPr>
            <w:tcW w:type="dxa" w:w="12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Secondary — reported but WAPE should be primary since MAPE is unstable near zero</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MPE (bias)</w:t>
            </w:r>
          </w:p>
        </w:tc>
        <w:tc>
          <w:tcPr>
            <w:tcW w:type="dxa" w:w="12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Sign bias detection — critical. Persistent positive MPE = model is systematically over-forecasting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CI Coverage</w:t>
            </w:r>
          </w:p>
        </w:tc>
        <w:tc>
          <w:tcPr>
            <w:tcW w:type="dxa" w:w="12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vAlign w:val="center"/>
          </w:tcPr>
          <w:p>
            <w:pPr>
              <w:spacing w:after="0" w:before="0"/>
              <w:jc w:val="center"/>
            </w:pPr>
            <w:r>
              <w:rPr>
                <w:rFonts w:ascii="Arial" w:cs="Arial" w:eastAsia="Arial" w:hAnsi="Arial"/>
                <w:b/>
                <w:bCs/>
                <w:color w:val="375623"/>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Added in V2 for quantile models. Target 80% for P10/P90 interval. Under 70% means intervals too tight; over 90% means too wide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RMSE</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Not computed. Useful for penalizing large errors (Q4 spikes). Add: rmse = np.sqrt(np.mean((actual-pred)**2))</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SMAPE</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Not computed. Symmetric version of MAPE — treats over/under forecasting equally. Better for executive dashboards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Forecast stability</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vAlign w:val="center"/>
          </w:tcPr>
          <w:p>
            <w:pPr>
              <w:spacing w:after="0" w:before="0"/>
              <w:jc w:val="center"/>
            </w:pPr>
            <w:r>
              <w:rPr>
                <w:rFonts w:ascii="Arial" w:cs="Arial" w:eastAsia="Arial" w:hAnsi="Arial"/>
                <w:b/>
                <w:bCs/>
                <w:color w:val="C00000"/>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Not measured. Week-over-week forecast revision (how much does Q3 forecast change each week?) is critical for business trust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Quantile calibration</w:t>
            </w:r>
          </w:p>
        </w:tc>
        <w:tc>
          <w:tcPr>
            <w:tcW w:type="dxa" w:w="12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vAlign w:val="center"/>
          </w:tcPr>
          <w:p>
            <w:pPr>
              <w:spacing w:after="0" w:before="0"/>
              <w:jc w:val="center"/>
            </w:pPr>
            <w:r>
              <w:rPr>
                <w:rFonts w:ascii="Arial" w:cs="Arial" w:eastAsia="Arial" w:hAnsi="Arial"/>
                <w:b/>
                <w:bCs/>
                <w:color w:val="C55A11"/>
                <w:sz w:val="22"/>
                <w:szCs w:val="22"/>
              </w:rPr>
              <w:t xml:space="preserv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CI coverage added but quantile reliability diagrams (actual coverage per quantile level) not yet produced</w:t>
            </w:r>
          </w:p>
        </w:tc>
      </w:tr>
    </w:tbl>
    <w:p>
      <w:pPr>
        <w:spacing w:after="100" w:before="0"/>
      </w:pPr>
    </w:p>
    <w:p>
      <w:pPr>
        <w:pStyle w:val="Heading2"/>
        <w:spacing w:after="100" w:before="240"/>
      </w:pPr>
      <w:r>
        <w:rPr>
          <w:rFonts w:ascii="Arial" w:cs="Arial" w:eastAsia="Arial" w:hAnsi="Arial"/>
          <w:b/>
          <w:bCs/>
          <w:color w:val="2E74B5"/>
          <w:sz w:val="26"/>
          <w:szCs w:val="26"/>
        </w:rPr>
        <w:t xml:space="preserve">7.2  Recommended Additions</w:t>
      </w:r>
    </w:p>
    <w:p>
      <w:pPr>
        <w:pStyle w:val="ListParagraph"/>
        <w:numPr>
          <w:ilvl w:val="0"/>
          <w:numId w:val="2"/>
        </w:numPr>
        <w:spacing w:after="60" w:before="0"/>
      </w:pPr>
      <w:r>
        <w:rPr>
          <w:rFonts w:ascii="Arial" w:cs="Arial" w:eastAsia="Arial" w:hAnsi="Arial"/>
          <w:b/>
          <w:bCs/>
          <w:color w:val="1A1A1A"/>
          <w:sz w:val="22"/>
          <w:szCs w:val="22"/>
        </w:rPr>
        <w:t xml:space="preserve">Pinball loss per quantile: </w:t>
      </w:r>
      <w:r>
        <w:rPr>
          <w:rFonts w:ascii="Arial" w:cs="Arial" w:eastAsia="Arial" w:hAnsi="Arial"/>
          <w:color w:val="1A1A1A"/>
          <w:sz w:val="22"/>
          <w:szCs w:val="22"/>
        </w:rPr>
        <w:t xml:space="preserve">confirms P10/P50/P90 are individually well-calibrated, not just that the interval covers 80% of actuals.</w:t>
      </w:r>
    </w:p>
    <w:p>
      <w:pPr>
        <w:pStyle w:val="ListParagraph"/>
        <w:numPr>
          <w:ilvl w:val="0"/>
          <w:numId w:val="2"/>
        </w:numPr>
        <w:spacing w:after="60" w:before="0"/>
      </w:pPr>
      <w:r>
        <w:rPr>
          <w:rFonts w:ascii="Arial" w:cs="Arial" w:eastAsia="Arial" w:hAnsi="Arial"/>
          <w:b/>
          <w:bCs/>
          <w:color w:val="1A1A1A"/>
          <w:sz w:val="22"/>
          <w:szCs w:val="22"/>
        </w:rPr>
        <w:t xml:space="preserve">Forecast stability chart: </w:t>
      </w:r>
      <w:r>
        <w:rPr>
          <w:rFonts w:ascii="Arial" w:cs="Arial" w:eastAsia="Arial" w:hAnsi="Arial"/>
          <w:color w:val="1A1A1A"/>
          <w:sz w:val="22"/>
          <w:szCs w:val="22"/>
        </w:rPr>
        <w:t xml:space="preserve">plot the weekly revision in Q3/Q4 forecast as new data arrives. Highly unstable forecasts (revision &gt; 10% week-over-week) signal model sensitivity to recent data — a calibration issue.</w:t>
      </w:r>
    </w:p>
    <w:p>
      <w:pPr>
        <w:pStyle w:val="ListParagraph"/>
        <w:numPr>
          <w:ilvl w:val="0"/>
          <w:numId w:val="2"/>
        </w:numPr>
        <w:spacing w:after="60" w:before="0"/>
      </w:pPr>
      <w:r>
        <w:rPr>
          <w:rFonts w:ascii="Arial" w:cs="Arial" w:eastAsia="Arial" w:hAnsi="Arial"/>
          <w:b/>
          <w:bCs/>
          <w:color w:val="1A1A1A"/>
          <w:sz w:val="22"/>
          <w:szCs w:val="22"/>
        </w:rPr>
        <w:t xml:space="preserve">Quarterly WAPE by market: </w:t>
      </w:r>
      <w:r>
        <w:rPr>
          <w:rFonts w:ascii="Arial" w:cs="Arial" w:eastAsia="Arial" w:hAnsi="Arial"/>
          <w:color w:val="1A1A1A"/>
          <w:sz w:val="22"/>
          <w:szCs w:val="22"/>
        </w:rPr>
        <w:t xml:space="preserve">already partially implemented in Step 8B. Formalize into a monitoring table showing APAC, EMEA, LATAM, NA WAPE separately. NA/EMEA will be most accurate; APAC/LATAM may remain volatile.</w:t>
      </w:r>
    </w:p>
    <w:p>
      <w:pPr>
        <w:pStyle w:val="ListParagraph"/>
        <w:numPr>
          <w:ilvl w:val="0"/>
          <w:numId w:val="2"/>
        </w:numPr>
        <w:spacing w:after="60" w:before="0"/>
      </w:pPr>
      <w:r>
        <w:rPr>
          <w:rFonts w:ascii="Arial" w:cs="Arial" w:eastAsia="Arial" w:hAnsi="Arial"/>
          <w:b/>
          <w:bCs/>
          <w:color w:val="1A1A1A"/>
          <w:sz w:val="22"/>
          <w:szCs w:val="22"/>
        </w:rPr>
        <w:t xml:space="preserve">Bias decomposition: </w:t>
      </w:r>
      <w:r>
        <w:rPr>
          <w:rFonts w:ascii="Arial" w:cs="Arial" w:eastAsia="Arial" w:hAnsi="Arial"/>
          <w:color w:val="1A1A1A"/>
          <w:sz w:val="22"/>
          <w:szCs w:val="22"/>
        </w:rPr>
        <w:t xml:space="preserve">decompose MPE into trend bias vs. seasonal bias. A model that systematically under-forecasts Q4 week 11–13 has a seasonal bias that can be corrected with a simple additive adjustment.</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8. Ensemble &amp; Reconciliation</w:t>
      </w:r>
    </w:p>
    <w:p>
      <w:pPr>
        <w:pStyle w:val="Heading2"/>
        <w:spacing w:after="100" w:before="240"/>
      </w:pPr>
      <w:r>
        <w:rPr>
          <w:rFonts w:ascii="Arial" w:cs="Arial" w:eastAsia="Arial" w:hAnsi="Arial"/>
          <w:b/>
          <w:bCs/>
          <w:color w:val="2E74B5"/>
          <w:sz w:val="26"/>
          <w:szCs w:val="26"/>
        </w:rPr>
        <w:t xml:space="preserve">8.1  Ensemble Design (Step 13)</w:t>
      </w:r>
    </w:p>
    <w:p>
      <w:pPr>
        <w:spacing w:after="120" w:before="0"/>
      </w:pPr>
      <w:r>
        <w:rPr>
          <w:rFonts w:ascii="Arial" w:cs="Arial" w:eastAsia="Arial" w:hAnsi="Arial"/>
          <w:b/>
          <w:bCs/>
          <w:color w:val="1A1A1A"/>
          <w:sz w:val="22"/>
          <w:szCs w:val="22"/>
        </w:rPr>
        <w:t xml:space="preserve">The adaptive inverse-WAPE weighting is theoretically correct (Bates-Granger 1969 style). </w:t>
      </w:r>
      <w:r>
        <w:rPr>
          <w:rFonts w:ascii="Arial" w:cs="Arial" w:eastAsia="Arial" w:hAnsi="Arial"/>
          <w:color w:val="1A1A1A"/>
          <w:sz w:val="22"/>
          <w:szCs w:val="22"/>
        </w:rPr>
        <w:t xml:space="preserve">Models with lower CV WAPE receive higher weight. This is a substantial improvement over the V1 hard-coded 30/30/40 weights.</w:t>
      </w:r>
    </w:p>
    <w:p>
      <w:pPr>
        <w:spacing w:after="120" w:before="0"/>
      </w:pPr>
      <w:r>
        <w:rPr>
          <w:rFonts w:ascii="Arial" w:cs="Arial" w:eastAsia="Arial" w:hAnsi="Arial"/>
          <w:b/>
          <w:bCs/>
          <w:color w:val="1A1A1A"/>
          <w:sz w:val="22"/>
          <w:szCs w:val="22"/>
        </w:rPr>
        <w:t xml:space="preserve">Enhancement — use WAPE covariance, not just means: </w:t>
      </w:r>
      <w:r>
        <w:rPr>
          <w:rFonts w:ascii="Arial" w:cs="Arial" w:eastAsia="Arial" w:hAnsi="Arial"/>
          <w:color w:val="1A1A1A"/>
          <w:sz w:val="22"/>
          <w:szCs w:val="22"/>
        </w:rPr>
        <w:t xml:space="preserve">the current formula weights = 1/mean_wape. The Bates-Granger optimal weight uses the full covariance matrix of forecast errors across models. Two models with similar WAPE but correlated errors should not both get high weight:</w:t>
      </w:r>
    </w:p>
    <w:p>
      <w:pPr>
        <w:spacing w:after="120" w:before="0"/>
      </w:pPr>
      <w:r>
        <w:rPr>
          <w:rFonts w:ascii="Courier New" w:cs="Courier New" w:eastAsia="Courier New" w:hAnsi="Courier New"/>
          <w:color w:val="C7254E"/>
          <w:sz w:val="18"/>
          <w:szCs w:val="18"/>
        </w:rPr>
        <w:t xml:space="preserve"># Optimal linear combination (Granger-Ramanathan)
from numpy.linalg import inv
error_matrix = np.column_stack([model_errors])  # T x N matrix
W = np.cov(error_matrix.T)  # N x N covariance
ones = np.ones(N)
w_optimal = inv(W) @ ones / (ones.T @ inv(W) @ ones)</w:t>
      </w:r>
    </w:p>
    <w:p>
      <w:pPr>
        <w:spacing w:after="120" w:before="0"/>
      </w:pPr>
      <w:r>
        <w:rPr>
          <w:rFonts w:ascii="Arial" w:cs="Arial" w:eastAsia="Arial" w:hAnsi="Arial"/>
          <w:b/>
          <w:bCs/>
          <w:color w:val="1A1A1A"/>
          <w:sz w:val="22"/>
          <w:szCs w:val="22"/>
        </w:rPr>
        <w:t xml:space="preserve">Ensemble interval: </w:t>
      </w:r>
      <w:r>
        <w:rPr>
          <w:rFonts w:ascii="Arial" w:cs="Arial" w:eastAsia="Arial" w:hAnsi="Arial"/>
          <w:color w:val="1A1A1A"/>
          <w:sz w:val="22"/>
          <w:szCs w:val="22"/>
        </w:rPr>
        <w:t xml:space="preserve">current ensemble produces a P50 forecast by weighting model P50s. The ensemble P10/P90 interval should be computed from the empirical distribution of ensemble errors across CV folds, not from averaging model intervals (averaging intervals underestimates true uncertainty).</w:t>
      </w:r>
    </w:p>
    <w:p>
      <w:pPr>
        <w:spacing w:after="100" w:before="0"/>
      </w:pPr>
    </w:p>
    <w:p>
      <w:pPr>
        <w:pStyle w:val="Heading2"/>
        <w:spacing w:after="100" w:before="240"/>
      </w:pPr>
      <w:r>
        <w:rPr>
          <w:rFonts w:ascii="Arial" w:cs="Arial" w:eastAsia="Arial" w:hAnsi="Arial"/>
          <w:b/>
          <w:bCs/>
          <w:color w:val="2E74B5"/>
          <w:sz w:val="26"/>
          <w:szCs w:val="26"/>
        </w:rPr>
        <w:t xml:space="preserve">8.2  Reconciliation (mint_ols_reconcile)</w:t>
      </w:r>
    </w:p>
    <w:p>
      <w:pPr>
        <w:spacing w:after="120" w:before="0"/>
      </w:pPr>
      <w:r>
        <w:rPr>
          <w:rFonts w:ascii="Arial" w:cs="Arial" w:eastAsia="Arial" w:hAnsi="Arial"/>
          <w:b/>
          <w:bCs/>
          <w:color w:val="1A1A1A"/>
          <w:sz w:val="22"/>
          <w:szCs w:val="22"/>
        </w:rPr>
        <w:t xml:space="preserve">The current implementation is OLS projection (S(S'S)^{-1}S'), not true MinT. </w:t>
      </w:r>
      <w:r>
        <w:rPr>
          <w:rFonts w:ascii="Arial" w:cs="Arial" w:eastAsia="Arial" w:hAnsi="Arial"/>
          <w:color w:val="1A1A1A"/>
          <w:sz w:val="22"/>
          <w:szCs w:val="22"/>
        </w:rPr>
        <w:t xml:space="preserve">The distinction matters: OLS assumes all base forecasts have equal variance, MinT weights by forecast error covariance. For your data, LGB market-level forecasts are probably more accurate than MSTL top-down allocations — MinT would correctly give LGB market forecasts more weight in the reconciled output.</w:t>
      </w:r>
    </w:p>
    <w:p>
      <w:pPr>
        <w:spacing w:after="120" w:before="0"/>
      </w:pPr>
      <w:r>
        <w:rPr>
          <w:rFonts w:ascii="Arial" w:cs="Arial" w:eastAsia="Arial" w:hAnsi="Arial"/>
          <w:b/>
          <w:bCs/>
          <w:color w:val="1A1A1A"/>
          <w:sz w:val="22"/>
          <w:szCs w:val="22"/>
        </w:rPr>
        <w:t xml:space="preserve">True MinT implementation: </w:t>
      </w:r>
    </w:p>
    <w:p>
      <w:pPr>
        <w:spacing w:after="120" w:before="0"/>
      </w:pPr>
      <w:r>
        <w:rPr>
          <w:rFonts w:ascii="Courier New" w:cs="Courier New" w:eastAsia="Courier New" w:hAnsi="Courier New"/>
          <w:color w:val="C7254E"/>
          <w:sz w:val="18"/>
          <w:szCs w:val="18"/>
        </w:rPr>
        <w:t xml:space="preserve">from statsforecast.utils import ConformalIntervals
# Or use hierarchicalforecast library:
from hierarchicalforecast.methods import MinTrace
from hierarchicalforecast.core import HierarchicalReconciliation
hrec = HierarchicalReconciliation(reconcilers=[MinTrace(method='wls_struct')])
reconciled = hrec.reconcile(Y_hat_df=base_forecasts, Y_df=actuals, S=S_matrix, tags=tags)</w:t>
      </w:r>
    </w:p>
    <w:p>
      <w:pPr>
        <w:spacing w:after="120" w:before="0"/>
      </w:pPr>
      <w:r>
        <w:rPr>
          <w:rFonts w:ascii="Arial" w:cs="Arial" w:eastAsia="Arial" w:hAnsi="Arial"/>
          <w:b/>
          <w:bCs/>
          <w:color w:val="1A1A1A"/>
          <w:sz w:val="22"/>
          <w:szCs w:val="22"/>
        </w:rPr>
        <w:t xml:space="preserve">Until MinT is implemented, the current top-down approach is acceptable for Q3 planning but will produce incoherent results for APAC/LATAM (markets where actual ARR and allocated ARR can diverge significantly).</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9. Production Readiness &amp; MLOps</w:t>
      </w:r>
    </w:p>
    <w:p>
      <w:pPr>
        <w:pStyle w:val="Heading2"/>
        <w:spacing w:after="100" w:before="240"/>
      </w:pPr>
      <w:r>
        <w:rPr>
          <w:rFonts w:ascii="Arial" w:cs="Arial" w:eastAsia="Arial" w:hAnsi="Arial"/>
          <w:b/>
          <w:bCs/>
          <w:color w:val="2E74B5"/>
          <w:sz w:val="26"/>
          <w:szCs w:val="26"/>
        </w:rPr>
        <w:t xml:space="preserve">9.1  What Would Make This Production-Grade</w:t>
      </w:r>
    </w:p>
    <w:p>
      <w:pPr>
        <w:pStyle w:val="ListParagraph"/>
        <w:numPr>
          <w:ilvl w:val="0"/>
          <w:numId w:val="2"/>
        </w:numPr>
        <w:spacing w:after="60" w:before="0"/>
      </w:pPr>
      <w:r>
        <w:rPr>
          <w:rFonts w:ascii="Arial" w:cs="Arial" w:eastAsia="Arial" w:hAnsi="Arial"/>
          <w:b/>
          <w:bCs/>
          <w:color w:val="1A1A1A"/>
          <w:sz w:val="22"/>
          <w:szCs w:val="22"/>
        </w:rPr>
        <w:t xml:space="preserve">Databricks Job scheduling: </w:t>
      </w:r>
      <w:r>
        <w:rPr>
          <w:rFonts w:ascii="Arial" w:cs="Arial" w:eastAsia="Arial" w:hAnsi="Arial"/>
          <w:color w:val="1A1A1A"/>
          <w:sz w:val="22"/>
          <w:szCs w:val="22"/>
        </w:rPr>
        <w:t xml:space="preserve">wrap Steps 1–14 in a Databricks Workflow (multi-task job). Step 1 (data load) runs as a triggered task when new SFDC data lands in the Delta table. Steps 5–12 (model training) run in parallel where possible. Steps 13–14 (ensemble + forecast) run after all model tasks complete.</w:t>
      </w:r>
    </w:p>
    <w:p>
      <w:pPr>
        <w:pStyle w:val="ListParagraph"/>
        <w:numPr>
          <w:ilvl w:val="0"/>
          <w:numId w:val="2"/>
        </w:numPr>
        <w:spacing w:after="60" w:before="0"/>
      </w:pPr>
      <w:r>
        <w:rPr>
          <w:rFonts w:ascii="Arial" w:cs="Arial" w:eastAsia="Arial" w:hAnsi="Arial"/>
          <w:b/>
          <w:bCs/>
          <w:color w:val="1A1A1A"/>
          <w:sz w:val="22"/>
          <w:szCs w:val="22"/>
        </w:rPr>
        <w:t xml:space="preserve">Delta output table: </w:t>
      </w:r>
      <w:r>
        <w:rPr>
          <w:rFonts w:ascii="Arial" w:cs="Arial" w:eastAsia="Arial" w:hAnsi="Arial"/>
          <w:color w:val="1A1A1A"/>
          <w:sz w:val="22"/>
          <w:szCs w:val="22"/>
        </w:rPr>
        <w:t xml:space="preserve">Step 14 generates production_forward_forecasts DataFrame but doesn't write to a Delta table. Add:</w:t>
      </w:r>
    </w:p>
    <w:p>
      <w:pPr>
        <w:spacing w:after="120" w:before="0"/>
      </w:pPr>
      <w:r>
        <w:rPr>
          <w:rFonts w:ascii="Courier New" w:cs="Courier New" w:eastAsia="Courier New" w:hAnsi="Courier New"/>
          <w:color w:val="C7254E"/>
          <w:sz w:val="18"/>
          <w:szCs w:val="18"/>
        </w:rPr>
        <w:t xml:space="preserve">spark.createDataFrame(production_forward_forecasts)\
    .write.mode('overwrite').saveAsTable('datagroup_mdl.mdl_sales_analytics.ucc_forecast_v2')</w:t>
      </w:r>
    </w:p>
    <w:p>
      <w:pPr>
        <w:pStyle w:val="ListParagraph"/>
        <w:numPr>
          <w:ilvl w:val="0"/>
          <w:numId w:val="2"/>
        </w:numPr>
        <w:spacing w:after="60" w:before="0"/>
      </w:pPr>
      <w:r>
        <w:rPr>
          <w:rFonts w:ascii="Arial" w:cs="Arial" w:eastAsia="Arial" w:hAnsi="Arial"/>
          <w:b/>
          <w:bCs/>
          <w:color w:val="1A1A1A"/>
          <w:sz w:val="22"/>
          <w:szCs w:val="22"/>
        </w:rPr>
        <w:t xml:space="preserve">Feature store: </w:t>
      </w:r>
      <w:r>
        <w:rPr>
          <w:rFonts w:ascii="Arial" w:cs="Arial" w:eastAsia="Arial" w:hAnsi="Arial"/>
          <w:color w:val="1A1A1A"/>
          <w:sz w:val="22"/>
          <w:szCs w:val="22"/>
        </w:rPr>
        <w:t xml:space="preserve">lag features, rolling stats, and pipeline-derived features computed in Steps 3, 10B, and 11 should be materialized in Databricks Feature Store. This eliminates redundant computation across models and ensures training/serving consistency.</w:t>
      </w:r>
    </w:p>
    <w:p>
      <w:pPr>
        <w:pStyle w:val="ListParagraph"/>
        <w:numPr>
          <w:ilvl w:val="0"/>
          <w:numId w:val="2"/>
        </w:numPr>
        <w:spacing w:after="60" w:before="0"/>
      </w:pPr>
      <w:r>
        <w:rPr>
          <w:rFonts w:ascii="Arial" w:cs="Arial" w:eastAsia="Arial" w:hAnsi="Arial"/>
          <w:b/>
          <w:bCs/>
          <w:color w:val="1A1A1A"/>
          <w:sz w:val="22"/>
          <w:szCs w:val="22"/>
        </w:rPr>
        <w:t xml:space="preserve">Model registry: </w:t>
      </w:r>
      <w:r>
        <w:rPr>
          <w:rFonts w:ascii="Arial" w:cs="Arial" w:eastAsia="Arial" w:hAnsi="Arial"/>
          <w:color w:val="1A1A1A"/>
          <w:sz w:val="22"/>
          <w:szCs w:val="22"/>
        </w:rPr>
        <w:t xml:space="preserve">LGB models are tracked in MLflow but not registered in the MLflow Model Registry. Register the production ensemble so it has a version history and can be promoted from Staging→Production with human approval.</w:t>
      </w:r>
    </w:p>
    <w:p>
      <w:pPr>
        <w:pStyle w:val="ListParagraph"/>
        <w:numPr>
          <w:ilvl w:val="0"/>
          <w:numId w:val="2"/>
        </w:numPr>
        <w:spacing w:after="60" w:before="0"/>
      </w:pPr>
      <w:r>
        <w:rPr>
          <w:rFonts w:ascii="Arial" w:cs="Arial" w:eastAsia="Arial" w:hAnsi="Arial"/>
          <w:b/>
          <w:bCs/>
          <w:color w:val="1A1A1A"/>
          <w:sz w:val="22"/>
          <w:szCs w:val="22"/>
        </w:rPr>
        <w:t xml:space="preserve">Drift detection: </w:t>
      </w:r>
      <w:r>
        <w:rPr>
          <w:rFonts w:ascii="Arial" w:cs="Arial" w:eastAsia="Arial" w:hAnsi="Arial"/>
          <w:color w:val="1A1A1A"/>
          <w:sz w:val="22"/>
          <w:szCs w:val="22"/>
        </w:rPr>
        <w:t xml:space="preserve">after each weekly close, compute actual vs. forecast error for week T-1 and accumulate in a monitoring table. Alert (Slack/email) when a 4-week rolling WAPE exceeds 1.5× the CV WAPE baseline.</w:t>
      </w:r>
    </w:p>
    <w:p>
      <w:pPr>
        <w:spacing w:after="120" w:before="0"/>
      </w:pPr>
      <w:r>
        <w:rPr>
          <w:rFonts w:ascii="Courier New" w:cs="Courier New" w:eastAsia="Courier New" w:hAnsi="Courier New"/>
          <w:color w:val="C7254E"/>
          <w:sz w:val="18"/>
          <w:szCs w:val="18"/>
        </w:rPr>
        <w:t xml:space="preserve"># Weekly monitoring check
if rolling_4w_wape &gt; cv_wape_baseline * 1.5:
    send_alert(f'UCC forecast degraded: WAPE={rolling_4w_wape:.1f}% vs baseline {cv_wape_baseline:.1f}%')</w:t>
      </w:r>
    </w:p>
    <w:p>
      <w:pPr>
        <w:pStyle w:val="Heading2"/>
        <w:spacing w:after="100" w:before="240"/>
      </w:pPr>
      <w:r>
        <w:rPr>
          <w:rFonts w:ascii="Arial" w:cs="Arial" w:eastAsia="Arial" w:hAnsi="Arial"/>
          <w:b/>
          <w:bCs/>
          <w:color w:val="2E74B5"/>
          <w:sz w:val="26"/>
          <w:szCs w:val="26"/>
        </w:rPr>
        <w:t xml:space="preserve">9.2  Atlas Integration</w:t>
      </w:r>
    </w:p>
    <w:p>
      <w:pPr>
        <w:spacing w:after="120" w:before="0"/>
      </w:pPr>
      <w:r>
        <w:rPr>
          <w:rFonts w:ascii="Arial" w:cs="Arial" w:eastAsia="Arial" w:hAnsi="Arial"/>
          <w:color w:val="1A1A1A"/>
          <w:sz w:val="22"/>
          <w:szCs w:val="22"/>
        </w:rPr>
        <w:t xml:space="preserve">The Atlas Executive Insights app reads from </w:t>
      </w:r>
      <w:r>
        <w:rPr>
          <w:rFonts w:ascii="Courier New" w:cs="Courier New" w:eastAsia="Courier New" w:hAnsi="Courier New"/>
          <w:color w:val="C7254E"/>
          <w:sz w:val="18"/>
          <w:szCs w:val="18"/>
        </w:rPr>
        <w:t xml:space="preserve">mdl_sales_analytics.forecast_prophet</w:t>
      </w:r>
      <w:r>
        <w:rPr>
          <w:rFonts w:ascii="Arial" w:cs="Arial" w:eastAsia="Arial" w:hAnsi="Arial"/>
          <w:color w:val="1A1A1A"/>
          <w:sz w:val="22"/>
          <w:szCs w:val="22"/>
        </w:rPr>
        <w:t xml:space="preserve"> (READ ONLY). The V2 forecast should be written to a separate </w:t>
      </w:r>
      <w:r>
        <w:rPr>
          <w:rFonts w:ascii="Courier New" w:cs="Courier New" w:eastAsia="Courier New" w:hAnsi="Courier New"/>
          <w:color w:val="C7254E"/>
          <w:sz w:val="18"/>
          <w:szCs w:val="18"/>
        </w:rPr>
        <w:t xml:space="preserve">ucc_forecast_v2</w:t>
      </w:r>
      <w:r>
        <w:rPr>
          <w:rFonts w:ascii="Arial" w:cs="Arial" w:eastAsia="Arial" w:hAnsi="Arial"/>
          <w:color w:val="1A1A1A"/>
          <w:sz w:val="22"/>
          <w:szCs w:val="22"/>
        </w:rPr>
        <w:t xml:space="preserve"> table and surfaced through a new /api/forecast/v2/insights endpoint. The ForecastChart.jsx already has a /api/forecast/v2/* route stub — connect it to the V2 output table.</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10. Advanced Expert Recommendations</w:t>
      </w:r>
    </w:p>
    <w:p>
      <w:pPr>
        <w:pStyle w:val="Heading2"/>
        <w:spacing w:after="100" w:before="240"/>
      </w:pPr>
      <w:r>
        <w:rPr>
          <w:rFonts w:ascii="Arial" w:cs="Arial" w:eastAsia="Arial" w:hAnsi="Arial"/>
          <w:b/>
          <w:bCs/>
          <w:color w:val="2E74B5"/>
          <w:sz w:val="26"/>
          <w:szCs w:val="26"/>
        </w:rPr>
        <w:t xml:space="preserve">10.1  What Elite Forecasting Teams Do Differently</w:t>
      </w:r>
    </w:p>
    <w:p>
      <w:pPr>
        <w:pStyle w:val="ListParagraph"/>
        <w:numPr>
          <w:ilvl w:val="0"/>
          <w:numId w:val="2"/>
        </w:numPr>
        <w:spacing w:after="60" w:before="0"/>
      </w:pPr>
      <w:r>
        <w:rPr>
          <w:rFonts w:ascii="Arial" w:cs="Arial" w:eastAsia="Arial" w:hAnsi="Arial"/>
          <w:b/>
          <w:bCs/>
          <w:color w:val="1A1A1A"/>
          <w:sz w:val="22"/>
          <w:szCs w:val="22"/>
        </w:rPr>
        <w:t xml:space="preserve">Forecast skill assessment: </w:t>
      </w:r>
      <w:r>
        <w:rPr>
          <w:rFonts w:ascii="Arial" w:cs="Arial" w:eastAsia="Arial" w:hAnsi="Arial"/>
          <w:color w:val="1A1A1A"/>
          <w:sz w:val="22"/>
          <w:szCs w:val="22"/>
        </w:rPr>
        <w:t xml:space="preserve">elite teams benchmark every model against a naive baseline (seasonal naive: forecast = same week last year). If MSTL WAPE = 14% and seasonal naive WAPE = 22%, MSTL has 36% skill. This makes the value of the ML investment quantifiable in executive conversations.</w:t>
      </w:r>
    </w:p>
    <w:p>
      <w:pPr>
        <w:pStyle w:val="ListParagraph"/>
        <w:numPr>
          <w:ilvl w:val="0"/>
          <w:numId w:val="2"/>
        </w:numPr>
        <w:spacing w:after="60" w:before="0"/>
      </w:pPr>
      <w:r>
        <w:rPr>
          <w:rFonts w:ascii="Arial" w:cs="Arial" w:eastAsia="Arial" w:hAnsi="Arial"/>
          <w:b/>
          <w:bCs/>
          <w:color w:val="1A1A1A"/>
          <w:sz w:val="22"/>
          <w:szCs w:val="22"/>
        </w:rPr>
        <w:t xml:space="preserve">Holdout sets by regime: </w:t>
      </w:r>
      <w:r>
        <w:rPr>
          <w:rFonts w:ascii="Arial" w:cs="Arial" w:eastAsia="Arial" w:hAnsi="Arial"/>
          <w:color w:val="1A1A1A"/>
          <w:sz w:val="22"/>
          <w:szCs w:val="22"/>
        </w:rPr>
        <w:t xml:space="preserve">V2 uses a single test window (2026 Q1–Q2). Elite teams test on multiple regimes: high-growth quarters, seasonality inflection points, and post-disruption periods. This surfaces which models are fragile to regime change.</w:t>
      </w:r>
    </w:p>
    <w:p>
      <w:pPr>
        <w:pStyle w:val="ListParagraph"/>
        <w:numPr>
          <w:ilvl w:val="0"/>
          <w:numId w:val="2"/>
        </w:numPr>
        <w:spacing w:after="60" w:before="0"/>
      </w:pPr>
      <w:r>
        <w:rPr>
          <w:rFonts w:ascii="Arial" w:cs="Arial" w:eastAsia="Arial" w:hAnsi="Arial"/>
          <w:b/>
          <w:bCs/>
          <w:color w:val="1A1A1A"/>
          <w:sz w:val="22"/>
          <w:szCs w:val="22"/>
        </w:rPr>
        <w:t xml:space="preserve">Conformal prediction intervals: </w:t>
      </w:r>
      <w:r>
        <w:rPr>
          <w:rFonts w:ascii="Arial" w:cs="Arial" w:eastAsia="Arial" w:hAnsi="Arial"/>
          <w:color w:val="1A1A1A"/>
          <w:sz w:val="22"/>
          <w:szCs w:val="22"/>
        </w:rPr>
        <w:t xml:space="preserve">replace heuristic P10/P90 with statistically valid coverage-guaranteed intervals using split conformal prediction. This doesn't require retraining — it wraps any model's output.</w:t>
      </w:r>
    </w:p>
    <w:p>
      <w:pPr>
        <w:pStyle w:val="ListParagraph"/>
        <w:numPr>
          <w:ilvl w:val="0"/>
          <w:numId w:val="2"/>
        </w:numPr>
        <w:spacing w:after="60" w:before="0"/>
      </w:pPr>
      <w:r>
        <w:rPr>
          <w:rFonts w:ascii="Arial" w:cs="Arial" w:eastAsia="Arial" w:hAnsi="Arial"/>
          <w:b/>
          <w:bCs/>
          <w:color w:val="1A1A1A"/>
          <w:sz w:val="22"/>
          <w:szCs w:val="22"/>
        </w:rPr>
        <w:t xml:space="preserve">Forecast reconciliation at multiple levels: </w:t>
      </w:r>
      <w:r>
        <w:rPr>
          <w:rFonts w:ascii="Arial" w:cs="Arial" w:eastAsia="Arial" w:hAnsi="Arial"/>
          <w:color w:val="1A1A1A"/>
          <w:sz w:val="22"/>
          <w:szCs w:val="22"/>
        </w:rPr>
        <w:t xml:space="preserve">current reconciliation only handles total↔market. Extend to total↔market↔product_family (Meetings, UCaaS, Events, Service) for complete hierarchical coherence.</w:t>
      </w:r>
    </w:p>
    <w:p>
      <w:pPr>
        <w:pStyle w:val="ListParagraph"/>
        <w:numPr>
          <w:ilvl w:val="0"/>
          <w:numId w:val="2"/>
        </w:numPr>
        <w:spacing w:after="60" w:before="0"/>
      </w:pPr>
      <w:r>
        <w:rPr>
          <w:rFonts w:ascii="Arial" w:cs="Arial" w:eastAsia="Arial" w:hAnsi="Arial"/>
          <w:b/>
          <w:bCs/>
          <w:color w:val="1A1A1A"/>
          <w:sz w:val="22"/>
          <w:szCs w:val="22"/>
        </w:rPr>
        <w:t xml:space="preserve">Automated changepoint alerting: </w:t>
      </w:r>
      <w:r>
        <w:rPr>
          <w:rFonts w:ascii="Arial" w:cs="Arial" w:eastAsia="Arial" w:hAnsi="Arial"/>
          <w:color w:val="1A1A1A"/>
          <w:sz w:val="22"/>
          <w:szCs w:val="22"/>
        </w:rPr>
        <w:t xml:space="preserve">run ruptures changepoint detection weekly on the incoming actuals. Flag when a new structural break is detected so Dileep can investigate business cause (new product launch, pricing change, competition) and rebase the model.</w:t>
      </w:r>
    </w:p>
    <w:p>
      <w:pPr>
        <w:pStyle w:val="Heading2"/>
        <w:spacing w:after="100" w:before="240"/>
      </w:pPr>
      <w:r>
        <w:rPr>
          <w:rFonts w:ascii="Arial" w:cs="Arial" w:eastAsia="Arial" w:hAnsi="Arial"/>
          <w:b/>
          <w:bCs/>
          <w:color w:val="2E74B5"/>
          <w:sz w:val="26"/>
          <w:szCs w:val="26"/>
        </w:rPr>
        <w:t xml:space="preserve">10.2  Quick Wins (implement in &lt; 1 day each)</w:t>
      </w:r>
    </w:p>
    <w:p>
      <w:pPr>
        <w:pStyle w:val="ListParagraph"/>
        <w:numPr>
          <w:ilvl w:val="0"/>
          <w:numId w:val="2"/>
        </w:numPr>
        <w:spacing w:after="60" w:before="0"/>
      </w:pPr>
      <w:r>
        <w:rPr>
          <w:rFonts w:ascii="Arial" w:cs="Arial" w:eastAsia="Arial" w:hAnsi="Arial"/>
          <w:b/>
          <w:bCs/>
          <w:color w:val="1A1A1A"/>
          <w:sz w:val="22"/>
          <w:szCs w:val="22"/>
        </w:rPr>
        <w:t xml:space="preserve">torch.set_float32_matmul_precision('medium'): </w:t>
      </w:r>
      <w:r>
        <w:rPr>
          <w:rFonts w:ascii="Arial" w:cs="Arial" w:eastAsia="Arial" w:hAnsi="Arial"/>
          <w:color w:val="1A1A1A"/>
          <w:sz w:val="22"/>
          <w:szCs w:val="22"/>
        </w:rPr>
        <w:t xml:space="preserve">free 20–30% GPU speed on A10G. One line. Do this before increasing N-HiTS and TFT max_steps.</w:t>
      </w:r>
    </w:p>
    <w:p>
      <w:pPr>
        <w:pStyle w:val="ListParagraph"/>
        <w:numPr>
          <w:ilvl w:val="0"/>
          <w:numId w:val="2"/>
        </w:numPr>
        <w:spacing w:after="60" w:before="0"/>
      </w:pPr>
      <w:r>
        <w:rPr>
          <w:rFonts w:ascii="Arial" w:cs="Arial" w:eastAsia="Arial" w:hAnsi="Arial"/>
          <w:b/>
          <w:bCs/>
          <w:color w:val="1A1A1A"/>
          <w:sz w:val="22"/>
          <w:szCs w:val="22"/>
        </w:rPr>
        <w:t xml:space="preserve">LGB quantile crossing guard: </w:t>
      </w:r>
      <w:r>
        <w:rPr>
          <w:rFonts w:ascii="Arial" w:cs="Arial" w:eastAsia="Arial" w:hAnsi="Arial"/>
          <w:color w:val="1A1A1A"/>
          <w:sz w:val="22"/>
          <w:szCs w:val="22"/>
        </w:rPr>
        <w:t xml:space="preserve">p10 = np.minimum(p10, p50); p90 = np.maximum(p90, p50). Two lines. Prevents invalid uncertainty intervals.</w:t>
      </w:r>
    </w:p>
    <w:p>
      <w:pPr>
        <w:pStyle w:val="ListParagraph"/>
        <w:numPr>
          <w:ilvl w:val="0"/>
          <w:numId w:val="2"/>
        </w:numPr>
        <w:spacing w:after="60" w:before="0"/>
      </w:pPr>
      <w:r>
        <w:rPr>
          <w:rFonts w:ascii="Arial" w:cs="Arial" w:eastAsia="Arial" w:hAnsi="Arial"/>
          <w:b/>
          <w:bCs/>
          <w:color w:val="1A1A1A"/>
          <w:sz w:val="22"/>
          <w:szCs w:val="22"/>
        </w:rPr>
        <w:t xml:space="preserve">SMAPE as additional metric: </w:t>
      </w:r>
      <w:r>
        <w:rPr>
          <w:rFonts w:ascii="Arial" w:cs="Arial" w:eastAsia="Arial" w:hAnsi="Arial"/>
          <w:color w:val="1A1A1A"/>
          <w:sz w:val="22"/>
          <w:szCs w:val="22"/>
        </w:rPr>
        <w:t xml:space="preserve">symmetric MAPE is more intuitive for executives (treats over/under forecasting symmetrically). Add to forecast_metrics alongside WAPE/MAPE.</w:t>
      </w:r>
    </w:p>
    <w:p>
      <w:pPr>
        <w:pStyle w:val="ListParagraph"/>
        <w:numPr>
          <w:ilvl w:val="0"/>
          <w:numId w:val="2"/>
        </w:numPr>
        <w:spacing w:after="60" w:before="0"/>
      </w:pPr>
      <w:r>
        <w:rPr>
          <w:rFonts w:ascii="Arial" w:cs="Arial" w:eastAsia="Arial" w:hAnsi="Arial"/>
          <w:b/>
          <w:bCs/>
          <w:color w:val="1A1A1A"/>
          <w:sz w:val="22"/>
          <w:szCs w:val="22"/>
        </w:rPr>
        <w:t xml:space="preserve">Cyclical feature encoding: </w:t>
      </w:r>
      <w:r>
        <w:rPr>
          <w:rFonts w:ascii="Arial" w:cs="Arial" w:eastAsia="Arial" w:hAnsi="Arial"/>
          <w:color w:val="1A1A1A"/>
          <w:sz w:val="22"/>
          <w:szCs w:val="22"/>
        </w:rPr>
        <w:t xml:space="preserve">4 lines for sin/cos encoding of week_of_qtr and quarter. Improves LGB and DHR-ARIMA handling of quarter-boundary effects.</w:t>
      </w:r>
    </w:p>
    <w:p>
      <w:pPr>
        <w:pStyle w:val="ListParagraph"/>
        <w:numPr>
          <w:ilvl w:val="0"/>
          <w:numId w:val="2"/>
        </w:numPr>
        <w:spacing w:after="60" w:before="0"/>
      </w:pPr>
      <w:r>
        <w:rPr>
          <w:rFonts w:ascii="Arial" w:cs="Arial" w:eastAsia="Arial" w:hAnsi="Arial"/>
          <w:b/>
          <w:bCs/>
          <w:color w:val="1A1A1A"/>
          <w:sz w:val="22"/>
          <w:szCs w:val="22"/>
        </w:rPr>
        <w:t xml:space="preserve">Write Step 14 output to Delta: </w:t>
      </w:r>
      <w:r>
        <w:rPr>
          <w:rFonts w:ascii="Arial" w:cs="Arial" w:eastAsia="Arial" w:hAnsi="Arial"/>
          <w:color w:val="1A1A1A"/>
          <w:sz w:val="22"/>
          <w:szCs w:val="22"/>
        </w:rPr>
        <w:t xml:space="preserve">2 lines of Spark write. Enables Atlas app to read V2 forecasts live.</w:t>
      </w:r>
    </w:p>
    <w:p>
      <w:pPr>
        <w:spacing w:after="80" w:before="0"/>
      </w:pPr>
    </w:p>
    <w:p>
      <w:r>
        <w:br w:type="page"/>
      </w:r>
    </w:p>
    <w:p>
      <w:pPr>
        <w:pStyle w:val="Heading1"/>
        <w:spacing w:after="160" w:before="320"/>
      </w:pPr>
      <w:r>
        <w:rPr>
          <w:rFonts w:ascii="Arial" w:cs="Arial" w:eastAsia="Arial" w:hAnsi="Arial"/>
          <w:b/>
          <w:bCs/>
          <w:color w:val="1F4E79"/>
          <w:sz w:val="32"/>
          <w:szCs w:val="32"/>
        </w:rPr>
        <w:t xml:space="preserve">11. Top 10 Prioritized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Improvement</w:t>
            </w:r>
          </w:p>
        </w:tc>
        <w:tc>
          <w:tcPr>
            <w:tcW w:type="dxa" w:w="45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Why It Matters</w:t>
            </w:r>
          </w:p>
        </w:tc>
        <w:tc>
          <w:tcPr>
            <w:tcW w:type="dxa" w:w="18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spacing w:after="0" w:before="0"/>
              <w:jc w:val="left"/>
            </w:pPr>
            <w:r>
              <w:rPr>
                <w:rFonts w:ascii="Arial" w:cs="Arial" w:eastAsia="Arial" w:hAnsi="Arial"/>
                <w:b/>
                <w:bCs/>
                <w:color w:val="FFFFFF"/>
                <w:sz w:val="21"/>
                <w:szCs w:val="21"/>
              </w:rPr>
              <w:t xml:space="preserve">Effort</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1</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Increase N-HiTS to max_steps=800 + add torch precision</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Training stopped early — model is under-fitted. Expected 2–3% WAPE gain</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30 min</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2</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Increase TFT to max_steps=1000 + add val_check_steps=50</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Same convergence issue as N-HiTS. TFT is your most powerful model</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30 min</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3</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Write Step 14 output to Delta table (ucc_forecast_v2)</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Enables Atlas app to read V2 forecasts. Currently forecast exists only in Spark session</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 hour</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4</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 LGB quantile crossing guard</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Prevents P10 &gt; P50 or P50 &gt; P90 — invalid intervals that destroy executive trust</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15 min</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5</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 MLflow tracking for TFT</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Audit trail and reproducibility for your strongest model. Should match LGB pattern</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 hour</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6</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N-HiTS hist_exog_list (pipeline features)</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Brings N-HiTS feature parity with TFT. Likely 1–2% WAPE improvement</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2 hours</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7</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Replace OLS reconcile with true MinT (hierarchicalforecast lib)</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Correct hierarchical coherence, especially for APAC/LATAM markets</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Half day</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8</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 SMAPE + RMSE to forecast_metrics</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Executive-friendly metrics. RMSE penalizes large Q4 errors appropriately</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 hour</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9</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Add rolling WAPE monitoring after each week's close</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Drift detection — alerts when model degrades. Critical for production trust</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Half day</w:t>
            </w:r>
          </w:p>
        </w:tc>
      </w:tr>
      <w:tr>
        <w:tc>
          <w:tcPr>
            <w:tcW w:type="dxa" w:w="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10</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Schedule notebook as Databricks Job (weekly trigger)</w:t>
            </w:r>
          </w:p>
        </w:tc>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Eliminates manual re-run. Makes the forecast genuinely production-grade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 day</w:t>
            </w:r>
          </w:p>
        </w:tc>
      </w:tr>
    </w:tbl>
    <w:p>
      <w:pPr>
        <w:spacing w:after="200" w:before="0"/>
      </w:pPr>
    </w:p>
    <w:p>
      <w:pPr>
        <w:pStyle w:val="Heading1"/>
        <w:spacing w:after="160" w:before="320"/>
      </w:pPr>
      <w:r>
        <w:rPr>
          <w:rFonts w:ascii="Arial" w:cs="Arial" w:eastAsia="Arial" w:hAnsi="Arial"/>
          <w:b/>
          <w:bCs/>
          <w:color w:val="1F4E79"/>
          <w:sz w:val="32"/>
          <w:szCs w:val="32"/>
        </w:rPr>
        <w:t xml:space="preserve">12. Expected Accuracy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Current (V2 as-is)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~13–15% WAPE — ensemble of partially-converged models. Q2 ~$14.5M validated by Brian.</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After items #1–2 (convergence)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~11–13% WAPE — N-HiTS and TFT properly trained will close the gap</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After items #3–6 (quick wins)</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~10–12% WAPE — crossing guard + hist_exog + MLflow coverage</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After item #7 (MinT)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~9–11% WAPE at total level | ~12–16% at market level (APAC/LATAM naturally higher)</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After item #10 (production)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Stable 9–12% WAPE with weekly monitoring and automated drift alerts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Q2 2026 forecast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~$14.5M P50 (validated) | P10 ~$13.2M | P90 ~$16.0M</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Q3 2026 forecast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~$14.5M P50 | P10 ~$12.8M | P90 ~$16.5M (summer softness)</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Q4 2026 forecast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~$17–18M P50 | P10 ~$15.5M | P90 ~$20M (year-end push, widest interval)</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10"/>
              <w:bottom w:type="dxa" w:w="70"/>
              <w:right w:type="dxa" w:w="110"/>
            </w:tcMar>
            <w:vAlign w:val="center"/>
          </w:tcPr>
          <w:p>
            <w:pPr>
              <w:spacing w:after="0" w:before="0"/>
              <w:jc w:val="left"/>
            </w:pPr>
            <w:r>
              <w:rPr>
                <w:rFonts w:ascii="Arial" w:cs="Arial" w:eastAsia="Arial" w:hAnsi="Arial"/>
                <w:b/>
                <w:bCs/>
                <w:color w:val="1A1A1A"/>
                <w:sz w:val="22"/>
                <w:szCs w:val="22"/>
              </w:rPr>
              <w:t xml:space="preserve">FY 2026 P50</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before="0"/>
              <w:jc w:val="left"/>
            </w:pPr>
            <w:r>
              <w:rPr>
                <w:rFonts w:ascii="Arial" w:cs="Arial" w:eastAsia="Arial" w:hAnsi="Arial"/>
                <w:color w:val="1A1A1A"/>
                <w:sz w:val="22"/>
                <w:szCs w:val="22"/>
              </w:rPr>
              <w:t xml:space="preserve">~$60–63M (Q1 actual + Q2 near-actual + Q3/Q4 forecast)</w:t>
            </w:r>
          </w:p>
        </w:tc>
      </w:tr>
    </w:tbl>
    <w:p>
      <w:pPr>
        <w:spacing w:after="2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pPr>
    <w:r>
      <w:rPr>
        <w:rFonts w:ascii="Arial" w:cs="Arial" w:eastAsia="Arial" w:hAnsi="Arial"/>
        <w:color w:val="595959"/>
        <w:sz w:val="16"/>
        <w:szCs w:val="16"/>
      </w:rPr>
      <w:t xml:space="preserve">Confidential — GoTo Technologies</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pPr>
    <w:r>
      <w:rPr>
        <w:rFonts w:ascii="Arial" w:cs="Arial" w:eastAsia="Arial" w:hAnsi="Arial"/>
        <w:color w:val="595959"/>
        <w:sz w:val="18"/>
        <w:szCs w:val="18"/>
      </w:rPr>
      <w:t xml:space="preserve">UCC Forecast Foundation V2 — Expert Review</w:t>
    </w:r>
    <w:r>
      <w:rPr>
        <w:rFonts w:ascii="Arial" w:cs="Arial" w:eastAsia="Arial" w:hAnsi="Arial"/>
        <w:sz w:val="18"/>
        <w:szCs w:val="18"/>
      </w:rPr>
      <w:t xml:space="preserve">	</w:t>
    </w:r>
    <w:r>
      <w:rPr>
        <w:rFonts w:ascii="Arial" w:cs="Arial" w:eastAsia="Arial" w:hAnsi="Arial"/>
        <w:color w:val="595959"/>
        <w:sz w:val="18"/>
        <w:szCs w:val="18"/>
      </w:rPr>
      <w:t xml:space="preserve">Atlas Executive Insights | GoTo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2026-07-01T04:11:10.141Z</dcterms:created>
  <dcterms:modified xsi:type="dcterms:W3CDTF">2026-07-01T04:11:10.149Z</dcterms:modified>
</cp:coreProperties>
</file>

<file path=docProps/custom.xml><?xml version="1.0" encoding="utf-8"?>
<Properties xmlns="http://schemas.openxmlformats.org/officeDocument/2006/custom-properties" xmlns:vt="http://schemas.openxmlformats.org/officeDocument/2006/docPropsVTypes"/>
</file>