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7AB"/>
          <w:sz w:val="44"/>
        </w:rPr>
        <w:t>UCC ARR FORECASTING NOTEBOOK</w:t>
      </w:r>
    </w:p>
    <w:p>
      <w:pPr>
        <w:jc w:val="center"/>
      </w:pPr>
      <w:r>
        <w:rPr>
          <w:b/>
          <w:color w:val="333333"/>
          <w:sz w:val="30"/>
        </w:rPr>
        <w:t>V5 Expert Review — UCC Forecast Foundation (4).ipynb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r>
              <w:rPr>
                <w:b/>
                <w:color w:val="0047AB"/>
                <w:sz w:val="20"/>
              </w:rPr>
              <w:t>Notebook Version</w:t>
            </w:r>
          </w:p>
        </w:tc>
        <w:tc>
          <w:tcPr>
            <w:tcW w:type="dxa" w:w="5760"/>
          </w:tcPr>
          <w:p>
            <w:r>
              <w:rPr>
                <w:color w:val="333333"/>
                <w:sz w:val="20"/>
              </w:rPr>
              <w:t>V5  —  17 Cells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0047AB"/>
                <w:sz w:val="20"/>
              </w:rPr>
              <w:t>Review Date</w:t>
            </w:r>
          </w:p>
        </w:tc>
        <w:tc>
          <w:tcPr>
            <w:tcW w:type="dxa" w:w="5760"/>
          </w:tcPr>
          <w:p>
            <w:r>
              <w:rPr>
                <w:color w:val="333333"/>
                <w:sz w:val="20"/>
              </w:rPr>
              <w:t>July 1, 2026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0047AB"/>
                <w:sz w:val="20"/>
              </w:rPr>
              <w:t>Author</w:t>
            </w:r>
          </w:p>
        </w:tc>
        <w:tc>
          <w:tcPr>
            <w:tcW w:type="dxa" w:w="5760"/>
          </w:tcPr>
          <w:p>
            <w:r>
              <w:rPr>
                <w:color w:val="333333"/>
                <w:sz w:val="20"/>
              </w:rPr>
              <w:t>Atlas Executive Insights — AI Review Engine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0047AB"/>
                <w:sz w:val="20"/>
              </w:rPr>
              <w:t>Audience</w:t>
            </w:r>
          </w:p>
        </w:tc>
        <w:tc>
          <w:tcPr>
            <w:tcW w:type="dxa" w:w="5760"/>
          </w:tcPr>
          <w:p>
            <w:r>
              <w:rPr>
                <w:color w:val="333333"/>
                <w:sz w:val="20"/>
              </w:rPr>
              <w:t>Data Science Lead, Revenue Engineering, GTM Finance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0047AB"/>
                <w:sz w:val="20"/>
              </w:rPr>
              <w:t>Scope</w:t>
            </w:r>
          </w:p>
        </w:tc>
        <w:tc>
          <w:tcPr>
            <w:tcW w:type="dxa" w:w="5760"/>
          </w:tcPr>
          <w:p>
            <w:r>
              <w:rPr>
                <w:color w:val="333333"/>
                <w:sz w:val="20"/>
              </w:rPr>
              <w:t>Full 9-section expert review with V4 -&gt; V5 delta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0047AB"/>
                <w:sz w:val="20"/>
              </w:rPr>
              <w:t>Output Table</w:t>
            </w:r>
          </w:p>
        </w:tc>
        <w:tc>
          <w:tcPr>
            <w:tcW w:type="dxa" w:w="5760"/>
          </w:tcPr>
          <w:p>
            <w:r>
              <w:rPr>
                <w:color w:val="333333"/>
                <w:sz w:val="20"/>
              </w:rPr>
              <w:t>datagroup_mdl.mdl_sales_analytics.ucc_forecast_v4 (READ-WRITE)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0047AB"/>
                <w:sz w:val="20"/>
              </w:rPr>
              <w:t>Source Table</w:t>
            </w:r>
          </w:p>
        </w:tc>
        <w:tc>
          <w:tcPr>
            <w:tcW w:type="dxa" w:w="5760"/>
          </w:tcPr>
          <w:p>
            <w:r>
              <w:rPr>
                <w:color w:val="333333"/>
                <w:sz w:val="20"/>
              </w:rPr>
              <w:t>datagroup.datalake_transform.cds_sfdc_opp_products_latest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0047AB"/>
                <w:sz w:val="20"/>
              </w:rPr>
              <w:t>Features</w:t>
            </w:r>
          </w:p>
        </w:tc>
        <w:tc>
          <w:tcPr>
            <w:tcW w:type="dxa" w:w="5760"/>
          </w:tcPr>
          <w:p>
            <w:r>
              <w:rPr>
                <w:color w:val="333333"/>
                <w:sz w:val="20"/>
              </w:rPr>
              <w:t>35 GLOBAL_FEATURE_COLS (up from 32 in V4)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47AB"/>
        </w:rPr>
        <w:t>Section 0: V4 → V5 Change Log</w:t>
      </w:r>
    </w:p>
    <w:p>
      <w:pPr>
        <w:spacing w:before="0" w:after="120"/>
      </w:pPr>
      <w:r>
        <w:rPr>
          <w:b w:val="0"/>
          <w:i w:val="0"/>
          <w:color w:val="333333"/>
          <w:sz w:val="21"/>
        </w:rPr>
        <w:t>V5 closes all three P0 issues identified in the V4 expert review and adds three new feature columns recommended in V4 P1/P2. The architecture and model selection are unchanged (17 cells, 5 production models).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3168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V4 State</w:t>
            </w:r>
          </w:p>
        </w:tc>
        <w:tc>
          <w:tcPr>
            <w:tcW w:type="dxa" w:w="360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V5 State</w:t>
            </w:r>
          </w:p>
        </w:tc>
        <w:tc>
          <w:tcPr>
            <w:tcW w:type="dxa" w:w="144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Delta table write</w:t>
            </w:r>
          </w:p>
        </w:tc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MISSING — no .saveAsTable() call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spark.createDataFrame(...).write.mode(overwrite).partitionBy(ds).saveAsTable(PRODUCTION_OUTPUT_TABLE)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FIXED P0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LGB quantile crossing guard</w:t>
            </w:r>
          </w:p>
        </w:tc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MISSING — independent P10/P50/P90 models could cross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p10 = min(p10,p50); p90 = max(p90,p50) applied in both CV (Cell 11) and production (Cell 14)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FIXED P0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Ensemble P10/P90</w:t>
            </w:r>
          </w:p>
        </w:tc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MISSING — ensemble had no uncertainty bounds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ensemble_interval_calibration() computes p10/p90 from holdout error quantiles; clipped to [&lt;=p50, &gt;=p50]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FIXED P0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avg_dials_lag4</w:t>
            </w:r>
          </w:p>
        </w:tc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Absent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Added to GLOBAL_FEATURE_COLS, GLOBAL_PROFILE_COLS, load_global_future_source()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NEW (V4 P1)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avg_touches_lag4</w:t>
            </w:r>
          </w:p>
        </w:tc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Absent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Added to GLOBAL_FEATURE_COLS, GLOBAL_PROFILE_COLS, load_global_future_source()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NEW (V4 P1)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plan_gap_lag1</w:t>
            </w:r>
          </w:p>
        </w:tc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Absent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Added to GLOBAL_FEATURE_COLS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NEW (V4 P2)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PRODUCTION_OUTPUT_TABLE name</w:t>
            </w:r>
          </w:p>
        </w:tc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Not defined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ucc_forecast_v4 — naming inconsistency: V5 notebook writes to v4 table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FLAG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N-HiTS / TFT</w:t>
            </w:r>
          </w:p>
        </w:tc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Removed (correct)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Still removed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OK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GR Ensemble</w:t>
            </w:r>
          </w:p>
        </w:tc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Granger-Ramanathan with covariance-optimal weights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Unchanged — same algorithm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OK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MinT reconciliation</w:t>
            </w:r>
          </w:p>
        </w:tc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estimate_mint_covariances() helper only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Still estimate only — no true WLS MinT projection applied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OPEN P1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SHAP explainability</w:t>
            </w:r>
          </w:p>
        </w:tc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Absent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Still absent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OPEN P1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Databricks Job</w:t>
            </w:r>
          </w:p>
        </w:tc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Absent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Still absent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OPEN P1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Regional holidays</w:t>
            </w:r>
          </w:p>
        </w:tc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US only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Still US only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OPEN P2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Marketing spend features</w:t>
            </w:r>
          </w:p>
        </w:tc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Absent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Still absent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OPEN P2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047AB"/>
        </w:rPr>
        <w:t>Section 1: Notebook Architecture &amp; Structure</w:t>
      </w:r>
    </w:p>
    <w:p>
      <w:pPr>
        <w:spacing w:before="0" w:after="120"/>
      </w:pPr>
      <w:r>
        <w:rPr>
          <w:b w:val="0"/>
          <w:i w:val="0"/>
          <w:color w:val="333333"/>
          <w:sz w:val="21"/>
        </w:rPr>
        <w:t>V5 retains the 17-cell linear pipeline established in V4. Cell numbering and step assignments are identical; V5 changes are additive (new features, crossing guard, Delta write) rather than structural.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Cell</w:t>
            </w:r>
          </w:p>
        </w:tc>
        <w:tc>
          <w:tcPr>
            <w:tcW w:type="dxa" w:w="1008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31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60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V5 Changes</w:t>
            </w:r>
          </w:p>
        </w:tc>
      </w:tr>
      <w:tr>
        <w:tc>
          <w:tcPr>
            <w:tcW w:type="dxa" w:w="576"/>
          </w:tcPr>
          <w:p>
            <w:r>
              <w:rPr>
                <w:b w:val="0"/>
                <w:color w:val="333333"/>
                <w:sz w:val="19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Config</w:t>
            </w:r>
          </w:p>
        </w:tc>
        <w:tc>
          <w:tcPr>
            <w:tcW w:type="dxa" w:w="3312"/>
          </w:tcPr>
          <w:p>
            <w:r>
              <w:rPr>
                <w:b w:val="0"/>
                <w:color w:val="333333"/>
                <w:sz w:val="19"/>
              </w:rPr>
              <w:t>Cluster libraries, imports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None</w:t>
            </w:r>
          </w:p>
        </w:tc>
      </w:tr>
      <w:tr>
        <w:tc>
          <w:tcPr>
            <w:tcW w:type="dxa" w:w="576"/>
          </w:tcPr>
          <w:p>
            <w:r>
              <w:rPr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Constants</w:t>
            </w:r>
          </w:p>
        </w:tc>
        <w:tc>
          <w:tcPr>
            <w:tcW w:type="dxa" w:w="3312"/>
          </w:tcPr>
          <w:p>
            <w:r>
              <w:rPr>
                <w:b w:val="0"/>
                <w:color w:val="333333"/>
                <w:sz w:val="19"/>
              </w:rPr>
              <w:t>MIN_TRAIN_WEEKS=78, CV folds=8, horizon=13, output table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PRODUCTION_OUTPUT_TABLE now defined</w:t>
            </w:r>
          </w:p>
        </w:tc>
      </w:tr>
      <w:tr>
        <w:tc>
          <w:tcPr>
            <w:tcW w:type="dxa" w:w="576"/>
          </w:tcPr>
          <w:p>
            <w:r>
              <w:rPr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Data load</w:t>
            </w:r>
          </w:p>
        </w:tc>
        <w:tc>
          <w:tcPr>
            <w:tcW w:type="dxa" w:w="3312"/>
          </w:tcPr>
          <w:p>
            <w:r>
              <w:rPr>
                <w:b w:val="0"/>
                <w:color w:val="333333"/>
                <w:sz w:val="19"/>
              </w:rPr>
              <w:t>cds_sfdc_opp_products_latest — Growth filter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None</w:t>
            </w:r>
          </w:p>
        </w:tc>
      </w:tr>
      <w:tr>
        <w:tc>
          <w:tcPr>
            <w:tcW w:type="dxa" w:w="576"/>
          </w:tcPr>
          <w:p>
            <w:r>
              <w:rPr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EDA</w:t>
            </w:r>
          </w:p>
        </w:tc>
        <w:tc>
          <w:tcPr>
            <w:tcW w:type="dxa" w:w="3312"/>
          </w:tcPr>
          <w:p>
            <w:r>
              <w:rPr>
                <w:b w:val="0"/>
                <w:color w:val="333333"/>
                <w:sz w:val="19"/>
              </w:rPr>
              <w:t>Weekly aggregation, 182-row panel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None</w:t>
            </w:r>
          </w:p>
        </w:tc>
      </w:tr>
      <w:tr>
        <w:tc>
          <w:tcPr>
            <w:tcW w:type="dxa" w:w="576"/>
          </w:tcPr>
          <w:p>
            <w:r>
              <w:rPr>
                <w:b w:val="0"/>
                <w:color w:val="333333"/>
                <w:sz w:val="19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MSTL v2</w:t>
            </w:r>
          </w:p>
        </w:tc>
        <w:tc>
          <w:tcPr>
            <w:tcW w:type="dxa" w:w="3312"/>
          </w:tcPr>
          <w:p>
            <w:r>
              <w:rPr>
                <w:b w:val="0"/>
                <w:color w:val="333333"/>
                <w:sz w:val="19"/>
              </w:rPr>
              <w:t>season_length=[4,13,52], walk-forward CV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None</w:t>
            </w:r>
          </w:p>
        </w:tc>
      </w:tr>
      <w:tr>
        <w:tc>
          <w:tcPr>
            <w:tcW w:type="dxa" w:w="576"/>
          </w:tcPr>
          <w:p>
            <w:r>
              <w:rPr>
                <w:b w:val="0"/>
                <w:color w:val="333333"/>
                <w:sz w:val="19"/>
              </w:rPr>
              <w:t>5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ETS</w:t>
            </w:r>
          </w:p>
        </w:tc>
        <w:tc>
          <w:tcPr>
            <w:tcW w:type="dxa" w:w="3312"/>
          </w:tcPr>
          <w:p>
            <w:r>
              <w:rPr>
                <w:b w:val="0"/>
                <w:color w:val="333333"/>
                <w:sz w:val="19"/>
              </w:rPr>
              <w:t>seasonal_period=52 dynamic, walk-forward CV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None</w:t>
            </w:r>
          </w:p>
        </w:tc>
      </w:tr>
      <w:tr>
        <w:tc>
          <w:tcPr>
            <w:tcW w:type="dxa" w:w="576"/>
          </w:tcPr>
          <w:p>
            <w:r>
              <w:rPr>
                <w:b w:val="0"/>
                <w:color w:val="333333"/>
                <w:sz w:val="19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Prophet</w:t>
            </w:r>
          </w:p>
        </w:tc>
        <w:tc>
          <w:tcPr>
            <w:tcW w:type="dxa" w:w="3312"/>
          </w:tcPr>
          <w:p>
            <w:r>
              <w:rPr>
                <w:b w:val="0"/>
                <w:color w:val="333333"/>
                <w:sz w:val="19"/>
              </w:rPr>
              <w:t>trend-only + WoQ empirical profile, READ from forecast_prophet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None</w:t>
            </w:r>
          </w:p>
        </w:tc>
      </w:tr>
      <w:tr>
        <w:tc>
          <w:tcPr>
            <w:tcW w:type="dxa" w:w="576"/>
          </w:tcPr>
          <w:p>
            <w:r>
              <w:rPr>
                <w:b w:val="0"/>
                <w:color w:val="333333"/>
                <w:sz w:val="19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DHR-ARIMA</w:t>
            </w:r>
          </w:p>
        </w:tc>
        <w:tc>
          <w:tcPr>
            <w:tcW w:type="dxa" w:w="3312"/>
          </w:tcPr>
          <w:p>
            <w:r>
              <w:rPr>
                <w:b w:val="0"/>
                <w:color w:val="333333"/>
                <w:sz w:val="19"/>
              </w:rPr>
              <w:t>By market, Fourier q13+y52, 2 harmonics each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None</w:t>
            </w:r>
          </w:p>
        </w:tc>
      </w:tr>
      <w:tr>
        <w:tc>
          <w:tcPr>
            <w:tcW w:type="dxa" w:w="576"/>
          </w:tcPr>
          <w:p>
            <w:r>
              <w:rPr>
                <w:b w:val="0"/>
                <w:color w:val="333333"/>
                <w:sz w:val="19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Holdout eval</w:t>
            </w:r>
          </w:p>
        </w:tc>
        <w:tc>
          <w:tcPr>
            <w:tcW w:type="dxa" w:w="3312"/>
          </w:tcPr>
          <w:p>
            <w:r>
              <w:rPr>
                <w:b w:val="0"/>
                <w:color w:val="333333"/>
                <w:sz w:val="19"/>
              </w:rPr>
              <w:t>Final 13-week holdout across all models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None</w:t>
            </w:r>
          </w:p>
        </w:tc>
      </w:tr>
      <w:tr>
        <w:tc>
          <w:tcPr>
            <w:tcW w:type="dxa" w:w="576"/>
          </w:tcPr>
          <w:p>
            <w:r>
              <w:rPr>
                <w:b w:val="0"/>
                <w:color w:val="333333"/>
                <w:sz w:val="19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Model select</w:t>
            </w:r>
          </w:p>
        </w:tc>
        <w:tc>
          <w:tcPr>
            <w:tcW w:type="dxa" w:w="3312"/>
          </w:tcPr>
          <w:p>
            <w:r>
              <w:rPr>
                <w:b w:val="0"/>
                <w:color w:val="333333"/>
                <w:sz w:val="19"/>
              </w:rPr>
              <w:t>Q1+Q4 WAPE shortlist for production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None</w:t>
            </w:r>
          </w:p>
        </w:tc>
      </w:tr>
      <w:tr>
        <w:tc>
          <w:tcPr>
            <w:tcW w:type="dxa" w:w="576"/>
          </w:tcPr>
          <w:p>
            <w:r>
              <w:rPr>
                <w:b w:val="0"/>
                <w:color w:val="333333"/>
                <w:sz w:val="19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Monitoring</w:t>
            </w:r>
          </w:p>
        </w:tc>
        <w:tc>
          <w:tcPr>
            <w:tcW w:type="dxa" w:w="3312"/>
          </w:tcPr>
          <w:p>
            <w:r>
              <w:rPr>
                <w:b w:val="0"/>
                <w:color w:val="333333"/>
                <w:sz w:val="19"/>
              </w:rPr>
              <w:t>rolling_4w_wape_alert_threshold = cv_wape * 1.5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None</w:t>
            </w:r>
          </w:p>
        </w:tc>
      </w:tr>
      <w:tr>
        <w:tc>
          <w:tcPr>
            <w:tcW w:type="dxa" w:w="576"/>
          </w:tcPr>
          <w:p>
            <w:r>
              <w:rPr>
                <w:b w:val="0"/>
                <w:color w:val="333333"/>
                <w:sz w:val="19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Global LGB</w:t>
            </w:r>
          </w:p>
        </w:tc>
        <w:tc>
          <w:tcPr>
            <w:tcW w:type="dxa" w:w="3312"/>
          </w:tcPr>
          <w:p>
            <w:r>
              <w:rPr>
                <w:b w:val="0"/>
                <w:color w:val="333333"/>
                <w:sz w:val="19"/>
              </w:rPr>
              <w:t>35-feature quantile LGB (P10/P50/P90), walk-forward CV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avg_dials_lag4, avg_touches_lag4, plan_gap_lag1 added; crossing guard added</w:t>
            </w:r>
          </w:p>
        </w:tc>
      </w:tr>
      <w:tr>
        <w:tc>
          <w:tcPr>
            <w:tcW w:type="dxa" w:w="576"/>
          </w:tcPr>
          <w:p>
            <w:r>
              <w:rPr>
                <w:b w:val="0"/>
                <w:color w:val="333333"/>
                <w:sz w:val="19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Profile cols</w:t>
            </w:r>
          </w:p>
        </w:tc>
        <w:tc>
          <w:tcPr>
            <w:tcW w:type="dxa" w:w="3312"/>
          </w:tcPr>
          <w:p>
            <w:r>
              <w:rPr>
                <w:b w:val="0"/>
                <w:color w:val="333333"/>
                <w:sz w:val="19"/>
              </w:rPr>
              <w:t>GLOBAL_PROFILE_COLS for future feature projection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avg_dials, avg_touches added</w:t>
            </w:r>
          </w:p>
        </w:tc>
      </w:tr>
      <w:tr>
        <w:tc>
          <w:tcPr>
            <w:tcW w:type="dxa" w:w="576"/>
          </w:tcPr>
          <w:p>
            <w:r>
              <w:rPr>
                <w:b w:val="0"/>
                <w:color w:val="333333"/>
                <w:sz w:val="19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Ensemble</w:t>
            </w:r>
          </w:p>
        </w:tc>
        <w:tc>
          <w:tcPr>
            <w:tcW w:type="dxa" w:w="3312"/>
          </w:tcPr>
          <w:p>
            <w:r>
              <w:rPr>
                <w:b w:val="0"/>
                <w:color w:val="333333"/>
                <w:sz w:val="19"/>
              </w:rPr>
              <w:t>GR covariance-optimal weights + interval calibration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ensemble_interval_calibration() — new P10/P90 for ensemble</w:t>
            </w:r>
          </w:p>
        </w:tc>
      </w:tr>
      <w:tr>
        <w:tc>
          <w:tcPr>
            <w:tcW w:type="dxa" w:w="576"/>
          </w:tcPr>
          <w:p>
            <w:r>
              <w:rPr>
                <w:b w:val="0"/>
                <w:color w:val="333333"/>
                <w:sz w:val="19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Production</w:t>
            </w:r>
          </w:p>
        </w:tc>
        <w:tc>
          <w:tcPr>
            <w:tcW w:type="dxa" w:w="3312"/>
          </w:tcPr>
          <w:p>
            <w:r>
              <w:rPr>
                <w:b w:val="0"/>
                <w:color w:val="333333"/>
                <w:sz w:val="19"/>
              </w:rPr>
              <w:t>Forward 27-week forecast + Delta table write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Delta write added; crossing guard applied; ensemble P10/P90 written</w:t>
            </w:r>
          </w:p>
        </w:tc>
      </w:tr>
      <w:tr>
        <w:tc>
          <w:tcPr>
            <w:tcW w:type="dxa" w:w="576"/>
          </w:tcPr>
          <w:p>
            <w:r>
              <w:rPr>
                <w:b w:val="0"/>
                <w:color w:val="333333"/>
                <w:sz w:val="19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Visualization</w:t>
            </w:r>
          </w:p>
        </w:tc>
        <w:tc>
          <w:tcPr>
            <w:tcW w:type="dxa" w:w="3312"/>
          </w:tcPr>
          <w:p>
            <w:r>
              <w:rPr>
                <w:b w:val="0"/>
                <w:color w:val="333333"/>
                <w:sz w:val="19"/>
              </w:rPr>
              <w:t>Charts and display blocks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None</w:t>
            </w:r>
          </w:p>
        </w:tc>
      </w:tr>
      <w:tr>
        <w:tc>
          <w:tcPr>
            <w:tcW w:type="dxa" w:w="576"/>
          </w:tcPr>
          <w:p>
            <w:r>
              <w:rPr>
                <w:b w:val="0"/>
                <w:color w:val="333333"/>
                <w:sz w:val="19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Monitoring baseline</w:t>
            </w:r>
          </w:p>
        </w:tc>
        <w:tc>
          <w:tcPr>
            <w:tcW w:type="dxa" w:w="3312"/>
          </w:tcPr>
          <w:p>
            <w:r>
              <w:rPr>
                <w:b w:val="0"/>
                <w:color w:val="333333"/>
                <w:sz w:val="19"/>
              </w:rPr>
              <w:t>Per-model WAPE thresholds for production alerts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None</w:t>
            </w:r>
          </w:p>
        </w:tc>
      </w:tr>
    </w:tbl>
    <w:p/>
    <w:p>
      <w:pPr>
        <w:pStyle w:val="Heading2"/>
      </w:pPr>
      <w:r>
        <w:rPr>
          <w:b/>
          <w:color w:val="0047AB"/>
        </w:rPr>
        <w:t>Architecture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115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5184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Walk-forward CV (no data leakage)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9/10</w:t>
            </w:r>
          </w:p>
        </w:tc>
        <w:tc>
          <w:tcPr>
            <w:tcW w:type="dxa" w:w="5184"/>
          </w:tcPr>
          <w:p>
            <w:r>
              <w:rPr>
                <w:b w:val="0"/>
                <w:color w:val="333333"/>
                <w:sz w:val="19"/>
              </w:rPr>
              <w:t>8 folds x 13-week horizon, MIN_TRAIN=78wk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Production persistence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9/10</w:t>
            </w:r>
          </w:p>
        </w:tc>
        <w:tc>
          <w:tcPr>
            <w:tcW w:type="dxa" w:w="5184"/>
          </w:tcPr>
          <w:p>
            <w:r>
              <w:rPr>
                <w:b w:val="0"/>
                <w:color w:val="333333"/>
                <w:sz w:val="19"/>
              </w:rPr>
              <w:t>Delta table write now confirmed — P0 FIXED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Uncertainty quantification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7/10</w:t>
            </w:r>
          </w:p>
        </w:tc>
        <w:tc>
          <w:tcPr>
            <w:tcW w:type="dxa" w:w="5184"/>
          </w:tcPr>
          <w:p>
            <w:r>
              <w:rPr>
                <w:b w:val="0"/>
                <w:color w:val="333333"/>
                <w:sz w:val="19"/>
              </w:rPr>
              <w:t>LGB has P10/P90 + crossing guard; ensemble has calibrated CI; DHR/MSTL/ETS/Prophet still NaN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Experiment tracking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8/10</w:t>
            </w:r>
          </w:p>
        </w:tc>
        <w:tc>
          <w:tcPr>
            <w:tcW w:type="dxa" w:w="5184"/>
          </w:tcPr>
          <w:p>
            <w:r>
              <w:rPr>
                <w:b w:val="0"/>
                <w:color w:val="333333"/>
                <w:sz w:val="19"/>
              </w:rPr>
              <w:t>MLflow per-model; no artifact logging of feature distributions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Hierarchical consistency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6/10</w:t>
            </w:r>
          </w:p>
        </w:tc>
        <w:tc>
          <w:tcPr>
            <w:tcW w:type="dxa" w:w="5184"/>
          </w:tcPr>
          <w:p>
            <w:r>
              <w:rPr>
                <w:b w:val="0"/>
                <w:color w:val="333333"/>
                <w:sz w:val="19"/>
              </w:rPr>
              <w:t>MinT covariance estimated but WLS projection not applied — top-down allocation only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Feature engineering rigor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8/10</w:t>
            </w:r>
          </w:p>
        </w:tc>
        <w:tc>
          <w:tcPr>
            <w:tcW w:type="dxa" w:w="5184"/>
          </w:tcPr>
          <w:p>
            <w:r>
              <w:rPr>
                <w:b w:val="0"/>
                <w:color w:val="333333"/>
                <w:sz w:val="19"/>
              </w:rPr>
              <w:t>35 features, lagged properly; avg_dials/avg_touches/plan_gap now included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Code modularity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7/10</w:t>
            </w:r>
          </w:p>
        </w:tc>
        <w:tc>
          <w:tcPr>
            <w:tcW w:type="dxa" w:w="5184"/>
          </w:tcPr>
          <w:p>
            <w:r>
              <w:rPr>
                <w:b w:val="0"/>
                <w:color w:val="333333"/>
                <w:sz w:val="19"/>
              </w:rPr>
              <w:t>Well-factored helpers; monolithic Cell 11 (LGB) is 400+ lines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Monitoring &amp; alerting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8/10</w:t>
            </w:r>
          </w:p>
        </w:tc>
        <w:tc>
          <w:tcPr>
            <w:tcW w:type="dxa" w:w="5184"/>
          </w:tcPr>
          <w:p>
            <w:r>
              <w:rPr>
                <w:b w:val="0"/>
                <w:color w:val="333333"/>
                <w:sz w:val="19"/>
              </w:rPr>
              <w:t>rolling_4w_wape_alert_threshold = cv_wape*1.5 per model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Overall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77/100</w:t>
            </w:r>
          </w:p>
        </w:tc>
        <w:tc>
          <w:tcPr>
            <w:tcW w:type="dxa" w:w="5184"/>
          </w:tcPr>
          <w:p>
            <w:r>
              <w:rPr>
                <w:b w:val="0"/>
                <w:color w:val="333333"/>
                <w:sz w:val="19"/>
              </w:rPr>
              <w:t>Production-ready with 3 open P1 gaps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047AB"/>
        </w:rPr>
        <w:t>Section 2: Model Review — All 5 Production Models</w:t>
      </w:r>
    </w:p>
    <w:p>
      <w:pPr>
        <w:pStyle w:val="Heading2"/>
      </w:pPr>
      <w:r>
        <w:rPr>
          <w:b/>
          <w:color w:val="0047AB"/>
        </w:rPr>
        <w:t>2.1 MSTL v2</w:t>
      </w:r>
    </w:p>
    <w:p>
      <w:pPr>
        <w:spacing w:before="0" w:after="120"/>
      </w:pPr>
      <w:r>
        <w:rPr>
          <w:b w:val="0"/>
          <w:i w:val="0"/>
          <w:color w:val="333333"/>
          <w:sz w:val="21"/>
        </w:rPr>
        <w:t>season_length=[4,13,52] — weekly, quarterly, annual seasonality decomposed via STL. Robust against heteroscedastic residuals. Walk-forward CV with 8 folds x 13-week horizon. P10/P90 set to NaN in production output (MSTL does not natively produce prediction intervals). Strength: captures multi-scale seasonality without calendar regressors. Weakness: no exogenous features; assumes additive decomposition; sensitive to outlier contamination in trend component.</w:t>
      </w:r>
    </w:p>
    <w:p>
      <w:pPr>
        <w:pStyle w:val="Heading2"/>
      </w:pPr>
      <w:r>
        <w:rPr>
          <w:b/>
          <w:color w:val="0047AB"/>
        </w:rPr>
        <w:t>2.2 ETS</w:t>
      </w:r>
    </w:p>
    <w:p>
      <w:pPr>
        <w:spacing w:before="0" w:after="120"/>
      </w:pPr>
      <w:r>
        <w:rPr>
          <w:b w:val="0"/>
          <w:i w:val="0"/>
          <w:color w:val="333333"/>
          <w:sz w:val="21"/>
        </w:rPr>
        <w:t>seasonal_period=52 dynamic — error/trend/seasonal exponential smoothing. Automatically selects error/trend/seasonal type via AIC. P10/P90 = NaN in production (no quantile output from statsmodels ETS). Handles level shifts via adaptive smoothing. Weakness: cannot incorporate leading indicators; seasonal period=52 weekly may underfit intra-quarter dynamics.</w:t>
      </w:r>
    </w:p>
    <w:p>
      <w:pPr>
        <w:pStyle w:val="Heading2"/>
      </w:pPr>
      <w:r>
        <w:rPr>
          <w:b/>
          <w:color w:val="0047AB"/>
        </w:rPr>
        <w:t>2.3 Prophet</w:t>
      </w:r>
    </w:p>
    <w:p>
      <w:pPr>
        <w:spacing w:before="0" w:after="120"/>
      </w:pPr>
      <w:r>
        <w:rPr>
          <w:b w:val="0"/>
          <w:i w:val="0"/>
          <w:color w:val="333333"/>
          <w:sz w:val="21"/>
        </w:rPr>
        <w:t>Trend-only model (no Facebook seasonality) + WoQ empirical profile applied post-hoc. CRITICAL READ-ONLY CONSTRAINT: reads from datagroup_mdl.mdl_sales_analytics.forecast_prophet — no writes, no schema changes. The WoQ profile captures quarter-end acceleration without leaking future ARR into training. P10/P90 set to NaN in production. Risk: WoQ profile derived from historical data — a structural sales motion change (e.g., new quota cadence) would invalidate the profile without an explicit refit trigger.</w:t>
      </w:r>
    </w:p>
    <w:p>
      <w:pPr>
        <w:pStyle w:val="Heading2"/>
      </w:pPr>
      <w:r>
        <w:rPr>
          <w:b/>
          <w:color w:val="0047AB"/>
        </w:rPr>
        <w:t>2.4 DHR-ARIMA</w:t>
      </w:r>
    </w:p>
    <w:p>
      <w:pPr>
        <w:spacing w:before="0" w:after="120"/>
      </w:pPr>
      <w:r>
        <w:rPr>
          <w:b w:val="0"/>
          <w:i w:val="0"/>
          <w:color w:val="333333"/>
          <w:sz w:val="21"/>
        </w:rPr>
        <w:t>Dynamic harmonic regression by sales_market with Fourier terms: q13 (13-week) and y52 (52-week), 2 harmonics each. Fit per market (APAC, EMEA, LATAM, NA, Unknown). P10/P90 = NaN in production. Advantage: captures market-specific seasonality and trend via ARIMA errors. Weakness: 5 separate models introduce variance in CV — small market slices (LATAM, Unknown) may have insufficient training rows. Recommend monitoring per-market WAPE separately.</w:t>
      </w:r>
    </w:p>
    <w:p>
      <w:pPr>
        <w:pStyle w:val="Heading2"/>
      </w:pPr>
      <w:r>
        <w:rPr>
          <w:b/>
          <w:color w:val="0047AB"/>
        </w:rPr>
        <w:t>2.5 Global LGB Quantile</w:t>
      </w:r>
    </w:p>
    <w:p>
      <w:pPr>
        <w:spacing w:before="0" w:after="120"/>
      </w:pPr>
      <w:r>
        <w:rPr>
          <w:b w:val="0"/>
          <w:i w:val="0"/>
          <w:color w:val="333333"/>
          <w:sz w:val="21"/>
        </w:rPr>
        <w:t>Three independent LightGBM models trained on GLOBAL_FEATURE_COLS (35 features) with objective=quantile at alpha=0.10, 0.50, 0.90. Key improvements in V5: (1) Crossing guard enforces p10 &lt;= p50 &lt;= p90 in both CV and production. (2) avg_dials_lag4 and avg_touches_lag4 add sales activity leading indicators. (3) plan_gap_lag1 adds quota attainment pressure signal. (4) feature_health_cols now includes all three new features for monitoring. Three models trained independently — quantile monotonicity is enforced post-hoc rather than intrinsically. For production stability, consider isotonic regression post-processing as an alternative to simple clip.</w:t>
      </w:r>
    </w:p>
    <w:p>
      <w:pPr>
        <w:pStyle w:val="Heading2"/>
      </w:pPr>
      <w:r>
        <w:rPr>
          <w:b/>
          <w:color w:val="0047AB"/>
        </w:rPr>
        <w:t>2.6 N-HiTS and TFT — Correctly Excluded</w:t>
      </w:r>
    </w:p>
    <w:p>
      <w:pPr>
        <w:spacing w:before="0" w:after="120"/>
      </w:pPr>
      <w:r>
        <w:rPr>
          <w:b w:val="0"/>
          <w:i w:val="0"/>
          <w:color w:val="333333"/>
          <w:sz w:val="21"/>
        </w:rPr>
        <w:t>Both deep learning models were removed in V4 and remain excluded in V5. Reason: both hit max_steps without early stopping convergence — the 182-row training set is insufficient for transformer-style architectures. This is the correct engineering decision. Do not reintroduce until dataset exceeds 3+ years of weekly data (&gt;156 rows of training post-MIN_TRAIN_WEEKS).</w:t>
      </w:r>
    </w:p>
    <w:p>
      <w:pPr>
        <w:pStyle w:val="Heading2"/>
      </w:pPr>
      <w:r>
        <w:rPr>
          <w:b/>
          <w:color w:val="0047AB"/>
        </w:rPr>
        <w:t>Model Selection Rationale</w:t>
      </w:r>
    </w:p>
    <w:p>
      <w:pPr>
        <w:spacing w:before="0" w:after="120"/>
      </w:pPr>
      <w:r>
        <w:rPr>
          <w:b w:val="0"/>
          <w:i w:val="0"/>
          <w:color w:val="333333"/>
          <w:sz w:val="21"/>
        </w:rPr>
        <w:t>The Q1+Q4 WAPE shortlist selection (Cell 9/10) is sound: Q1 is the toughest quarter for accuracy (ramp-up uncertainty) and Q4 is the highest-stakes (commit season). Models that underperform in either quarter are excluded from the production ensemble regardless of average WAPE. This business-aligned selection criterion is a V3+ strength.</w:t>
      </w:r>
    </w:p>
    <w:p>
      <w:r>
        <w:br w:type="page"/>
      </w:r>
    </w:p>
    <w:p>
      <w:pPr>
        <w:pStyle w:val="Heading1"/>
      </w:pPr>
      <w:r>
        <w:rPr>
          <w:b/>
          <w:color w:val="0047AB"/>
        </w:rPr>
        <w:t>Section 3: Seasonality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88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Seasonality Method</w:t>
            </w:r>
          </w:p>
        </w:tc>
        <w:tc>
          <w:tcPr>
            <w:tcW w:type="dxa" w:w="288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Periods Captured</w:t>
            </w:r>
          </w:p>
        </w:tc>
        <w:tc>
          <w:tcPr>
            <w:tcW w:type="dxa" w:w="259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Gaps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color w:val="333333"/>
                <w:sz w:val="19"/>
              </w:rPr>
              <w:t>MSTL v2</w:t>
            </w:r>
          </w:p>
        </w:tc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STL decomposition</w:t>
            </w:r>
          </w:p>
        </w:tc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[4,13,52] — monthly, quarterly, annual</w:t>
            </w:r>
          </w:p>
        </w:tc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No exogenous regressors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color w:val="333333"/>
                <w:sz w:val="19"/>
              </w:rPr>
              <w:t>ETS</w:t>
            </w:r>
          </w:p>
        </w:tc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Exponential smoothing seasonal</w:t>
            </w:r>
          </w:p>
        </w:tc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52 (annual)</w:t>
            </w:r>
          </w:p>
        </w:tc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No sub-annual period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color w:val="333333"/>
                <w:sz w:val="19"/>
              </w:rPr>
              <w:t>Prophet</w:t>
            </w:r>
          </w:p>
        </w:tc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WoQ empirical profile (post-hoc)</w:t>
            </w:r>
          </w:p>
        </w:tc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Week-of-quarter ramp pattern</w:t>
            </w:r>
          </w:p>
        </w:tc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Profile static — not updated each run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color w:val="333333"/>
                <w:sz w:val="19"/>
              </w:rPr>
              <w:t>DHR-ARIMA</w:t>
            </w:r>
          </w:p>
        </w:tc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Fourier harmonics</w:t>
            </w:r>
          </w:p>
        </w:tc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q13 + y52, K=2 harmonics each</w:t>
            </w:r>
          </w:p>
        </w:tc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No regional holiday adjustment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color w:val="333333"/>
                <w:sz w:val="19"/>
              </w:rPr>
              <w:t>Global LGB</w:t>
            </w:r>
          </w:p>
        </w:tc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Encoded features</w:t>
            </w:r>
          </w:p>
        </w:tc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week_of_qtr, woq_sin/cos, qtr_sin/cos, is_q4, q4_week_countdown</w:t>
            </w:r>
          </w:p>
        </w:tc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US holidays only (us_holiday)</w:t>
            </w:r>
          </w:p>
        </w:tc>
      </w:tr>
    </w:tbl>
    <w:p/>
    <w:p>
      <w:pPr>
        <w:spacing w:before="0" w:after="120"/>
      </w:pPr>
      <w:r>
        <w:rPr>
          <w:b w:val="0"/>
          <w:i w:val="0"/>
          <w:color w:val="333333"/>
          <w:sz w:val="21"/>
        </w:rPr>
        <w:t>Key findings:</w:t>
      </w:r>
    </w:p>
    <w:p>
      <w:pPr>
        <w:pStyle w:val="ListBullet"/>
        <w:ind w:left="360"/>
      </w:pPr>
      <w:r>
        <w:rPr>
          <w:color w:val="333333"/>
          <w:sz w:val="20"/>
        </w:rPr>
        <w:t>US holiday calendar (us_holiday) is included as a feature in Global LGB but is not propagated to MSTL, ETS, Prophet, or DHR-ARIMA.</w:t>
      </w:r>
    </w:p>
    <w:p>
      <w:pPr>
        <w:pStyle w:val="ListBullet"/>
        <w:ind w:left="360"/>
      </w:pPr>
      <w:r>
        <w:rPr>
          <w:color w:val="333333"/>
          <w:sz w:val="20"/>
        </w:rPr>
        <w:t>No regional holiday calendars for EMEA, APAC, or LATAM despite significant ARR concentration in those markets. EMEA in particular has August slowdown and end-of-Q effects that differ from NA.</w:t>
      </w:r>
    </w:p>
    <w:p>
      <w:pPr>
        <w:pStyle w:val="ListBullet"/>
        <w:ind w:left="360"/>
      </w:pPr>
      <w:r>
        <w:rPr>
          <w:color w:val="333333"/>
          <w:sz w:val="20"/>
        </w:rPr>
        <w:t>The WoQ empirical profile for Prophet is derived from historical data and is not refreshed each run. A static profile risks systematic bias if GoTo changes its sales cadence (e.g., moves to monthly bookings cycles).</w:t>
      </w:r>
    </w:p>
    <w:p>
      <w:pPr>
        <w:pStyle w:val="ListBullet"/>
        <w:ind w:left="360"/>
      </w:pPr>
      <w:r>
        <w:rPr>
          <w:color w:val="333333"/>
          <w:sz w:val="20"/>
        </w:rPr>
        <w:t>Recommendation: add is_emea_holiday, is_apac_holiday as binary features to Global LGB; add holiday regressors to Prophet. This was flagged as V4 P2 and remains open in V5.</w:t>
      </w:r>
    </w:p>
    <w:p/>
    <w:p>
      <w:r>
        <w:br w:type="page"/>
      </w:r>
    </w:p>
    <w:p>
      <w:pPr>
        <w:pStyle w:val="Heading1"/>
      </w:pPr>
      <w:r>
        <w:rPr>
          <w:b/>
          <w:color w:val="0047AB"/>
        </w:rPr>
        <w:t>Section 4: Data Quality &amp; Feature Engineering</w:t>
      </w:r>
    </w:p>
    <w:p>
      <w:pPr>
        <w:pStyle w:val="Heading2"/>
      </w:pPr>
      <w:r>
        <w:rPr>
          <w:b/>
          <w:color w:val="0047AB"/>
        </w:rPr>
        <w:t>4.1 Source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48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Raw rows</w:t>
            </w:r>
          </w:p>
        </w:tc>
        <w:tc>
          <w:tcPr>
            <w:tcW w:type="dxa" w:w="6480"/>
          </w:tcPr>
          <w:p>
            <w:r>
              <w:rPr>
                <w:b w:val="0"/>
                <w:color w:val="333333"/>
                <w:sz w:val="19"/>
              </w:rPr>
              <w:t>332,440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Weekly observations</w:t>
            </w:r>
          </w:p>
        </w:tc>
        <w:tc>
          <w:tcPr>
            <w:tcW w:type="dxa" w:w="6480"/>
          </w:tcPr>
          <w:p>
            <w:r>
              <w:rPr>
                <w:b w:val="0"/>
                <w:color w:val="333333"/>
                <w:sz w:val="19"/>
              </w:rPr>
              <w:t>182 (2023-01-02 to 2026-06-22)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UCC Growth ARR</w:t>
            </w:r>
          </w:p>
        </w:tc>
        <w:tc>
          <w:tcPr>
            <w:tcW w:type="dxa" w:w="6480"/>
          </w:tcPr>
          <w:p>
            <w:r>
              <w:rPr>
                <w:b w:val="0"/>
                <w:color w:val="333333"/>
                <w:sz w:val="19"/>
              </w:rPr>
              <w:t>$207.66M total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Filter applied</w:t>
            </w:r>
          </w:p>
        </w:tc>
        <w:tc>
          <w:tcPr>
            <w:tcW w:type="dxa" w:w="6480"/>
          </w:tcPr>
          <w:p>
            <w:r>
              <w:rPr>
                <w:b w:val="0"/>
                <w:color w:val="333333"/>
                <w:sz w:val="19"/>
              </w:rPr>
              <w:t>is_won=True, purchase_type_rollup=Growth, excluding Care/Sales Other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Grains</w:t>
            </w:r>
          </w:p>
        </w:tc>
        <w:tc>
          <w:tcPr>
            <w:tcW w:type="dxa" w:w="6480"/>
          </w:tcPr>
          <w:p>
            <w:r>
              <w:rPr>
                <w:b w:val="0"/>
                <w:color w:val="333333"/>
                <w:sz w:val="19"/>
              </w:rPr>
              <w:t>Total + 5 markets (APAC, EMEA, LATAM, NA, Unknown) x 4 product families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Source table</w:t>
            </w:r>
          </w:p>
        </w:tc>
        <w:tc>
          <w:tcPr>
            <w:tcW w:type="dxa" w:w="6480"/>
          </w:tcPr>
          <w:p>
            <w:r>
              <w:rPr>
                <w:b w:val="0"/>
                <w:color w:val="333333"/>
                <w:sz w:val="19"/>
              </w:rPr>
              <w:t>datagroup.datalake_transform.cds_sfdc_opp_products_latest</w:t>
            </w:r>
          </w:p>
        </w:tc>
      </w:tr>
    </w:tbl>
    <w:p/>
    <w:p>
      <w:pPr>
        <w:pStyle w:val="Heading2"/>
      </w:pPr>
      <w:r>
        <w:rPr>
          <w:b/>
          <w:color w:val="0047AB"/>
        </w:rPr>
        <w:t>4.2 V5 Feature Set — 35 GLOBAL_FEATURE_COLS</w:t>
      </w:r>
    </w:p>
    <w:p>
      <w:pPr>
        <w:spacing w:before="0" w:after="120"/>
      </w:pPr>
      <w:r>
        <w:rPr>
          <w:b w:val="0"/>
          <w:i w:val="0"/>
          <w:color w:val="333333"/>
          <w:sz w:val="21"/>
        </w:rPr>
        <w:t>Three features added in V5 (shown in bold). All other 32 features carried over from V4 unchanged.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44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72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Lag</w:t>
            </w:r>
          </w:p>
        </w:tc>
        <w:tc>
          <w:tcPr>
            <w:tcW w:type="dxa" w:w="1008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V5 New?</w:t>
            </w:r>
          </w:p>
        </w:tc>
        <w:tc>
          <w:tcPr>
            <w:tcW w:type="dxa" w:w="403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week_of_qtr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Calendar</w:t>
            </w:r>
          </w:p>
        </w:tc>
        <w:tc>
          <w:tcPr>
            <w:tcW w:type="dxa" w:w="720"/>
          </w:tcPr>
          <w:p>
            <w:r>
              <w:rPr>
                <w:b w:val="0"/>
                <w:color w:val="333333"/>
                <w:sz w:val="19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Week position within quarter (1-13)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quarter_end_flag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Calendar</w:t>
            </w:r>
          </w:p>
        </w:tc>
        <w:tc>
          <w:tcPr>
            <w:tcW w:type="dxa" w:w="720"/>
          </w:tcPr>
          <w:p>
            <w:r>
              <w:rPr>
                <w:b w:val="0"/>
                <w:color w:val="333333"/>
                <w:sz w:val="19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Binary: final week of quarter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is_q4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Calendar</w:t>
            </w:r>
          </w:p>
        </w:tc>
        <w:tc>
          <w:tcPr>
            <w:tcW w:type="dxa" w:w="720"/>
          </w:tcPr>
          <w:p>
            <w:r>
              <w:rPr>
                <w:b w:val="0"/>
                <w:color w:val="333333"/>
                <w:sz w:val="19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Binary: Q4 indicator (commit season)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q4_week_countdown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Calendar</w:t>
            </w:r>
          </w:p>
        </w:tc>
        <w:tc>
          <w:tcPr>
            <w:tcW w:type="dxa" w:w="720"/>
          </w:tcPr>
          <w:p>
            <w:r>
              <w:rPr>
                <w:b w:val="0"/>
                <w:color w:val="333333"/>
                <w:sz w:val="19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Weeks remaining in Q4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woq_sin / woq_cos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Calendar</w:t>
            </w:r>
          </w:p>
        </w:tc>
        <w:tc>
          <w:tcPr>
            <w:tcW w:type="dxa" w:w="720"/>
          </w:tcPr>
          <w:p>
            <w:r>
              <w:rPr>
                <w:b w:val="0"/>
                <w:color w:val="333333"/>
                <w:sz w:val="19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Fourier encoding of week-of-quarter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qtr_sin / qtr_cos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Calendar</w:t>
            </w:r>
          </w:p>
        </w:tc>
        <w:tc>
          <w:tcPr>
            <w:tcW w:type="dxa" w:w="720"/>
          </w:tcPr>
          <w:p>
            <w:r>
              <w:rPr>
                <w:b w:val="0"/>
                <w:color w:val="333333"/>
                <w:sz w:val="19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Fourier encoding of quarter position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sales_market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Categorical</w:t>
            </w:r>
          </w:p>
        </w:tc>
        <w:tc>
          <w:tcPr>
            <w:tcW w:type="dxa" w:w="720"/>
          </w:tcPr>
          <w:p>
            <w:r>
              <w:rPr>
                <w:b w:val="0"/>
                <w:color w:val="333333"/>
                <w:sz w:val="19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Market slice identifier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created_lag4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Pipeline</w:t>
            </w:r>
          </w:p>
        </w:tc>
        <w:tc>
          <w:tcPr>
            <w:tcW w:type="dxa" w:w="720"/>
          </w:tcPr>
          <w:p>
            <w:r>
              <w:rPr>
                <w:b w:val="0"/>
                <w:color w:val="333333"/>
                <w:sz w:val="19"/>
              </w:rPr>
              <w:t>4wk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Lagged pipeline creation (leading indicator)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created_lag5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Pipeline</w:t>
            </w:r>
          </w:p>
        </w:tc>
        <w:tc>
          <w:tcPr>
            <w:tcW w:type="dxa" w:w="720"/>
          </w:tcPr>
          <w:p>
            <w:r>
              <w:rPr>
                <w:b w:val="0"/>
                <w:color w:val="333333"/>
                <w:sz w:val="19"/>
              </w:rPr>
              <w:t>5wk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Additional pipeline lag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headcount_lag4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HR</w:t>
            </w:r>
          </w:p>
        </w:tc>
        <w:tc>
          <w:tcPr>
            <w:tcW w:type="dxa" w:w="720"/>
          </w:tcPr>
          <w:p>
            <w:r>
              <w:rPr>
                <w:b w:val="0"/>
                <w:color w:val="333333"/>
                <w:sz w:val="19"/>
              </w:rPr>
              <w:t>4wk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Sales headcount — capacity signal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win_rate_woq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Pipeline</w:t>
            </w:r>
          </w:p>
        </w:tc>
        <w:tc>
          <w:tcPr>
            <w:tcW w:type="dxa" w:w="720"/>
          </w:tcPr>
          <w:p>
            <w:r>
              <w:rPr>
                <w:b w:val="0"/>
                <w:color w:val="333333"/>
                <w:sz w:val="19"/>
              </w:rPr>
              <w:t>roll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Rolling win rate by week-of-quarter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pipeline_velocity_lag4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Pipeline</w:t>
            </w:r>
          </w:p>
        </w:tc>
        <w:tc>
          <w:tcPr>
            <w:tcW w:type="dxa" w:w="720"/>
          </w:tcPr>
          <w:p>
            <w:r>
              <w:rPr>
                <w:b w:val="0"/>
                <w:color w:val="333333"/>
                <w:sz w:val="19"/>
              </w:rPr>
              <w:t>4wk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ARR/avg_opportunity_age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deal_size_lag1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Pipeline</w:t>
            </w:r>
          </w:p>
        </w:tc>
        <w:tc>
          <w:tcPr>
            <w:tcW w:type="dxa" w:w="720"/>
          </w:tcPr>
          <w:p>
            <w:r>
              <w:rPr>
                <w:b w:val="0"/>
                <w:color w:val="333333"/>
                <w:sz w:val="19"/>
              </w:rPr>
              <w:t>1wk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Avg deal size — mix signal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sales_cycle_lag1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Pipeline</w:t>
            </w:r>
          </w:p>
        </w:tc>
        <w:tc>
          <w:tcPr>
            <w:tcW w:type="dxa" w:w="720"/>
          </w:tcPr>
          <w:p>
            <w:r>
              <w:rPr>
                <w:b w:val="0"/>
                <w:color w:val="333333"/>
                <w:sz w:val="19"/>
              </w:rPr>
              <w:t>1wk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Avg days to close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push_ctr_lag1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Pipeline</w:t>
            </w:r>
          </w:p>
        </w:tc>
        <w:tc>
          <w:tcPr>
            <w:tcW w:type="dxa" w:w="720"/>
          </w:tcPr>
          <w:p>
            <w:r>
              <w:rPr>
                <w:b w:val="0"/>
                <w:color w:val="333333"/>
                <w:sz w:val="19"/>
              </w:rPr>
              <w:t>1wk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Push-out rate — deal slip indicator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avg_dials_lag4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Activity</w:t>
            </w:r>
          </w:p>
        </w:tc>
        <w:tc>
          <w:tcPr>
            <w:tcW w:type="dxa" w:w="720"/>
          </w:tcPr>
          <w:p>
            <w:r>
              <w:rPr>
                <w:b w:val="0"/>
                <w:color w:val="333333"/>
                <w:sz w:val="19"/>
              </w:rPr>
              <w:t>4wk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YES</w:t>
            </w:r>
          </w:p>
        </w:tc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Sales activity — outbound call volume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avg_touches_lag4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Activity</w:t>
            </w:r>
          </w:p>
        </w:tc>
        <w:tc>
          <w:tcPr>
            <w:tcW w:type="dxa" w:w="720"/>
          </w:tcPr>
          <w:p>
            <w:r>
              <w:rPr>
                <w:b w:val="0"/>
                <w:color w:val="333333"/>
                <w:sz w:val="19"/>
              </w:rPr>
              <w:t>4wk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YES</w:t>
            </w:r>
          </w:p>
        </w:tc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Sales activity — total contact attempts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mkt_opened_lag4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Marketing</w:t>
            </w:r>
          </w:p>
        </w:tc>
        <w:tc>
          <w:tcPr>
            <w:tcW w:type="dxa" w:w="720"/>
          </w:tcPr>
          <w:p>
            <w:r>
              <w:rPr>
                <w:b w:val="0"/>
                <w:color w:val="333333"/>
                <w:sz w:val="19"/>
              </w:rPr>
              <w:t>4wk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Marketing email opened rate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miradore_lag4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Product</w:t>
            </w:r>
          </w:p>
        </w:tc>
        <w:tc>
          <w:tcPr>
            <w:tcW w:type="dxa" w:w="720"/>
          </w:tcPr>
          <w:p>
            <w:r>
              <w:rPr>
                <w:b w:val="0"/>
                <w:color w:val="333333"/>
                <w:sz w:val="19"/>
              </w:rPr>
              <w:t>4wk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Miradore device enrollment (MDM demand signal)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plan_gap_lag1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Quota</w:t>
            </w:r>
          </w:p>
        </w:tc>
        <w:tc>
          <w:tcPr>
            <w:tcW w:type="dxa" w:w="720"/>
          </w:tcPr>
          <w:p>
            <w:r>
              <w:rPr>
                <w:b w:val="0"/>
                <w:color w:val="333333"/>
                <w:sz w:val="19"/>
              </w:rPr>
              <w:t>1wk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YES</w:t>
            </w:r>
          </w:p>
        </w:tc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Gap to plan — urgency/attainment pressure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partner_pipe_lag4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Channel</w:t>
            </w:r>
          </w:p>
        </w:tc>
        <w:tc>
          <w:tcPr>
            <w:tcW w:type="dxa" w:w="720"/>
          </w:tcPr>
          <w:p>
            <w:r>
              <w:rPr>
                <w:b w:val="0"/>
                <w:color w:val="333333"/>
                <w:sz w:val="19"/>
              </w:rPr>
              <w:t>4wk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Partner-sourced pipeline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sales_rep_ramp_ratio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HR</w:t>
            </w:r>
          </w:p>
        </w:tc>
        <w:tc>
          <w:tcPr>
            <w:tcW w:type="dxa" w:w="720"/>
          </w:tcPr>
          <w:p>
            <w:r>
              <w:rPr>
                <w:b w:val="0"/>
                <w:color w:val="333333"/>
                <w:sz w:val="19"/>
              </w:rPr>
              <w:t>roll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Fraction of reps in ramp (&lt;26 wk tenure)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y_lag1/4/8/13/26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AR</w:t>
            </w:r>
          </w:p>
        </w:tc>
        <w:tc>
          <w:tcPr>
            <w:tcW w:type="dxa" w:w="720"/>
          </w:tcPr>
          <w:p>
            <w:r>
              <w:rPr>
                <w:b w:val="0"/>
                <w:color w:val="333333"/>
                <w:sz w:val="19"/>
              </w:rPr>
              <w:t>var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Autoregressive ARR lags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r4w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AR</w:t>
            </w:r>
          </w:p>
        </w:tc>
        <w:tc>
          <w:tcPr>
            <w:tcW w:type="dxa" w:w="720"/>
          </w:tcPr>
          <w:p>
            <w:r>
              <w:rPr>
                <w:b w:val="0"/>
                <w:color w:val="333333"/>
                <w:sz w:val="19"/>
              </w:rPr>
              <w:t>roll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4-week rolling mean ARR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rolling_vol_4w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Volatility</w:t>
            </w:r>
          </w:p>
        </w:tc>
        <w:tc>
          <w:tcPr>
            <w:tcW w:type="dxa" w:w="720"/>
          </w:tcPr>
          <w:p>
            <w:r>
              <w:rPr>
                <w:b w:val="0"/>
                <w:color w:val="333333"/>
                <w:sz w:val="19"/>
              </w:rPr>
              <w:t>roll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Short-term ARR std dev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rolling_vol_13w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Volatility</w:t>
            </w:r>
          </w:p>
        </w:tc>
        <w:tc>
          <w:tcPr>
            <w:tcW w:type="dxa" w:w="720"/>
          </w:tcPr>
          <w:p>
            <w:r>
              <w:rPr>
                <w:b w:val="0"/>
                <w:color w:val="333333"/>
                <w:sz w:val="19"/>
              </w:rPr>
              <w:t>roll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Long-term ARR std dev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yoy_growth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Trend</w:t>
            </w:r>
          </w:p>
        </w:tc>
        <w:tc>
          <w:tcPr>
            <w:tcW w:type="dxa" w:w="720"/>
          </w:tcPr>
          <w:p>
            <w:r>
              <w:rPr>
                <w:b w:val="0"/>
                <w:color w:val="333333"/>
                <w:sz w:val="19"/>
              </w:rPr>
              <w:t>calc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YoY ARR growth rate, clipped [-3,3]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qoq_momentum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Trend</w:t>
            </w:r>
          </w:p>
        </w:tc>
        <w:tc>
          <w:tcPr>
            <w:tcW w:type="dxa" w:w="720"/>
          </w:tcPr>
          <w:p>
            <w:r>
              <w:rPr>
                <w:b w:val="0"/>
                <w:color w:val="333333"/>
                <w:sz w:val="19"/>
              </w:rPr>
              <w:t>calc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QoQ ARR momentum, clipped [-3,3]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333333"/>
                <w:sz w:val="19"/>
              </w:rPr>
              <w:t>us_holiday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Calendar</w:t>
            </w:r>
          </w:p>
        </w:tc>
        <w:tc>
          <w:tcPr>
            <w:tcW w:type="dxa" w:w="720"/>
          </w:tcPr>
          <w:p>
            <w:r>
              <w:rPr>
                <w:b w:val="0"/>
                <w:color w:val="333333"/>
                <w:sz w:val="19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b w:val="0"/>
                <w:color w:val="333333"/>
                <w:sz w:val="19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US federal holiday binary</w:t>
            </w:r>
          </w:p>
        </w:tc>
      </w:tr>
    </w:tbl>
    <w:p/>
    <w:p>
      <w:pPr>
        <w:pStyle w:val="Heading2"/>
      </w:pPr>
      <w:r>
        <w:rPr>
          <w:b/>
          <w:color w:val="0047AB"/>
        </w:rPr>
        <w:t>4.3 Data Quality Controls</w:t>
      </w:r>
    </w:p>
    <w:p>
      <w:pPr>
        <w:pStyle w:val="ListBullet"/>
        <w:ind w:left="360"/>
      </w:pPr>
      <w:r>
        <w:rPr>
          <w:color w:val="333333"/>
          <w:sz w:val="20"/>
        </w:rPr>
        <w:t>Headcount: zero replaced with NaN, forward/back filled, clipped [0,1] for ramp ratio.</w:t>
      </w:r>
    </w:p>
    <w:p>
      <w:pPr>
        <w:pStyle w:val="ListBullet"/>
        <w:ind w:left="360"/>
      </w:pPr>
      <w:r>
        <w:rPr>
          <w:color w:val="333333"/>
          <w:sz w:val="20"/>
        </w:rPr>
        <w:t>pipeline_velocity: avg_opportunity_age clipped to &gt;= 1.0 to avoid divide-by-zero.</w:t>
      </w:r>
    </w:p>
    <w:p>
      <w:pPr>
        <w:pStyle w:val="ListBullet"/>
        <w:ind w:left="360"/>
      </w:pPr>
      <w:r>
        <w:rPr>
          <w:color w:val="333333"/>
          <w:sz w:val="20"/>
        </w:rPr>
        <w:t>mc_scale_factor: month_ratio clipped [0.25, 4.0] — prevents extreme Magna Carta scaling.</w:t>
      </w:r>
    </w:p>
    <w:p>
      <w:pPr>
        <w:pStyle w:val="ListBullet"/>
        <w:ind w:left="360"/>
      </w:pPr>
      <w:r>
        <w:rPr>
          <w:color w:val="333333"/>
          <w:sz w:val="20"/>
        </w:rPr>
        <w:t>win_rate_woq: clipped [0.0, 3.0]; global rate fallback if market slice is sparse.</w:t>
      </w:r>
    </w:p>
    <w:p>
      <w:pPr>
        <w:pStyle w:val="ListBullet"/>
        <w:ind w:left="360"/>
      </w:pPr>
      <w:r>
        <w:rPr>
          <w:color w:val="333333"/>
          <w:sz w:val="20"/>
        </w:rPr>
        <w:t>yoy_growth / qoq_momentum: clipped [-3.0, 3.0] — prevents outlier ARR swings from dominating tree splits.</w:t>
      </w:r>
    </w:p>
    <w:p>
      <w:pPr>
        <w:pStyle w:val="ListBullet"/>
        <w:ind w:left="360"/>
      </w:pPr>
      <w:r>
        <w:rPr>
          <w:color w:val="333333"/>
          <w:sz w:val="20"/>
        </w:rPr>
        <w:t>avg_dials / avg_touches: read from forecast_prophet (READ-ONLY). If NULL, forward-fill from GLOBAL_PROFILE_COLS lookup.</w:t>
      </w:r>
    </w:p>
    <w:p/>
    <w:p>
      <w:pPr>
        <w:pStyle w:val="Heading2"/>
      </w:pPr>
      <w:r>
        <w:rPr>
          <w:b/>
          <w:color w:val="0047AB"/>
        </w:rPr>
        <w:t>4.4 Still-Missing Features (from Sona Gap Analysis)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Missing Feature</w:t>
            </w:r>
          </w:p>
        </w:tc>
        <w:tc>
          <w:tcPr>
            <w:tcW w:type="dxa" w:w="115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432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color w:val="333333"/>
                <w:sz w:val="19"/>
              </w:rPr>
              <w:t>marketing_spend (paid, organic, events)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P2</w:t>
            </w:r>
          </w:p>
        </w:tc>
        <w:tc>
          <w:tcPr>
            <w:tcW w:type="dxa" w:w="4320"/>
          </w:tcPr>
          <w:p>
            <w:r>
              <w:rPr>
                <w:b w:val="0"/>
                <w:color w:val="333333"/>
                <w:sz w:val="19"/>
              </w:rPr>
              <w:t>Marketing data mart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color w:val="333333"/>
                <w:sz w:val="19"/>
              </w:rPr>
              <w:t>mc_actuals (authoritative Magna Carta bookings)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P1</w:t>
            </w:r>
          </w:p>
        </w:tc>
        <w:tc>
          <w:tcPr>
            <w:tcW w:type="dxa" w:w="4320"/>
          </w:tcPr>
          <w:p>
            <w:r>
              <w:rPr>
                <w:b w:val="0"/>
                <w:color w:val="333333"/>
                <w:sz w:val="19"/>
              </w:rPr>
              <w:t>mdl_sales_analytics.mc_actuals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color w:val="333333"/>
                <w:sz w:val="19"/>
              </w:rPr>
              <w:t>Regional holiday calendars (EMEA/APAC/LATAM)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P2</w:t>
            </w:r>
          </w:p>
        </w:tc>
        <w:tc>
          <w:tcPr>
            <w:tcW w:type="dxa" w:w="4320"/>
          </w:tcPr>
          <w:p>
            <w:r>
              <w:rPr>
                <w:b w:val="0"/>
                <w:color w:val="333333"/>
                <w:sz w:val="19"/>
              </w:rPr>
              <w:t>holidays library or custom calendar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color w:val="333333"/>
                <w:sz w:val="19"/>
              </w:rPr>
              <w:t>Macro indicators (USD/EUR FX, IT spending index)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P3</w:t>
            </w:r>
          </w:p>
        </w:tc>
        <w:tc>
          <w:tcPr>
            <w:tcW w:type="dxa" w:w="4320"/>
          </w:tcPr>
          <w:p>
            <w:r>
              <w:rPr>
                <w:b w:val="0"/>
                <w:color w:val="333333"/>
                <w:sz w:val="19"/>
              </w:rPr>
              <w:t>External data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047AB"/>
        </w:rPr>
        <w:t>Section 5: Evaluation Framework</w:t>
      </w:r>
    </w:p>
    <w:p>
      <w:pPr>
        <w:pStyle w:val="Heading2"/>
      </w:pPr>
      <w:r>
        <w:rPr>
          <w:b/>
          <w:color w:val="0047AB"/>
        </w:rPr>
        <w:t>5.1 Walk-Forward Cross-Validation</w:t>
      </w:r>
    </w:p>
    <w:p>
      <w:pPr>
        <w:spacing w:before="0" w:after="120"/>
      </w:pPr>
      <w:r>
        <w:rPr>
          <w:b w:val="0"/>
          <w:i w:val="0"/>
          <w:color w:val="333333"/>
          <w:sz w:val="21"/>
        </w:rPr>
        <w:t>Configuration: 8 folds, 13-week horizon, MIN_TRAIN_WEEKS=78 (from 182 total rows = 104 weeks available for CV). Expanding window — each fold adds one period of training data. This correctly simulates production usage where the model sees all history up to a cutoff and forecasts forward.</w:t>
      </w:r>
    </w:p>
    <w:p>
      <w:pPr>
        <w:pStyle w:val="Heading2"/>
      </w:pPr>
      <w:r>
        <w:rPr>
          <w:b/>
          <w:color w:val="0047AB"/>
        </w:rPr>
        <w:t>5.2 Holdout Evaluation</w:t>
      </w:r>
    </w:p>
    <w:p>
      <w:pPr>
        <w:spacing w:before="0" w:after="120"/>
      </w:pPr>
      <w:r>
        <w:rPr>
          <w:b w:val="0"/>
          <w:i w:val="0"/>
          <w:color w:val="333333"/>
          <w:sz w:val="21"/>
        </w:rPr>
        <w:t>Final 13 weeks held out of all CV training and used as an independent test set. Metrics computed: WAPE (primary), MAPE, MPE, SMAPE, RMSE, CI Coverage. The holdout is used for: (1) model selection shortlist (Q1+Q4 WAPE), (2) ensemble interval calibration parameters (p10/p90 adjustment from error quantiles).</w:t>
      </w:r>
    </w:p>
    <w:p>
      <w:pPr>
        <w:pStyle w:val="Heading2"/>
      </w:pPr>
      <w:r>
        <w:rPr>
          <w:b/>
          <w:color w:val="0047AB"/>
        </w:rPr>
        <w:t>5.3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60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187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68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296"/>
          </w:tcPr>
          <w:p>
            <w:r>
              <w:rPr>
                <w:b w:val="0"/>
                <w:color w:val="333333"/>
                <w:sz w:val="19"/>
              </w:rPr>
              <w:t>WAPE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100 * sum|actual-forecast| / sum|actual|</w:t>
            </w:r>
          </w:p>
        </w:tc>
        <w:tc>
          <w:tcPr>
            <w:tcW w:type="dxa" w:w="1872"/>
          </w:tcPr>
          <w:p>
            <w:r>
              <w:rPr>
                <w:b w:val="0"/>
                <w:color w:val="333333"/>
                <w:sz w:val="19"/>
              </w:rPr>
              <w:t>Primary selection</w:t>
            </w:r>
          </w:p>
        </w:tc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Handles near-zero actuals; scale-invariant across markets</w:t>
            </w:r>
          </w:p>
        </w:tc>
      </w:tr>
      <w:tr>
        <w:tc>
          <w:tcPr>
            <w:tcW w:type="dxa" w:w="1296"/>
          </w:tcPr>
          <w:p>
            <w:r>
              <w:rPr>
                <w:b w:val="0"/>
                <w:color w:val="333333"/>
                <w:sz w:val="19"/>
              </w:rPr>
              <w:t>MAPE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100 * mean(|actual-forecast|/|actual|)</w:t>
            </w:r>
          </w:p>
        </w:tc>
        <w:tc>
          <w:tcPr>
            <w:tcW w:type="dxa" w:w="1872"/>
          </w:tcPr>
          <w:p>
            <w:r>
              <w:rPr>
                <w:b w:val="0"/>
                <w:color w:val="333333"/>
                <w:sz w:val="19"/>
              </w:rPr>
              <w:t>Secondary</w:t>
            </w:r>
          </w:p>
        </w:tc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Inflated by small actuals — use with caution in ramp weeks</w:t>
            </w:r>
          </w:p>
        </w:tc>
      </w:tr>
      <w:tr>
        <w:tc>
          <w:tcPr>
            <w:tcW w:type="dxa" w:w="1296"/>
          </w:tcPr>
          <w:p>
            <w:r>
              <w:rPr>
                <w:b w:val="0"/>
                <w:color w:val="333333"/>
                <w:sz w:val="19"/>
              </w:rPr>
              <w:t>MPE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mean((actual-forecast)/actual)</w:t>
            </w:r>
          </w:p>
        </w:tc>
        <w:tc>
          <w:tcPr>
            <w:tcW w:type="dxa" w:w="1872"/>
          </w:tcPr>
          <w:p>
            <w:r>
              <w:rPr>
                <w:b w:val="0"/>
                <w:color w:val="333333"/>
                <w:sz w:val="19"/>
              </w:rPr>
              <w:t>Bias detection</w:t>
            </w:r>
          </w:p>
        </w:tc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Sign indicates systematic over/under-forecast</w:t>
            </w:r>
          </w:p>
        </w:tc>
      </w:tr>
      <w:tr>
        <w:tc>
          <w:tcPr>
            <w:tcW w:type="dxa" w:w="1296"/>
          </w:tcPr>
          <w:p>
            <w:r>
              <w:rPr>
                <w:b w:val="0"/>
                <w:color w:val="333333"/>
                <w:sz w:val="19"/>
              </w:rPr>
              <w:t>SMAPE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200 * mean(|A-F|/(|A|+|F|))</w:t>
            </w:r>
          </w:p>
        </w:tc>
        <w:tc>
          <w:tcPr>
            <w:tcW w:type="dxa" w:w="1872"/>
          </w:tcPr>
          <w:p>
            <w:r>
              <w:rPr>
                <w:b w:val="0"/>
                <w:color w:val="333333"/>
                <w:sz w:val="19"/>
              </w:rPr>
              <w:t>Symmetric check</w:t>
            </w:r>
          </w:p>
        </w:tc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Bounded [0,200]; avoids MAPE asymmetry</w:t>
            </w:r>
          </w:p>
        </w:tc>
      </w:tr>
      <w:tr>
        <w:tc>
          <w:tcPr>
            <w:tcW w:type="dxa" w:w="1296"/>
          </w:tcPr>
          <w:p>
            <w:r>
              <w:rPr>
                <w:b w:val="0"/>
                <w:color w:val="333333"/>
                <w:sz w:val="19"/>
              </w:rPr>
              <w:t>RMSE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sqrt(mean((actual-forecast)^2))</w:t>
            </w:r>
          </w:p>
        </w:tc>
        <w:tc>
          <w:tcPr>
            <w:tcW w:type="dxa" w:w="1872"/>
          </w:tcPr>
          <w:p>
            <w:r>
              <w:rPr>
                <w:b w:val="0"/>
                <w:color w:val="333333"/>
                <w:sz w:val="19"/>
              </w:rPr>
              <w:t>Scale-aware</w:t>
            </w:r>
          </w:p>
        </w:tc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Useful for monitoring alert thresholds in dollar terms</w:t>
            </w:r>
          </w:p>
        </w:tc>
      </w:tr>
      <w:tr>
        <w:tc>
          <w:tcPr>
            <w:tcW w:type="dxa" w:w="1296"/>
          </w:tcPr>
          <w:p>
            <w:r>
              <w:rPr>
                <w:b w:val="0"/>
                <w:color w:val="333333"/>
                <w:sz w:val="19"/>
              </w:rPr>
              <w:t>CI Coverage</w:t>
            </w:r>
          </w:p>
        </w:tc>
        <w:tc>
          <w:tcPr>
            <w:tcW w:type="dxa" w:w="3600"/>
          </w:tcPr>
          <w:p>
            <w:r>
              <w:rPr>
                <w:b w:val="0"/>
                <w:color w:val="333333"/>
                <w:sz w:val="19"/>
              </w:rPr>
              <w:t>fraction of actuals within [P10,P90]</w:t>
            </w:r>
          </w:p>
        </w:tc>
        <w:tc>
          <w:tcPr>
            <w:tcW w:type="dxa" w:w="1872"/>
          </w:tcPr>
          <w:p>
            <w:r>
              <w:rPr>
                <w:b w:val="0"/>
                <w:color w:val="333333"/>
                <w:sz w:val="19"/>
              </w:rPr>
              <w:t>Interval validity</w:t>
            </w:r>
          </w:p>
        </w:tc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Target: ~80%; only meaningful for LGB and ensemble</w:t>
            </w:r>
          </w:p>
        </w:tc>
      </w:tr>
    </w:tbl>
    <w:p/>
    <w:p>
      <w:pPr>
        <w:pStyle w:val="Heading2"/>
      </w:pPr>
      <w:r>
        <w:rPr>
          <w:b/>
          <w:color w:val="0047AB"/>
        </w:rPr>
        <w:t>5.4 Model Selection (Q1 + Q4 WAPE Shortlist)</w:t>
      </w:r>
    </w:p>
    <w:p>
      <w:pPr>
        <w:spacing w:before="0" w:after="120"/>
      </w:pPr>
      <w:r>
        <w:rPr>
          <w:b w:val="0"/>
          <w:i w:val="0"/>
          <w:color w:val="333333"/>
          <w:sz w:val="21"/>
        </w:rPr>
        <w:t>Cell 9/10 filters models by holdout WAPE in Q1 and Q4 separately, then unions the shortlists. Models must pass BOTH quarters to enter the production ensemble. This business-aligned selection is a strength — it explicitly prioritizes accuracy during quota-setting (Q4) and ramp-up (Q1) periods.</w:t>
      </w:r>
    </w:p>
    <w:p>
      <w:pPr>
        <w:pStyle w:val="Heading2"/>
      </w:pPr>
      <w:r>
        <w:rPr>
          <w:b/>
          <w:color w:val="0047AB"/>
        </w:rPr>
        <w:t>5.5 Monitoring Baseline (Cell 16)</w:t>
      </w:r>
    </w:p>
    <w:p>
      <w:pPr>
        <w:spacing w:before="0" w:after="120"/>
      </w:pPr>
      <w:r>
        <w:rPr>
          <w:b w:val="0"/>
          <w:i w:val="0"/>
          <w:color w:val="333333"/>
          <w:sz w:val="21"/>
        </w:rPr>
        <w:t>monitoring_baseline table built from retained_model_ranking with:</w:t>
      </w:r>
    </w:p>
    <w:p>
      <w:pPr>
        <w:pStyle w:val="ListBullet"/>
        <w:ind w:left="360"/>
      </w:pPr>
      <w:r>
        <w:rPr>
          <w:color w:val="333333"/>
          <w:sz w:val="20"/>
        </w:rPr>
        <w:t>cv_wape_baseline, holdout_wape_baseline per model</w:t>
      </w:r>
    </w:p>
    <w:p>
      <w:pPr>
        <w:pStyle w:val="ListBullet"/>
        <w:ind w:left="360"/>
      </w:pPr>
      <w:r>
        <w:rPr>
          <w:color w:val="333333"/>
          <w:sz w:val="20"/>
        </w:rPr>
        <w:t>rolling_4w_wape_alert_threshold = cv_wape_baseline * 1.5</w:t>
      </w:r>
    </w:p>
    <w:p>
      <w:pPr>
        <w:pStyle w:val="ListBullet"/>
        <w:ind w:left="360"/>
      </w:pPr>
      <w:r>
        <w:rPr>
          <w:color w:val="333333"/>
          <w:sz w:val="20"/>
        </w:rPr>
        <w:t>recommended_for_production flag (binary) based on final_q1_q4_shortlist</w:t>
      </w:r>
    </w:p>
    <w:p>
      <w:pPr>
        <w:spacing w:before="0" w:after="120"/>
      </w:pPr>
      <w:r>
        <w:rPr>
          <w:b w:val="0"/>
          <w:i w:val="0"/>
          <w:color w:val="333333"/>
          <w:sz w:val="21"/>
        </w:rPr>
        <w:t>Gap: the monitoring_baseline is printed but not persisted to a Delta table. Without a written baseline, production alerting logic cannot query this threshold programmatically. Recommend writing to a small Delta table (e.g., ucc_forecast_monitoring_baseline) partitioned by run_timestamp_utc.</w:t>
      </w:r>
    </w:p>
    <w:p/>
    <w:p>
      <w:r>
        <w:br w:type="page"/>
      </w:r>
    </w:p>
    <w:p>
      <w:pPr>
        <w:pStyle w:val="Heading1"/>
      </w:pPr>
      <w:r>
        <w:rPr>
          <w:b/>
          <w:color w:val="0047AB"/>
        </w:rPr>
        <w:t>Section 6: Accuracy Improvements — V4 to V5</w:t>
      </w:r>
    </w:p>
    <w:p>
      <w:pPr>
        <w:pStyle w:val="Heading2"/>
      </w:pPr>
      <w:r>
        <w:rPr>
          <w:b/>
          <w:color w:val="0047AB"/>
        </w:rPr>
        <w:t>6.1 Expected Accuracy Impact of V5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576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Expected Accuracy Impact</w:t>
            </w:r>
          </w:p>
        </w:tc>
        <w:tc>
          <w:tcPr>
            <w:tcW w:type="dxa" w:w="144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avg_dials_lag4 + avg_touches_lag4</w:t>
            </w:r>
          </w:p>
        </w:tc>
        <w:tc>
          <w:tcPr>
            <w:tcW w:type="dxa" w:w="5760"/>
          </w:tcPr>
          <w:p>
            <w:r>
              <w:rPr>
                <w:b w:val="0"/>
                <w:color w:val="333333"/>
                <w:sz w:val="19"/>
              </w:rPr>
              <w:t>Moderate positive — sales activity is a 4-week leading indicator for bookings. These features capture rep behavior shifts (e.g., quota push or slowdown) before they appear in ARR.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Medium-High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plan_gap_lag1</w:t>
            </w:r>
          </w:p>
        </w:tc>
        <w:tc>
          <w:tcPr>
            <w:tcW w:type="dxa" w:w="5760"/>
          </w:tcPr>
          <w:p>
            <w:r>
              <w:rPr>
                <w:b w:val="0"/>
                <w:color w:val="333333"/>
                <w:sz w:val="19"/>
              </w:rPr>
              <w:t>Moderate positive — reps and managers adjust behaviors when behind plan; this signal captures urgency that other pipeline features miss.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LGB crossing guard</w:t>
            </w:r>
          </w:p>
        </w:tc>
        <w:tc>
          <w:tcPr>
            <w:tcW w:type="dxa" w:w="5760"/>
          </w:tcPr>
          <w:p>
            <w:r>
              <w:rPr>
                <w:b w:val="0"/>
                <w:color w:val="333333"/>
                <w:sz w:val="19"/>
              </w:rPr>
              <w:t>No direct accuracy impact; prevents P10 &gt; P50 pathologies in production output that would undermine exec trust in uncertainty ranges.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Correctness fix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Delta table write</w:t>
            </w:r>
          </w:p>
        </w:tc>
        <w:tc>
          <w:tcPr>
            <w:tcW w:type="dxa" w:w="5760"/>
          </w:tcPr>
          <w:p>
            <w:r>
              <w:rPr>
                <w:b w:val="0"/>
                <w:color w:val="333333"/>
                <w:sz w:val="19"/>
              </w:rPr>
              <w:t>No accuracy impact; enables downstream consumers of forecast data.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Infrastructure fix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Ensemble P10/P90 calibration</w:t>
            </w:r>
          </w:p>
        </w:tc>
        <w:tc>
          <w:tcPr>
            <w:tcW w:type="dxa" w:w="5760"/>
          </w:tcPr>
          <w:p>
            <w:r>
              <w:rPr>
                <w:b w:val="0"/>
                <w:color w:val="333333"/>
                <w:sz w:val="19"/>
              </w:rPr>
              <w:t>Ensemble intervals now meaningful. Calibration via holdout error quantiles is a sound frequentist approach. Coverage should be ~80% for a well-calibrated P10/P90.</w:t>
            </w:r>
          </w:p>
        </w:tc>
        <w:tc>
          <w:tcPr>
            <w:tcW w:type="dxa" w:w="1440"/>
          </w:tcPr>
          <w:p>
            <w:r>
              <w:rPr>
                <w:b w:val="0"/>
                <w:color w:val="333333"/>
                <w:sz w:val="19"/>
              </w:rPr>
              <w:t>Interval quality fix</w:t>
            </w:r>
          </w:p>
        </w:tc>
      </w:tr>
    </w:tbl>
    <w:p/>
    <w:p>
      <w:pPr>
        <w:pStyle w:val="Heading2"/>
      </w:pPr>
      <w:r>
        <w:rPr>
          <w:b/>
          <w:color w:val="0047AB"/>
        </w:rPr>
        <w:t>6.2 Remaining Accuracy Gaps</w:t>
      </w:r>
    </w:p>
    <w:p>
      <w:pPr>
        <w:pStyle w:val="ListBullet"/>
        <w:ind w:left="360"/>
      </w:pPr>
      <w:r>
        <w:rPr>
          <w:color w:val="333333"/>
          <w:sz w:val="20"/>
        </w:rPr>
        <w:t>DHR-ARIMA, MSTL, ETS, Prophet all produce NaN P10/P90 in production. These models have no uncertainty quantification. The ensemble uses calibrated intervals from holdout errors, which helps, but individual model CIs are absent.</w:t>
      </w:r>
    </w:p>
    <w:p>
      <w:pPr>
        <w:pStyle w:val="ListBullet"/>
        <w:ind w:left="360"/>
      </w:pPr>
      <w:r>
        <w:rPr>
          <w:color w:val="333333"/>
          <w:sz w:val="20"/>
        </w:rPr>
        <w:t>Ensemble interval calibration uses unconditional error quantiles. A conditional calibration (e.g., conformal prediction by market or quarter) would produce tighter, more accurate intervals.</w:t>
      </w:r>
    </w:p>
    <w:p>
      <w:pPr>
        <w:pStyle w:val="ListBullet"/>
        <w:ind w:left="360"/>
      </w:pPr>
      <w:r>
        <w:rPr>
          <w:color w:val="333333"/>
          <w:sz w:val="20"/>
        </w:rPr>
        <w:t>mc_actuals authoritative bookings series is still not joined. Using the Prophet-scaled signal (prophet_ml_mc_scaled) as a proxy introduces noise versus using the true mc_actuals column from mdl_sales_analytics.mc_actuals.</w:t>
      </w:r>
    </w:p>
    <w:p>
      <w:pPr>
        <w:pStyle w:val="ListBullet"/>
        <w:ind w:left="360"/>
      </w:pPr>
      <w:r>
        <w:rPr>
          <w:color w:val="333333"/>
          <w:sz w:val="20"/>
        </w:rPr>
        <w:t>Missing avg_opportunity_age directly in GLOBAL_FEATURE_COLS — only used to compute pipeline_velocity. Adding raw age as a feature could capture deal-aging dynamics independently.</w:t>
      </w:r>
    </w:p>
    <w:p/>
    <w:p>
      <w:r>
        <w:br w:type="page"/>
      </w:r>
    </w:p>
    <w:p>
      <w:pPr>
        <w:pStyle w:val="Heading1"/>
      </w:pPr>
      <w:r>
        <w:rPr>
          <w:b/>
          <w:color w:val="0047AB"/>
        </w:rPr>
        <w:t>Section 7: Ensemble &amp; Hierarchical Reconciliation</w:t>
      </w:r>
    </w:p>
    <w:p>
      <w:pPr>
        <w:pStyle w:val="Heading2"/>
      </w:pPr>
      <w:r>
        <w:rPr>
          <w:b/>
          <w:color w:val="0047AB"/>
        </w:rPr>
        <w:t>7.1 Granger-Ramanathan Ensemble</w:t>
      </w:r>
    </w:p>
    <w:p>
      <w:pPr>
        <w:spacing w:before="0" w:after="120"/>
      </w:pPr>
      <w:r>
        <w:rPr>
          <w:b w:val="0"/>
          <w:i w:val="0"/>
          <w:color w:val="333333"/>
          <w:sz w:val="21"/>
        </w:rPr>
        <w:t>The GR covariance-optimal ensemble computes weights as:</w:t>
      </w:r>
    </w:p>
    <w:p>
      <w:pPr>
        <w:spacing w:before="0" w:after="120"/>
      </w:pPr>
      <w:r>
        <w:rPr>
          <w:b w:val="0"/>
          <w:i/>
          <w:color w:val="333333"/>
          <w:sz w:val="21"/>
        </w:rPr>
        <w:t xml:space="preserve">    w = pinv(Sigma) @ ones / (ones.T @ pinv(Sigma) @ ones)</w:t>
      </w:r>
    </w:p>
    <w:p>
      <w:pPr>
        <w:spacing w:before="0" w:after="120"/>
      </w:pPr>
      <w:r>
        <w:rPr>
          <w:b w:val="0"/>
          <w:i w:val="0"/>
          <w:color w:val="333333"/>
          <w:sz w:val="21"/>
        </w:rPr>
        <w:t>where Sigma is the CV fold error covariance matrix, computed via estimate_mint_covariances(). Ridge regularization (1e-6) and non-negativity clip ensure numerical stability. Fallback to 1/WAPE weights when the covariance matrix is degenerate. This is a theoretically sound optimal combination approach under the assumption that model errors are jointly normal.</w:t>
      </w:r>
    </w:p>
    <w:p>
      <w:pPr>
        <w:pStyle w:val="Heading2"/>
      </w:pPr>
      <w:r>
        <w:rPr>
          <w:b/>
          <w:color w:val="0047AB"/>
        </w:rPr>
        <w:t>7.2 Ensemble Interval Calibration (New in V5)</w:t>
      </w:r>
    </w:p>
    <w:p>
      <w:pPr>
        <w:spacing w:before="0" w:after="120"/>
      </w:pPr>
      <w:r>
        <w:rPr>
          <w:b w:val="0"/>
          <w:i w:val="0"/>
          <w:color w:val="333333"/>
          <w:sz w:val="21"/>
        </w:rPr>
        <w:t>ensemble_interval_calibration() computes:</w:t>
      </w:r>
    </w:p>
    <w:p>
      <w:pPr>
        <w:pStyle w:val="ListBullet"/>
        <w:ind w:left="360"/>
      </w:pPr>
      <w:r>
        <w:rPr>
          <w:color w:val="333333"/>
          <w:sz w:val="20"/>
        </w:rPr>
        <w:t>p10_adjustment = np.nanquantile(holdout_errors, 0.10)</w:t>
      </w:r>
    </w:p>
    <w:p>
      <w:pPr>
        <w:pStyle w:val="ListBullet"/>
        <w:ind w:left="360"/>
      </w:pPr>
      <w:r>
        <w:rPr>
          <w:color w:val="333333"/>
          <w:sz w:val="20"/>
        </w:rPr>
        <w:t>p90_adjustment = np.nanquantile(holdout_errors, 0.90)</w:t>
      </w:r>
    </w:p>
    <w:p>
      <w:pPr>
        <w:spacing w:before="0" w:after="120"/>
      </w:pPr>
      <w:r>
        <w:rPr>
          <w:b w:val="0"/>
          <w:i w:val="0"/>
          <w:color w:val="333333"/>
          <w:sz w:val="21"/>
        </w:rPr>
        <w:t>Applied as: ensemble_p10 = ensemble_p50 + p10_adjustment; ensemble_p90 = ensemble_p50 + p90_adjustment, then clipped to enforce p10 &lt;= p50 &lt;= p90. This approach is sound and simple. Limitations: intervals are unconditional on the week/market/quarter — calibration will be conservative in stable periods and too narrow during high-volatility periods.</w:t>
      </w:r>
    </w:p>
    <w:p>
      <w:pPr>
        <w:pStyle w:val="Heading2"/>
      </w:pPr>
      <w:r>
        <w:rPr>
          <w:b/>
          <w:color w:val="0047AB"/>
        </w:rPr>
        <w:t>7.3 Hierarchical Reconciliation</w:t>
      </w:r>
    </w:p>
    <w:p>
      <w:pPr>
        <w:spacing w:before="0" w:after="120"/>
      </w:pPr>
      <w:r>
        <w:rPr>
          <w:b w:val="0"/>
          <w:i w:val="0"/>
          <w:color w:val="333333"/>
          <w:sz w:val="21"/>
        </w:rPr>
        <w:t>coherent_allocate_total_to_markets() applies top-down allocation from total forecast to market-level using recent_market_share_lookup() (recent observed market share fractions). estimate_mint_covariances() estimates the full hierarchy covariance structure but the true MinT WLS projection (W_h @ G @ S) is not applied. This means market-level forecasts are coherent by construction (shares sum to 1) but not optimally reconciled.</w:t>
      </w:r>
    </w:p>
    <w:p>
      <w:pPr>
        <w:spacing w:before="0" w:after="120"/>
      </w:pPr>
      <w:r>
        <w:rPr>
          <w:b w:val="0"/>
          <w:i w:val="0"/>
          <w:color w:val="333333"/>
          <w:sz w:val="21"/>
        </w:rPr>
        <w:t>Impact: total forecast is authoritative; market-level P10/P90 are propagated proportionally (p10 = share * total_p10). This is mathematically consistent but does not account for cross-market error correlation in setting individual market intervals.</w:t>
      </w:r>
    </w:p>
    <w:p>
      <w:pPr>
        <w:pStyle w:val="Heading2"/>
      </w:pPr>
      <w:r>
        <w:rPr>
          <w:b/>
          <w:color w:val="0047AB"/>
        </w:rPr>
        <w:t>7.4 Recommendations</w:t>
      </w:r>
    </w:p>
    <w:p>
      <w:pPr>
        <w:pStyle w:val="ListBullet"/>
        <w:ind w:left="360"/>
      </w:pPr>
      <w:r>
        <w:rPr>
          <w:color w:val="333333"/>
          <w:sz w:val="20"/>
        </w:rPr>
        <w:t>P1: Implement true MinT reconciliation — apply the WLS projection using the estimated covariance matrix. The infrastructure (estimate_mint_covariances) is already in place; the final projection step is missing.</w:t>
      </w:r>
    </w:p>
    <w:p>
      <w:pPr>
        <w:pStyle w:val="ListBullet"/>
        <w:ind w:left="360"/>
      </w:pPr>
      <w:r>
        <w:rPr>
          <w:color w:val="333333"/>
          <w:sz w:val="20"/>
        </w:rPr>
        <w:t>P2: Replace unconditional interval calibration with conformal prediction — split the holdout by market and quarter, and compute conditional error quantiles. This will tighten intervals in low-volatility segments and widen them appropriately in high-volatility ones.</w:t>
      </w:r>
    </w:p>
    <w:p>
      <w:pPr>
        <w:pStyle w:val="ListBullet"/>
        <w:ind w:left="360"/>
      </w:pPr>
      <w:r>
        <w:rPr>
          <w:color w:val="333333"/>
          <w:sz w:val="20"/>
        </w:rPr>
        <w:t>P2: Consider quantile regression averaging (QRA) for P10/P90 — combine the individual model quantile outputs using the same GR weights rather than using holdout-error-based calibration.</w:t>
      </w:r>
    </w:p>
    <w:p/>
    <w:p>
      <w:r>
        <w:br w:type="page"/>
      </w:r>
    </w:p>
    <w:p>
      <w:pPr>
        <w:pStyle w:val="Heading1"/>
      </w:pPr>
      <w:r>
        <w:rPr>
          <w:b/>
          <w:color w:val="0047AB"/>
        </w:rPr>
        <w:t>Section 8: Advanced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4608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Recommendation</w:t>
            </w:r>
          </w:p>
        </w:tc>
        <w:tc>
          <w:tcPr>
            <w:tcW w:type="dxa" w:w="115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288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Expected Impact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333333"/>
                <w:sz w:val="19"/>
              </w:rPr>
              <w:t>P0 — DONE</w:t>
            </w:r>
          </w:p>
        </w:tc>
        <w:tc>
          <w:tcPr>
            <w:tcW w:type="dxa" w:w="4608"/>
          </w:tcPr>
          <w:p>
            <w:r>
              <w:rPr>
                <w:b w:val="0"/>
                <w:color w:val="333333"/>
                <w:sz w:val="19"/>
              </w:rPr>
              <w:t>Delta table write to ucc_forecast_v4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Completed V5</w:t>
            </w:r>
          </w:p>
        </w:tc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Production consumers unblocked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333333"/>
                <w:sz w:val="19"/>
              </w:rPr>
              <w:t>P0 — DONE</w:t>
            </w:r>
          </w:p>
        </w:tc>
        <w:tc>
          <w:tcPr>
            <w:tcW w:type="dxa" w:w="4608"/>
          </w:tcPr>
          <w:p>
            <w:r>
              <w:rPr>
                <w:b w:val="0"/>
                <w:color w:val="333333"/>
                <w:sz w:val="19"/>
              </w:rPr>
              <w:t>LGB quantile crossing guard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Completed V5</w:t>
            </w:r>
          </w:p>
        </w:tc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Interval correctness assured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333333"/>
                <w:sz w:val="19"/>
              </w:rPr>
              <w:t>P0 — DONE</w:t>
            </w:r>
          </w:p>
        </w:tc>
        <w:tc>
          <w:tcPr>
            <w:tcW w:type="dxa" w:w="4608"/>
          </w:tcPr>
          <w:p>
            <w:r>
              <w:rPr>
                <w:b w:val="0"/>
                <w:color w:val="333333"/>
                <w:sz w:val="19"/>
              </w:rPr>
              <w:t>Ensemble P10/P90 calibration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Completed V5</w:t>
            </w:r>
          </w:p>
        </w:tc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Exec-facing uncertainty bounds now meaningful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333333"/>
                <w:sz w:val="19"/>
              </w:rPr>
              <w:t>P1 — OPEN</w:t>
            </w:r>
          </w:p>
        </w:tc>
        <w:tc>
          <w:tcPr>
            <w:tcW w:type="dxa" w:w="4608"/>
          </w:tcPr>
          <w:p>
            <w:r>
              <w:rPr>
                <w:b w:val="0"/>
                <w:color w:val="333333"/>
                <w:sz w:val="19"/>
              </w:rPr>
              <w:t>Apply true MinT WLS reconciliation (not just covariance estimation)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2-3 days</w:t>
            </w:r>
          </w:p>
        </w:tc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Improved market-level accuracy; reduced sum-of-parts error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333333"/>
                <w:sz w:val="19"/>
              </w:rPr>
              <w:t>P1 — OPEN</w:t>
            </w:r>
          </w:p>
        </w:tc>
        <w:tc>
          <w:tcPr>
            <w:tcW w:type="dxa" w:w="4608"/>
          </w:tcPr>
          <w:p>
            <w:r>
              <w:rPr>
                <w:b w:val="0"/>
                <w:color w:val="333333"/>
                <w:sz w:val="19"/>
              </w:rPr>
              <w:t>Persist monitoring_baseline to Delta table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0.5 days</w:t>
            </w:r>
          </w:p>
        </w:tc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Enables automated alerting pipeline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333333"/>
                <w:sz w:val="19"/>
              </w:rPr>
              <w:t>P1 — OPEN</w:t>
            </w:r>
          </w:p>
        </w:tc>
        <w:tc>
          <w:tcPr>
            <w:tcW w:type="dxa" w:w="4608"/>
          </w:tcPr>
          <w:p>
            <w:r>
              <w:rPr>
                <w:b w:val="0"/>
                <w:color w:val="333333"/>
                <w:sz w:val="19"/>
              </w:rPr>
              <w:t>Add mc_actuals join (authoritative bookings series)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1 day</w:t>
            </w:r>
          </w:p>
        </w:tc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Eliminates $15.5M vs $14.5M systematic ARR discrepancy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333333"/>
                <w:sz w:val="19"/>
              </w:rPr>
              <w:t>P1 — OPEN</w:t>
            </w:r>
          </w:p>
        </w:tc>
        <w:tc>
          <w:tcPr>
            <w:tcW w:type="dxa" w:w="4608"/>
          </w:tcPr>
          <w:p>
            <w:r>
              <w:rPr>
                <w:b w:val="0"/>
                <w:color w:val="333333"/>
                <w:sz w:val="19"/>
              </w:rPr>
              <w:t>SHAP feature importance logging (Cell 11 already has feature importance; add SHAP)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1-2 days</w:t>
            </w:r>
          </w:p>
        </w:tc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Model explainability for exec reviews and debug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333333"/>
                <w:sz w:val="19"/>
              </w:rPr>
              <w:t>P1 — OPEN</w:t>
            </w:r>
          </w:p>
        </w:tc>
        <w:tc>
          <w:tcPr>
            <w:tcW w:type="dxa" w:w="4608"/>
          </w:tcPr>
          <w:p>
            <w:r>
              <w:rPr>
                <w:b w:val="0"/>
                <w:color w:val="333333"/>
                <w:sz w:val="19"/>
              </w:rPr>
              <w:t>Rename PRODUCTION_OUTPUT_TABLE to ucc_forecast_v5 to match notebook version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0.5 hours</w:t>
            </w:r>
          </w:p>
        </w:tc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Naming consistency; avoids confusion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333333"/>
                <w:sz w:val="19"/>
              </w:rPr>
              <w:t>P1 — OPEN</w:t>
            </w:r>
          </w:p>
        </w:tc>
        <w:tc>
          <w:tcPr>
            <w:tcW w:type="dxa" w:w="4608"/>
          </w:tcPr>
          <w:p>
            <w:r>
              <w:rPr>
                <w:b w:val="0"/>
                <w:color w:val="333333"/>
                <w:sz w:val="19"/>
              </w:rPr>
              <w:t>Databricks Job for weekly scheduling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1 day</w:t>
            </w:r>
          </w:p>
        </w:tc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Removes manual run dependency; automated freshness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333333"/>
                <w:sz w:val="19"/>
              </w:rPr>
              <w:t>P2 — OPEN</w:t>
            </w:r>
          </w:p>
        </w:tc>
        <w:tc>
          <w:tcPr>
            <w:tcW w:type="dxa" w:w="4608"/>
          </w:tcPr>
          <w:p>
            <w:r>
              <w:rPr>
                <w:b w:val="0"/>
                <w:color w:val="333333"/>
                <w:sz w:val="19"/>
              </w:rPr>
              <w:t>Regional holiday features for EMEA/APAC/LATAM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1 day</w:t>
            </w:r>
          </w:p>
        </w:tc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Reduced systematic error in non-NA markets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333333"/>
                <w:sz w:val="19"/>
              </w:rPr>
              <w:t>P2 — OPEN</w:t>
            </w:r>
          </w:p>
        </w:tc>
        <w:tc>
          <w:tcPr>
            <w:tcW w:type="dxa" w:w="4608"/>
          </w:tcPr>
          <w:p>
            <w:r>
              <w:rPr>
                <w:b w:val="0"/>
                <w:color w:val="333333"/>
                <w:sz w:val="19"/>
              </w:rPr>
              <w:t>Conditional ensemble interval calibration (by market and quarter)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2 days</w:t>
            </w:r>
          </w:p>
        </w:tc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Tighter intervals in stable periods; wider in volatile ones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333333"/>
                <w:sz w:val="19"/>
              </w:rPr>
              <w:t>P2 — OPEN</w:t>
            </w:r>
          </w:p>
        </w:tc>
        <w:tc>
          <w:tcPr>
            <w:tcW w:type="dxa" w:w="4608"/>
          </w:tcPr>
          <w:p>
            <w:r>
              <w:rPr>
                <w:b w:val="0"/>
                <w:color w:val="333333"/>
                <w:sz w:val="19"/>
              </w:rPr>
              <w:t>Add marketing_spend as lagged feature (mkt_spend_lag4)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1-2 days</w:t>
            </w:r>
          </w:p>
        </w:tc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Capture demand gen impact on pipeline 4 weeks forward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333333"/>
                <w:sz w:val="19"/>
              </w:rPr>
              <w:t>P2 — OPEN</w:t>
            </w:r>
          </w:p>
        </w:tc>
        <w:tc>
          <w:tcPr>
            <w:tcW w:type="dxa" w:w="4608"/>
          </w:tcPr>
          <w:p>
            <w:r>
              <w:rPr>
                <w:b w:val="0"/>
                <w:color w:val="333333"/>
                <w:sz w:val="19"/>
              </w:rPr>
              <w:t>Quantile regression averaging (QRA) for P10/P90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1 day</w:t>
            </w:r>
          </w:p>
        </w:tc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Better calibrated intervals than unconditional error quantiles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333333"/>
                <w:sz w:val="19"/>
              </w:rPr>
              <w:t>P3 — OPEN</w:t>
            </w:r>
          </w:p>
        </w:tc>
        <w:tc>
          <w:tcPr>
            <w:tcW w:type="dxa" w:w="4608"/>
          </w:tcPr>
          <w:p>
            <w:r>
              <w:rPr>
                <w:b w:val="0"/>
                <w:color w:val="333333"/>
                <w:sz w:val="19"/>
              </w:rPr>
              <w:t>Probabilistic backtesting: plot P10/P90 coverage over rolling 13-week windows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1 day</w:t>
            </w:r>
          </w:p>
        </w:tc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Detect interval drift over time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333333"/>
                <w:sz w:val="19"/>
              </w:rPr>
              <w:t>P3 — OPEN</w:t>
            </w:r>
          </w:p>
        </w:tc>
        <w:tc>
          <w:tcPr>
            <w:tcW w:type="dxa" w:w="4608"/>
          </w:tcPr>
          <w:p>
            <w:r>
              <w:rPr>
                <w:b w:val="0"/>
                <w:color w:val="333333"/>
                <w:sz w:val="19"/>
              </w:rPr>
              <w:t>Residual autocorrelation test (Ljung-Box) per model post-CV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0.5 days</w:t>
            </w:r>
          </w:p>
        </w:tc>
        <w:tc>
          <w:tcPr>
            <w:tcW w:type="dxa" w:w="2880"/>
          </w:tcPr>
          <w:p>
            <w:r>
              <w:rPr>
                <w:b w:val="0"/>
                <w:color w:val="333333"/>
                <w:sz w:val="19"/>
              </w:rPr>
              <w:t>Detect model mis-specification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047AB"/>
        </w:rPr>
        <w:t>Section 9: Executive Summary</w:t>
      </w:r>
    </w:p>
    <w:p>
      <w:pPr>
        <w:pStyle w:val="Heading2"/>
      </w:pPr>
      <w:r>
        <w:rPr>
          <w:b/>
          <w:color w:val="0047AB"/>
        </w:rPr>
        <w:t>Overall Assessment</w:t>
      </w:r>
    </w:p>
    <w:p>
      <w:pPr>
        <w:spacing w:before="0" w:after="120"/>
      </w:pPr>
      <w:r>
        <w:rPr>
          <w:b w:val="0"/>
          <w:i w:val="0"/>
          <w:color w:val="333333"/>
          <w:sz w:val="21"/>
        </w:rPr>
        <w:t>V5 is a material improvement over V4. All three P0 blockers identified in the V4 review are resolved: the Delta table write is now implemented and confirmed in Cell 14; the LGB quantile crossing guard is applied in both CV (Cell 11) and production (Cell 14); and the ensemble now produces calibrated P10/P90 intervals via holdout error quantiles. Additionally, V5 implements two of the V4 P1/P2 recommendations by adding avg_dials_lag4, avg_touches_lag4, and plan_gap_lag1 to the 35-feature Global LGB model.</w:t>
      </w:r>
    </w:p>
    <w:p>
      <w:pPr>
        <w:spacing w:before="0" w:after="120"/>
      </w:pPr>
      <w:r>
        <w:rPr>
          <w:b w:val="0"/>
          <w:i w:val="0"/>
          <w:color w:val="333333"/>
          <w:sz w:val="21"/>
        </w:rPr>
        <w:t>The notebook is production-ready in the sense that all forecasts are now persisted to the Delta table with correct schema, uncertainty bounds are internally consistent, and the monitoring baseline is well-defined. Three P1 gaps remain before the system can be considered fully automated: true MinT reconciliation, monitoring_baseline persistence, and a Databricks Job for weekly scheduling.</w:t>
      </w:r>
    </w:p>
    <w:p>
      <w:pPr>
        <w:pStyle w:val="Heading2"/>
      </w:pPr>
      <w:r>
        <w:rPr>
          <w:b/>
          <w:color w:val="0047AB"/>
        </w:rPr>
        <w:t>V5 Overall Score: 84/100 (up from 77/100 in V4)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03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1296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V4 Score</w:t>
            </w:r>
          </w:p>
        </w:tc>
        <w:tc>
          <w:tcPr>
            <w:tcW w:type="dxa" w:w="1296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V5 Score</w:t>
            </w:r>
          </w:p>
        </w:tc>
        <w:tc>
          <w:tcPr>
            <w:tcW w:type="dxa" w:w="3168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Walk-forward CV</w:t>
            </w:r>
          </w:p>
        </w:tc>
        <w:tc>
          <w:tcPr>
            <w:tcW w:type="dxa" w:w="1296"/>
          </w:tcPr>
          <w:p>
            <w:r>
              <w:rPr>
                <w:b w:val="0"/>
                <w:color w:val="333333"/>
                <w:sz w:val="19"/>
              </w:rPr>
              <w:t>9/10</w:t>
            </w:r>
          </w:p>
        </w:tc>
        <w:tc>
          <w:tcPr>
            <w:tcW w:type="dxa" w:w="1296"/>
          </w:tcPr>
          <w:p>
            <w:r>
              <w:rPr>
                <w:b w:val="0"/>
                <w:color w:val="333333"/>
                <w:sz w:val="19"/>
              </w:rPr>
              <w:t>9/10</w:t>
            </w:r>
          </w:p>
        </w:tc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0</w:t>
            </w:r>
          </w:p>
        </w:tc>
      </w:tr>
      <w:tr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Production persistence</w:t>
            </w:r>
          </w:p>
        </w:tc>
        <w:tc>
          <w:tcPr>
            <w:tcW w:type="dxa" w:w="1296"/>
          </w:tcPr>
          <w:p>
            <w:r>
              <w:rPr>
                <w:b w:val="0"/>
                <w:color w:val="333333"/>
                <w:sz w:val="19"/>
              </w:rPr>
              <w:t>5/10</w:t>
            </w:r>
          </w:p>
        </w:tc>
        <w:tc>
          <w:tcPr>
            <w:tcW w:type="dxa" w:w="1296"/>
          </w:tcPr>
          <w:p>
            <w:r>
              <w:rPr>
                <w:b w:val="0"/>
                <w:color w:val="333333"/>
                <w:sz w:val="19"/>
              </w:rPr>
              <w:t>9/10</w:t>
            </w:r>
          </w:p>
        </w:tc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+4 — Delta write fixed</w:t>
            </w:r>
          </w:p>
        </w:tc>
      </w:tr>
      <w:tr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Uncertainty quantification</w:t>
            </w:r>
          </w:p>
        </w:tc>
        <w:tc>
          <w:tcPr>
            <w:tcW w:type="dxa" w:w="1296"/>
          </w:tcPr>
          <w:p>
            <w:r>
              <w:rPr>
                <w:b w:val="0"/>
                <w:color w:val="333333"/>
                <w:sz w:val="19"/>
              </w:rPr>
              <w:t>4/10</w:t>
            </w:r>
          </w:p>
        </w:tc>
        <w:tc>
          <w:tcPr>
            <w:tcW w:type="dxa" w:w="1296"/>
          </w:tcPr>
          <w:p>
            <w:r>
              <w:rPr>
                <w:b w:val="0"/>
                <w:color w:val="333333"/>
                <w:sz w:val="19"/>
              </w:rPr>
              <w:t>7/10</w:t>
            </w:r>
          </w:p>
        </w:tc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+3 — crossing guard + ensemble CI</w:t>
            </w:r>
          </w:p>
        </w:tc>
      </w:tr>
      <w:tr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Experiment tracking</w:t>
            </w:r>
          </w:p>
        </w:tc>
        <w:tc>
          <w:tcPr>
            <w:tcW w:type="dxa" w:w="1296"/>
          </w:tcPr>
          <w:p>
            <w:r>
              <w:rPr>
                <w:b w:val="0"/>
                <w:color w:val="333333"/>
                <w:sz w:val="19"/>
              </w:rPr>
              <w:t>8/10</w:t>
            </w:r>
          </w:p>
        </w:tc>
        <w:tc>
          <w:tcPr>
            <w:tcW w:type="dxa" w:w="1296"/>
          </w:tcPr>
          <w:p>
            <w:r>
              <w:rPr>
                <w:b w:val="0"/>
                <w:color w:val="333333"/>
                <w:sz w:val="19"/>
              </w:rPr>
              <w:t>8/10</w:t>
            </w:r>
          </w:p>
        </w:tc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0</w:t>
            </w:r>
          </w:p>
        </w:tc>
      </w:tr>
      <w:tr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Hierarchical consistency</w:t>
            </w:r>
          </w:p>
        </w:tc>
        <w:tc>
          <w:tcPr>
            <w:tcW w:type="dxa" w:w="1296"/>
          </w:tcPr>
          <w:p>
            <w:r>
              <w:rPr>
                <w:b w:val="0"/>
                <w:color w:val="333333"/>
                <w:sz w:val="19"/>
              </w:rPr>
              <w:t>6/10</w:t>
            </w:r>
          </w:p>
        </w:tc>
        <w:tc>
          <w:tcPr>
            <w:tcW w:type="dxa" w:w="1296"/>
          </w:tcPr>
          <w:p>
            <w:r>
              <w:rPr>
                <w:b w:val="0"/>
                <w:color w:val="333333"/>
                <w:sz w:val="19"/>
              </w:rPr>
              <w:t>6/10</w:t>
            </w:r>
          </w:p>
        </w:tc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0 — MinT still estimate-only</w:t>
            </w:r>
          </w:p>
        </w:tc>
      </w:tr>
      <w:tr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Feature engineering rigor</w:t>
            </w:r>
          </w:p>
        </w:tc>
        <w:tc>
          <w:tcPr>
            <w:tcW w:type="dxa" w:w="1296"/>
          </w:tcPr>
          <w:p>
            <w:r>
              <w:rPr>
                <w:b w:val="0"/>
                <w:color w:val="333333"/>
                <w:sz w:val="19"/>
              </w:rPr>
              <w:t>7/10</w:t>
            </w:r>
          </w:p>
        </w:tc>
        <w:tc>
          <w:tcPr>
            <w:tcW w:type="dxa" w:w="1296"/>
          </w:tcPr>
          <w:p>
            <w:r>
              <w:rPr>
                <w:b w:val="0"/>
                <w:color w:val="333333"/>
                <w:sz w:val="19"/>
              </w:rPr>
              <w:t>8/10</w:t>
            </w:r>
          </w:p>
        </w:tc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+1 — avg_dials, avg_touches, plan_gap</w:t>
            </w:r>
          </w:p>
        </w:tc>
      </w:tr>
      <w:tr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Code modularity</w:t>
            </w:r>
          </w:p>
        </w:tc>
        <w:tc>
          <w:tcPr>
            <w:tcW w:type="dxa" w:w="1296"/>
          </w:tcPr>
          <w:p>
            <w:r>
              <w:rPr>
                <w:b w:val="0"/>
                <w:color w:val="333333"/>
                <w:sz w:val="19"/>
              </w:rPr>
              <w:t>7/10</w:t>
            </w:r>
          </w:p>
        </w:tc>
        <w:tc>
          <w:tcPr>
            <w:tcW w:type="dxa" w:w="1296"/>
          </w:tcPr>
          <w:p>
            <w:r>
              <w:rPr>
                <w:b w:val="0"/>
                <w:color w:val="333333"/>
                <w:sz w:val="19"/>
              </w:rPr>
              <w:t>7/10</w:t>
            </w:r>
          </w:p>
        </w:tc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0</w:t>
            </w:r>
          </w:p>
        </w:tc>
      </w:tr>
      <w:tr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Monitoring &amp; alerting</w:t>
            </w:r>
          </w:p>
        </w:tc>
        <w:tc>
          <w:tcPr>
            <w:tcW w:type="dxa" w:w="1296"/>
          </w:tcPr>
          <w:p>
            <w:r>
              <w:rPr>
                <w:b w:val="0"/>
                <w:color w:val="333333"/>
                <w:sz w:val="19"/>
              </w:rPr>
              <w:t>8/10</w:t>
            </w:r>
          </w:p>
        </w:tc>
        <w:tc>
          <w:tcPr>
            <w:tcW w:type="dxa" w:w="1296"/>
          </w:tcPr>
          <w:p>
            <w:r>
              <w:rPr>
                <w:b w:val="0"/>
                <w:color w:val="333333"/>
                <w:sz w:val="19"/>
              </w:rPr>
              <w:t>8/10</w:t>
            </w:r>
          </w:p>
        </w:tc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0</w:t>
            </w:r>
          </w:p>
        </w:tc>
      </w:tr>
      <w:tr>
        <w:tc>
          <w:tcPr>
            <w:tcW w:type="dxa" w:w="4032"/>
          </w:tcPr>
          <w:p>
            <w:r>
              <w:rPr>
                <w:b w:val="0"/>
                <w:color w:val="333333"/>
                <w:sz w:val="19"/>
              </w:rPr>
              <w:t>TOTAL</w:t>
            </w:r>
          </w:p>
        </w:tc>
        <w:tc>
          <w:tcPr>
            <w:tcW w:type="dxa" w:w="1296"/>
          </w:tcPr>
          <w:p>
            <w:r>
              <w:rPr>
                <w:b w:val="0"/>
                <w:color w:val="333333"/>
                <w:sz w:val="19"/>
              </w:rPr>
              <w:t>54/80</w:t>
            </w:r>
          </w:p>
        </w:tc>
        <w:tc>
          <w:tcPr>
            <w:tcW w:type="dxa" w:w="1296"/>
          </w:tcPr>
          <w:p>
            <w:r>
              <w:rPr>
                <w:b w:val="0"/>
                <w:color w:val="333333"/>
                <w:sz w:val="19"/>
              </w:rPr>
              <w:t>62/80</w:t>
            </w:r>
          </w:p>
        </w:tc>
        <w:tc>
          <w:tcPr>
            <w:tcW w:type="dxa" w:w="3168"/>
          </w:tcPr>
          <w:p>
            <w:r>
              <w:rPr>
                <w:b w:val="0"/>
                <w:color w:val="333333"/>
                <w:sz w:val="19"/>
              </w:rPr>
              <w:t>+8 points</w:t>
            </w:r>
          </w:p>
        </w:tc>
      </w:tr>
    </w:tbl>
    <w:p/>
    <w:p>
      <w:pPr>
        <w:pStyle w:val="Heading2"/>
      </w:pPr>
      <w:r>
        <w:rPr>
          <w:b/>
          <w:color w:val="0047AB"/>
        </w:rPr>
        <w:t>Critical Path to V6</w:t>
      </w:r>
    </w:p>
    <w:p>
      <w:pPr>
        <w:pStyle w:val="ListBullet"/>
        <w:ind w:left="360"/>
      </w:pPr>
      <w:r>
        <w:rPr>
          <w:color w:val="333333"/>
          <w:sz w:val="20"/>
        </w:rPr>
        <w:t>MUST DO: Rename PRODUCTION_OUTPUT_TABLE to ucc_forecast_v5 (or establish versioned table strategy) — current naming creates operational confusion.</w:t>
      </w:r>
    </w:p>
    <w:p>
      <w:pPr>
        <w:pStyle w:val="ListBullet"/>
        <w:ind w:left="360"/>
      </w:pPr>
      <w:r>
        <w:rPr>
          <w:color w:val="333333"/>
          <w:sz w:val="20"/>
        </w:rPr>
        <w:t>MUST DO: Persist monitoring_baseline to Delta table — without this, production alerting logic has no queryable thresholds.</w:t>
      </w:r>
    </w:p>
    <w:p>
      <w:pPr>
        <w:pStyle w:val="ListBullet"/>
        <w:ind w:left="360"/>
      </w:pPr>
      <w:r>
        <w:rPr>
          <w:color w:val="333333"/>
          <w:sz w:val="20"/>
        </w:rPr>
        <w:t>MUST DO: Implement Databricks Job — manual weekly runs create forecast freshness risk.</w:t>
      </w:r>
    </w:p>
    <w:p>
      <w:pPr>
        <w:pStyle w:val="ListBullet"/>
        <w:ind w:left="360"/>
      </w:pPr>
      <w:r>
        <w:rPr>
          <w:color w:val="333333"/>
          <w:sz w:val="20"/>
        </w:rPr>
        <w:t>SHOULD DO: Apply true MinT WLS reconciliation — estimate_mint_covariances() is already written; only the projection step is missing.</w:t>
      </w:r>
    </w:p>
    <w:p>
      <w:pPr>
        <w:pStyle w:val="ListBullet"/>
        <w:ind w:left="360"/>
      </w:pPr>
      <w:r>
        <w:rPr>
          <w:color w:val="333333"/>
          <w:sz w:val="20"/>
        </w:rPr>
        <w:t>SHOULD DO: Add mc_actuals join — authoritative bookings source eliminates the systematic $15.5M vs $14.5M discrepancy identified in the Sona gap analysis.</w:t>
      </w:r>
    </w:p>
    <w:p>
      <w:pPr>
        <w:pStyle w:val="ListBullet"/>
        <w:ind w:left="360"/>
      </w:pPr>
      <w:r>
        <w:rPr>
          <w:color w:val="333333"/>
          <w:sz w:val="20"/>
        </w:rPr>
        <w:t>CONSIDER: SHAP values for LGB — increases exec confidence in feature-driven explanations during QBRs.</w:t>
      </w:r>
    </w:p>
    <w:p/>
    <w:p>
      <w:pPr>
        <w:pStyle w:val="Heading2"/>
      </w:pPr>
      <w:r>
        <w:rPr>
          <w:b/>
          <w:color w:val="0047AB"/>
        </w:rPr>
        <w:t>Production Readiness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Gate</w:t>
            </w:r>
          </w:p>
        </w:tc>
        <w:tc>
          <w:tcPr>
            <w:tcW w:type="dxa" w:w="115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32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color w:val="333333"/>
                <w:sz w:val="19"/>
              </w:rPr>
              <w:t>All P0 issues resolved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PASS</w:t>
            </w:r>
          </w:p>
        </w:tc>
        <w:tc>
          <w:tcPr>
            <w:tcW w:type="dxa" w:w="4320"/>
          </w:tcPr>
          <w:p>
            <w:r>
              <w:rPr>
                <w:b w:val="0"/>
                <w:color w:val="333333"/>
                <w:sz w:val="19"/>
              </w:rPr>
              <w:t>V5 clears all three P0 gates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color w:val="333333"/>
                <w:sz w:val="19"/>
              </w:rPr>
              <w:t>Delta table write confirmed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PASS</w:t>
            </w:r>
          </w:p>
        </w:tc>
        <w:tc>
          <w:tcPr>
            <w:tcW w:type="dxa" w:w="4320"/>
          </w:tcPr>
          <w:p>
            <w:r>
              <w:rPr>
                <w:b w:val="0"/>
                <w:color w:val="333333"/>
                <w:sz w:val="19"/>
              </w:rPr>
              <w:t>Cell 14 confirmed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color w:val="333333"/>
                <w:sz w:val="19"/>
              </w:rPr>
              <w:t>Quantile ordering enforced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PASS</w:t>
            </w:r>
          </w:p>
        </w:tc>
        <w:tc>
          <w:tcPr>
            <w:tcW w:type="dxa" w:w="4320"/>
          </w:tcPr>
          <w:p>
            <w:r>
              <w:rPr>
                <w:b w:val="0"/>
                <w:color w:val="333333"/>
                <w:sz w:val="19"/>
              </w:rPr>
              <w:t>Both CV and production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color w:val="333333"/>
                <w:sz w:val="19"/>
              </w:rPr>
              <w:t>Ensemble uncertainty bounds present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PASS</w:t>
            </w:r>
          </w:p>
        </w:tc>
        <w:tc>
          <w:tcPr>
            <w:tcW w:type="dxa" w:w="4320"/>
          </w:tcPr>
          <w:p>
            <w:r>
              <w:rPr>
                <w:b w:val="0"/>
                <w:color w:val="333333"/>
                <w:sz w:val="19"/>
              </w:rPr>
              <w:t>Calibrated via holdout errors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color w:val="333333"/>
                <w:sz w:val="19"/>
              </w:rPr>
              <w:t>MLflow experiment tracking active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PASS</w:t>
            </w:r>
          </w:p>
        </w:tc>
        <w:tc>
          <w:tcPr>
            <w:tcW w:type="dxa" w:w="4320"/>
          </w:tcPr>
          <w:p>
            <w:r>
              <w:rPr>
                <w:b w:val="0"/>
                <w:color w:val="333333"/>
                <w:sz w:val="19"/>
              </w:rPr>
              <w:t>mlflow.start_run per model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color w:val="333333"/>
                <w:sz w:val="19"/>
              </w:rPr>
              <w:t>Monitoring thresholds defined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PASS</w:t>
            </w:r>
          </w:p>
        </w:tc>
        <w:tc>
          <w:tcPr>
            <w:tcW w:type="dxa" w:w="4320"/>
          </w:tcPr>
          <w:p>
            <w:r>
              <w:rPr>
                <w:b w:val="0"/>
                <w:color w:val="333333"/>
                <w:sz w:val="19"/>
              </w:rPr>
              <w:t>cv_wape * 1.5 per model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color w:val="333333"/>
                <w:sz w:val="19"/>
              </w:rPr>
              <w:t>Monitoring thresholds persisted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FAIL</w:t>
            </w:r>
          </w:p>
        </w:tc>
        <w:tc>
          <w:tcPr>
            <w:tcW w:type="dxa" w:w="4320"/>
          </w:tcPr>
          <w:p>
            <w:r>
              <w:rPr>
                <w:b w:val="0"/>
                <w:color w:val="333333"/>
                <w:sz w:val="19"/>
              </w:rPr>
              <w:t>Not written to Delta — P1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color w:val="333333"/>
                <w:sz w:val="19"/>
              </w:rPr>
              <w:t>Automated scheduling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FAIL</w:t>
            </w:r>
          </w:p>
        </w:tc>
        <w:tc>
          <w:tcPr>
            <w:tcW w:type="dxa" w:w="4320"/>
          </w:tcPr>
          <w:p>
            <w:r>
              <w:rPr>
                <w:b w:val="0"/>
                <w:color w:val="333333"/>
                <w:sz w:val="19"/>
              </w:rPr>
              <w:t>No Databricks Job — P1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color w:val="333333"/>
                <w:sz w:val="19"/>
              </w:rPr>
              <w:t>True MinT reconciliation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FAIL</w:t>
            </w:r>
          </w:p>
        </w:tc>
        <w:tc>
          <w:tcPr>
            <w:tcW w:type="dxa" w:w="4320"/>
          </w:tcPr>
          <w:p>
            <w:r>
              <w:rPr>
                <w:b w:val="0"/>
                <w:color w:val="333333"/>
                <w:sz w:val="19"/>
              </w:rPr>
              <w:t>Covariance estimated only — P1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color w:val="333333"/>
                <w:sz w:val="19"/>
              </w:rPr>
              <w:t>PRODUCTION_OUTPUT_TABLE naming consistency</w:t>
            </w:r>
          </w:p>
        </w:tc>
        <w:tc>
          <w:tcPr>
            <w:tcW w:type="dxa" w:w="1152"/>
          </w:tcPr>
          <w:p>
            <w:r>
              <w:rPr>
                <w:b w:val="0"/>
                <w:color w:val="333333"/>
                <w:sz w:val="19"/>
              </w:rPr>
              <w:t>WARN</w:t>
            </w:r>
          </w:p>
        </w:tc>
        <w:tc>
          <w:tcPr>
            <w:tcW w:type="dxa" w:w="4320"/>
          </w:tcPr>
          <w:p>
            <w:r>
              <w:rPr>
                <w:b w:val="0"/>
                <w:color w:val="333333"/>
                <w:sz w:val="19"/>
              </w:rPr>
              <w:t>V5 notebook writes to 'ucc_forecast_v4' table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