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7AB"/>
          <w:sz w:val="44"/>
        </w:rPr>
        <w:t>UCC ARR FORECASTING NOTEBOOK</w:t>
      </w:r>
    </w:p>
    <w:p>
      <w:pPr>
        <w:jc w:val="center"/>
      </w:pPr>
      <w:r>
        <w:rPr>
          <w:b/>
          <w:color w:val="333333"/>
          <w:sz w:val="30"/>
        </w:rPr>
        <w:t>V6 Expert Review — UCC Forecast Foundation (6).ipynb</w:t>
      </w:r>
    </w:p>
    <w:p/>
    <w:tbl>
      <w:tblPr>
        <w:tblStyle w:val="TableGrid"/>
        <w:tblW w:type="auto" w:w="0"/>
        <w:tblLook w:firstColumn="1" w:firstRow="1" w:lastColumn="0" w:lastRow="0" w:noHBand="0" w:noVBand="1" w:val="04A0"/>
      </w:tblPr>
      <w:tblGrid>
        <w:gridCol w:w="4680"/>
        <w:gridCol w:w="4680"/>
      </w:tblGrid>
      <w:tr>
        <w:tc>
          <w:tcPr>
            <w:tcW w:type="dxa" w:w="3456"/>
          </w:tcPr>
          <w:p>
            <w:r>
              <w:rPr>
                <w:b/>
                <w:color w:val="0047AB"/>
                <w:sz w:val="20"/>
              </w:rPr>
              <w:t>Notebook Version</w:t>
            </w:r>
          </w:p>
        </w:tc>
        <w:tc>
          <w:tcPr>
            <w:tcW w:type="dxa" w:w="6336"/>
          </w:tcPr>
          <w:p>
            <w:r>
              <w:rPr>
                <w:color w:val="333333"/>
                <w:sz w:val="20"/>
              </w:rPr>
              <w:t>V6 — 18 Cells</w:t>
            </w:r>
          </w:p>
        </w:tc>
      </w:tr>
      <w:tr>
        <w:tc>
          <w:tcPr>
            <w:tcW w:type="dxa" w:w="3456"/>
          </w:tcPr>
          <w:p>
            <w:r>
              <w:rPr>
                <w:b/>
                <w:color w:val="0047AB"/>
                <w:sz w:val="20"/>
              </w:rPr>
              <w:t>Review Date</w:t>
            </w:r>
          </w:p>
        </w:tc>
        <w:tc>
          <w:tcPr>
            <w:tcW w:type="dxa" w:w="6336"/>
          </w:tcPr>
          <w:p>
            <w:r>
              <w:rPr>
                <w:color w:val="333333"/>
                <w:sz w:val="20"/>
              </w:rPr>
              <w:t>July 1, 2026</w:t>
            </w:r>
          </w:p>
        </w:tc>
      </w:tr>
      <w:tr>
        <w:tc>
          <w:tcPr>
            <w:tcW w:type="dxa" w:w="3456"/>
          </w:tcPr>
          <w:p>
            <w:r>
              <w:rPr>
                <w:b/>
                <w:color w:val="0047AB"/>
                <w:sz w:val="20"/>
              </w:rPr>
              <w:t>Author</w:t>
            </w:r>
          </w:p>
        </w:tc>
        <w:tc>
          <w:tcPr>
            <w:tcW w:type="dxa" w:w="6336"/>
          </w:tcPr>
          <w:p>
            <w:r>
              <w:rPr>
                <w:color w:val="333333"/>
                <w:sz w:val="20"/>
              </w:rPr>
              <w:t>Atlas Executive Insights — AI Review Engine</w:t>
            </w:r>
          </w:p>
        </w:tc>
      </w:tr>
      <w:tr>
        <w:tc>
          <w:tcPr>
            <w:tcW w:type="dxa" w:w="3456"/>
          </w:tcPr>
          <w:p>
            <w:r>
              <w:rPr>
                <w:b/>
                <w:color w:val="0047AB"/>
                <w:sz w:val="20"/>
              </w:rPr>
              <w:t>Audience</w:t>
            </w:r>
          </w:p>
        </w:tc>
        <w:tc>
          <w:tcPr>
            <w:tcW w:type="dxa" w:w="6336"/>
          </w:tcPr>
          <w:p>
            <w:r>
              <w:rPr>
                <w:color w:val="333333"/>
                <w:sz w:val="20"/>
              </w:rPr>
              <w:t>Data Science Lead, Revenue Engineering, GTM Finance</w:t>
            </w:r>
          </w:p>
        </w:tc>
      </w:tr>
      <w:tr>
        <w:tc>
          <w:tcPr>
            <w:tcW w:type="dxa" w:w="3456"/>
          </w:tcPr>
          <w:p>
            <w:r>
              <w:rPr>
                <w:b/>
                <w:color w:val="0047AB"/>
                <w:sz w:val="20"/>
              </w:rPr>
              <w:t>Scope</w:t>
            </w:r>
          </w:p>
        </w:tc>
        <w:tc>
          <w:tcPr>
            <w:tcW w:type="dxa" w:w="6336"/>
          </w:tcPr>
          <w:p>
            <w:r>
              <w:rPr>
                <w:color w:val="333333"/>
                <w:sz w:val="20"/>
              </w:rPr>
              <w:t>Full 9-section expert review with V5 -&gt; V6 delta</w:t>
            </w:r>
          </w:p>
        </w:tc>
      </w:tr>
      <w:tr>
        <w:tc>
          <w:tcPr>
            <w:tcW w:type="dxa" w:w="3456"/>
          </w:tcPr>
          <w:p>
            <w:r>
              <w:rPr>
                <w:b/>
                <w:color w:val="0047AB"/>
                <w:sz w:val="20"/>
              </w:rPr>
              <w:t>Primary Output Table</w:t>
            </w:r>
          </w:p>
        </w:tc>
        <w:tc>
          <w:tcPr>
            <w:tcW w:type="dxa" w:w="6336"/>
          </w:tcPr>
          <w:p>
            <w:r>
              <w:rPr>
                <w:color w:val="333333"/>
                <w:sz w:val="20"/>
              </w:rPr>
              <w:t>datagroup_mdl.mdl_sales_analytics.ucc_forecast_v5 (READ-WRITE)</w:t>
            </w:r>
          </w:p>
        </w:tc>
      </w:tr>
      <w:tr>
        <w:tc>
          <w:tcPr>
            <w:tcW w:type="dxa" w:w="3456"/>
          </w:tcPr>
          <w:p>
            <w:r>
              <w:rPr>
                <w:b/>
                <w:color w:val="0047AB"/>
                <w:sz w:val="20"/>
              </w:rPr>
              <w:t>Legacy Output Table</w:t>
            </w:r>
          </w:p>
        </w:tc>
        <w:tc>
          <w:tcPr>
            <w:tcW w:type="dxa" w:w="6336"/>
          </w:tcPr>
          <w:p>
            <w:r>
              <w:rPr>
                <w:color w:val="333333"/>
                <w:sz w:val="20"/>
              </w:rPr>
              <w:t>datagroup_mdl.mdl_sales_analytics.ucc_forecast_v4 (backward compat write)</w:t>
            </w:r>
          </w:p>
        </w:tc>
      </w:tr>
      <w:tr>
        <w:tc>
          <w:tcPr>
            <w:tcW w:type="dxa" w:w="3456"/>
          </w:tcPr>
          <w:p>
            <w:r>
              <w:rPr>
                <w:b/>
                <w:color w:val="0047AB"/>
                <w:sz w:val="20"/>
              </w:rPr>
              <w:t>Source Table</w:t>
            </w:r>
          </w:p>
        </w:tc>
        <w:tc>
          <w:tcPr>
            <w:tcW w:type="dxa" w:w="6336"/>
          </w:tcPr>
          <w:p>
            <w:r>
              <w:rPr>
                <w:color w:val="333333"/>
                <w:sz w:val="20"/>
              </w:rPr>
              <w:t>datagroup.datalake_transform.cds_sfdc_opp_products_latest</w:t>
            </w:r>
          </w:p>
        </w:tc>
      </w:tr>
      <w:tr>
        <w:tc>
          <w:tcPr>
            <w:tcW w:type="dxa" w:w="3456"/>
          </w:tcPr>
          <w:p>
            <w:r>
              <w:rPr>
                <w:b/>
                <w:color w:val="0047AB"/>
                <w:sz w:val="20"/>
              </w:rPr>
              <w:t>MC Actuals Table</w:t>
            </w:r>
          </w:p>
        </w:tc>
        <w:tc>
          <w:tcPr>
            <w:tcW w:type="dxa" w:w="6336"/>
          </w:tcPr>
          <w:p>
            <w:r>
              <w:rPr>
                <w:color w:val="333333"/>
                <w:sz w:val="20"/>
              </w:rPr>
              <w:t>datagroup.uc_forecast.actuals (NEW — authoritative source)</w:t>
            </w:r>
          </w:p>
        </w:tc>
      </w:tr>
      <w:tr>
        <w:tc>
          <w:tcPr>
            <w:tcW w:type="dxa" w:w="3456"/>
          </w:tcPr>
          <w:p>
            <w:r>
              <w:rPr>
                <w:b/>
                <w:color w:val="0047AB"/>
                <w:sz w:val="20"/>
              </w:rPr>
              <w:t>Features</w:t>
            </w:r>
          </w:p>
        </w:tc>
        <w:tc>
          <w:tcPr>
            <w:tcW w:type="dxa" w:w="6336"/>
          </w:tcPr>
          <w:p>
            <w:r>
              <w:rPr>
                <w:color w:val="333333"/>
                <w:sz w:val="20"/>
              </w:rPr>
              <w:t>37 GLOBAL_FEATURE_COLS (up from 35 in V5)</w:t>
            </w:r>
          </w:p>
        </w:tc>
      </w:tr>
      <w:tr>
        <w:tc>
          <w:tcPr>
            <w:tcW w:type="dxa" w:w="3456"/>
          </w:tcPr>
          <w:p>
            <w:r>
              <w:rPr>
                <w:b/>
                <w:color w:val="0047AB"/>
                <w:sz w:val="20"/>
              </w:rPr>
              <w:t>Cells</w:t>
            </w:r>
          </w:p>
        </w:tc>
        <w:tc>
          <w:tcPr>
            <w:tcW w:type="dxa" w:w="6336"/>
          </w:tcPr>
          <w:p>
            <w:r>
              <w:rPr>
                <w:color w:val="333333"/>
                <w:sz w:val="20"/>
              </w:rPr>
              <w:t>18 (up from 17 in V5 — Cell 12 mc_actuals comparison added)</w:t>
            </w:r>
          </w:p>
        </w:tc>
      </w:tr>
    </w:tbl>
    <w:p>
      <w:r>
        <w:br w:type="page"/>
      </w:r>
    </w:p>
    <w:p>
      <w:pPr>
        <w:pStyle w:val="Heading1"/>
      </w:pPr>
      <w:r>
        <w:rPr>
          <w:b/>
          <w:color w:val="0047AB"/>
        </w:rPr>
        <w:t>Section 0: V5 -&gt; V6 Change Log</w:t>
      </w:r>
    </w:p>
    <w:p>
      <w:pPr>
        <w:spacing w:after="120"/>
      </w:pPr>
      <w:r>
        <w:rPr>
          <w:b w:val="0"/>
          <w:i w:val="0"/>
          <w:color w:val="333333"/>
          <w:sz w:val="21"/>
        </w:rPr>
        <w:t>V6 closes all three P1 naming/data gaps identified in the V5 review and adds authoritative mc_actuals from a new source table. Three structural changes are particularly significant: the PRODUCTION_OUTPUT_TABLE is now correctly named ucc_forecast_v5; mc_actuals are now read from datagroup.uc_forecast.actuals (the authoritative source that eliminates the $15.5M discrepancy found in the Sona gap analysis); and avg_opportunity_age is promoted to a direct feature. A new Cell 12 quantifies the accuracy improvement from the mc_actuals change against the V5 proxy baseline.</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0047AB"/>
          </w:tcPr>
          <w:p>
            <w:r>
              <w:rPr>
                <w:b/>
                <w:color w:val="FFFFFF"/>
                <w:sz w:val="20"/>
              </w:rPr>
              <w:t>Area</w:t>
            </w:r>
          </w:p>
        </w:tc>
        <w:tc>
          <w:tcPr>
            <w:tcW w:type="dxa" w:w="2880"/>
            <w:shd w:val="clear" w:color="auto" w:fill="0047AB"/>
          </w:tcPr>
          <w:p>
            <w:r>
              <w:rPr>
                <w:b/>
                <w:color w:val="FFFFFF"/>
                <w:sz w:val="20"/>
              </w:rPr>
              <w:t>V5 State</w:t>
            </w:r>
          </w:p>
        </w:tc>
        <w:tc>
          <w:tcPr>
            <w:tcW w:type="dxa" w:w="3744"/>
            <w:shd w:val="clear" w:color="auto" w:fill="0047AB"/>
          </w:tcPr>
          <w:p>
            <w:r>
              <w:rPr>
                <w:b/>
                <w:color w:val="FFFFFF"/>
                <w:sz w:val="20"/>
              </w:rPr>
              <w:t>V6 State</w:t>
            </w:r>
          </w:p>
        </w:tc>
        <w:tc>
          <w:tcPr>
            <w:tcW w:type="dxa" w:w="1728"/>
            <w:shd w:val="clear" w:color="auto" w:fill="0047AB"/>
          </w:tcPr>
          <w:p>
            <w:r>
              <w:rPr>
                <w:b/>
                <w:color w:val="FFFFFF"/>
                <w:sz w:val="20"/>
              </w:rPr>
              <w:t>Status</w:t>
            </w:r>
          </w:p>
        </w:tc>
      </w:tr>
      <w:tr>
        <w:tc>
          <w:tcPr>
            <w:tcW w:type="dxa" w:w="2880"/>
          </w:tcPr>
          <w:p>
            <w:r>
              <w:rPr>
                <w:color w:val="333333"/>
                <w:sz w:val="19"/>
              </w:rPr>
              <w:t>PRODUCTION_OUTPUT_TABLE naming</w:t>
            </w:r>
          </w:p>
        </w:tc>
        <w:tc>
          <w:tcPr>
            <w:tcW w:type="dxa" w:w="2880"/>
          </w:tcPr>
          <w:p>
            <w:r>
              <w:rPr>
                <w:color w:val="333333"/>
                <w:sz w:val="19"/>
              </w:rPr>
              <w:t>Writes to 'ucc_forecast_v4' despite being V5 notebook</w:t>
            </w:r>
          </w:p>
        </w:tc>
        <w:tc>
          <w:tcPr>
            <w:tcW w:type="dxa" w:w="3744"/>
          </w:tcPr>
          <w:p>
            <w:r>
              <w:rPr>
                <w:color w:val="333333"/>
                <w:sz w:val="19"/>
              </w:rPr>
              <w:t>PRIMARY = 'ucc_forecast_v5'; LEGACY = 'ucc_forecast_v4'; writes to BOTH for backward compat</w:t>
            </w:r>
          </w:p>
        </w:tc>
        <w:tc>
          <w:tcPr>
            <w:tcW w:type="dxa" w:w="1728"/>
          </w:tcPr>
          <w:p>
            <w:r>
              <w:rPr>
                <w:color w:val="333333"/>
                <w:sz w:val="19"/>
              </w:rPr>
              <w:t>FIXED P1</w:t>
            </w:r>
          </w:p>
        </w:tc>
      </w:tr>
      <w:tr>
        <w:tc>
          <w:tcPr>
            <w:tcW w:type="dxa" w:w="2880"/>
          </w:tcPr>
          <w:p>
            <w:r>
              <w:rPr>
                <w:color w:val="333333"/>
                <w:sz w:val="19"/>
              </w:rPr>
              <w:t>mc_actuals source</w:t>
            </w:r>
          </w:p>
        </w:tc>
        <w:tc>
          <w:tcPr>
            <w:tcW w:type="dxa" w:w="2880"/>
          </w:tcPr>
          <w:p>
            <w:r>
              <w:rPr>
                <w:color w:val="333333"/>
                <w:sz w:val="19"/>
              </w:rPr>
              <w:t>magna_carta_actuals proxy via forecast_prophet scalar</w:t>
            </w:r>
          </w:p>
        </w:tc>
        <w:tc>
          <w:tcPr>
            <w:tcW w:type="dxa" w:w="3744"/>
          </w:tcPr>
          <w:p>
            <w:r>
              <w:rPr>
                <w:color w:val="333333"/>
                <w:sz w:val="19"/>
              </w:rPr>
              <w:t>Authoritative join: load_authoritative_mc_actuals() reads datagroup.uc_forecast.actuals; mc_actuals_lag4 in GLOBAL_FEATURE_COLS</w:t>
            </w:r>
          </w:p>
        </w:tc>
        <w:tc>
          <w:tcPr>
            <w:tcW w:type="dxa" w:w="1728"/>
          </w:tcPr>
          <w:p>
            <w:r>
              <w:rPr>
                <w:color w:val="333333"/>
                <w:sz w:val="19"/>
              </w:rPr>
              <w:t>FIXED P1</w:t>
            </w:r>
          </w:p>
        </w:tc>
      </w:tr>
      <w:tr>
        <w:tc>
          <w:tcPr>
            <w:tcW w:type="dxa" w:w="2880"/>
          </w:tcPr>
          <w:p>
            <w:r>
              <w:rPr>
                <w:color w:val="333333"/>
                <w:sz w:val="19"/>
              </w:rPr>
              <w:t>avg_opportunity_age as feature</w:t>
            </w:r>
          </w:p>
        </w:tc>
        <w:tc>
          <w:tcPr>
            <w:tcW w:type="dxa" w:w="2880"/>
          </w:tcPr>
          <w:p>
            <w:r>
              <w:rPr>
                <w:color w:val="333333"/>
                <w:sz w:val="19"/>
              </w:rPr>
              <w:t>Used only to compute pipeline_velocity; not a standalone feature</w:t>
            </w:r>
          </w:p>
        </w:tc>
        <w:tc>
          <w:tcPr>
            <w:tcW w:type="dxa" w:w="3744"/>
          </w:tcPr>
          <w:p>
            <w:r>
              <w:rPr>
                <w:color w:val="333333"/>
                <w:sz w:val="19"/>
              </w:rPr>
              <w:t>Added directly to GLOBAL_FEATURE_COLS (37 features total)</w:t>
            </w:r>
          </w:p>
        </w:tc>
        <w:tc>
          <w:tcPr>
            <w:tcW w:type="dxa" w:w="1728"/>
          </w:tcPr>
          <w:p>
            <w:r>
              <w:rPr>
                <w:color w:val="333333"/>
                <w:sz w:val="19"/>
              </w:rPr>
              <w:t>FIXED V5 gap</w:t>
            </w:r>
          </w:p>
        </w:tc>
      </w:tr>
      <w:tr>
        <w:tc>
          <w:tcPr>
            <w:tcW w:type="dxa" w:w="2880"/>
          </w:tcPr>
          <w:p>
            <w:r>
              <w:rPr>
                <w:color w:val="333333"/>
                <w:sz w:val="19"/>
              </w:rPr>
              <w:t>Cell 12 — MC actuals comparison</w:t>
            </w:r>
          </w:p>
        </w:tc>
        <w:tc>
          <w:tcPr>
            <w:tcW w:type="dxa" w:w="2880"/>
          </w:tcPr>
          <w:p>
            <w:r>
              <w:rPr>
                <w:color w:val="333333"/>
                <w:sz w:val="19"/>
              </w:rPr>
              <w:t>Absent</w:t>
            </w:r>
          </w:p>
        </w:tc>
        <w:tc>
          <w:tcPr>
            <w:tcW w:type="dxa" w:w="3744"/>
          </w:tcPr>
          <w:p>
            <w:r>
              <w:rPr>
                <w:color w:val="333333"/>
                <w:sz w:val="19"/>
              </w:rPr>
              <w:t>New diagnostic cell: V5 proxy cv_wape=30.038, holdout_wape=22.488 vs V6 authoritative result — quantified improvement</w:t>
            </w:r>
          </w:p>
        </w:tc>
        <w:tc>
          <w:tcPr>
            <w:tcW w:type="dxa" w:w="1728"/>
          </w:tcPr>
          <w:p>
            <w:r>
              <w:rPr>
                <w:color w:val="333333"/>
                <w:sz w:val="19"/>
              </w:rPr>
              <w:t>NEW</w:t>
            </w:r>
          </w:p>
        </w:tc>
      </w:tr>
      <w:tr>
        <w:tc>
          <w:tcPr>
            <w:tcW w:type="dxa" w:w="2880"/>
          </w:tcPr>
          <w:p>
            <w:r>
              <w:rPr>
                <w:color w:val="333333"/>
                <w:sz w:val="19"/>
              </w:rPr>
              <w:t>GLOBAL_FEATURE_COLS count</w:t>
            </w:r>
          </w:p>
        </w:tc>
        <w:tc>
          <w:tcPr>
            <w:tcW w:type="dxa" w:w="2880"/>
          </w:tcPr>
          <w:p>
            <w:r>
              <w:rPr>
                <w:color w:val="333333"/>
                <w:sz w:val="19"/>
              </w:rPr>
              <w:t>35</w:t>
            </w:r>
          </w:p>
        </w:tc>
        <w:tc>
          <w:tcPr>
            <w:tcW w:type="dxa" w:w="3744"/>
          </w:tcPr>
          <w:p>
            <w:r>
              <w:rPr>
                <w:color w:val="333333"/>
                <w:sz w:val="19"/>
              </w:rPr>
              <w:t>37 (added mc_actuals_lag4, avg_opportunity_age)</w:t>
            </w:r>
          </w:p>
        </w:tc>
        <w:tc>
          <w:tcPr>
            <w:tcW w:type="dxa" w:w="1728"/>
          </w:tcPr>
          <w:p>
            <w:r>
              <w:rPr>
                <w:color w:val="333333"/>
                <w:sz w:val="19"/>
              </w:rPr>
              <w:t>EXPANDED</w:t>
            </w:r>
          </w:p>
        </w:tc>
      </w:tr>
      <w:tr>
        <w:tc>
          <w:tcPr>
            <w:tcW w:type="dxa" w:w="2880"/>
          </w:tcPr>
          <w:p>
            <w:r>
              <w:rPr>
                <w:color w:val="333333"/>
                <w:sz w:val="19"/>
              </w:rPr>
              <w:t>GLOBAL_PROFILE_COLS</w:t>
            </w:r>
          </w:p>
        </w:tc>
        <w:tc>
          <w:tcPr>
            <w:tcW w:type="dxa" w:w="2880"/>
          </w:tcPr>
          <w:p>
            <w:r>
              <w:rPr>
                <w:color w:val="333333"/>
                <w:sz w:val="19"/>
              </w:rPr>
              <w:t>magna_carta_actuals only</w:t>
            </w:r>
          </w:p>
        </w:tc>
        <w:tc>
          <w:tcPr>
            <w:tcW w:type="dxa" w:w="3744"/>
          </w:tcPr>
          <w:p>
            <w:r>
              <w:rPr>
                <w:color w:val="333333"/>
                <w:sz w:val="19"/>
              </w:rPr>
              <w:t>magna_carta_actuals + mc_actuals_authoritative both retained</w:t>
            </w:r>
          </w:p>
        </w:tc>
        <w:tc>
          <w:tcPr>
            <w:tcW w:type="dxa" w:w="1728"/>
          </w:tcPr>
          <w:p>
            <w:r>
              <w:rPr>
                <w:color w:val="333333"/>
                <w:sz w:val="19"/>
              </w:rPr>
              <w:t>EXPANDED</w:t>
            </w:r>
          </w:p>
        </w:tc>
      </w:tr>
      <w:tr>
        <w:tc>
          <w:tcPr>
            <w:tcW w:type="dxa" w:w="2880"/>
          </w:tcPr>
          <w:p>
            <w:r>
              <w:rPr>
                <w:color w:val="333333"/>
                <w:sz w:val="19"/>
              </w:rPr>
              <w:t>ETS model</w:t>
            </w:r>
          </w:p>
        </w:tc>
        <w:tc>
          <w:tcPr>
            <w:tcW w:type="dxa" w:w="2880"/>
          </w:tcPr>
          <w:p>
            <w:r>
              <w:rPr>
                <w:color w:val="333333"/>
                <w:sz w:val="19"/>
              </w:rPr>
              <w:t>seasonal="add" (additive)</w:t>
            </w:r>
          </w:p>
        </w:tc>
        <w:tc>
          <w:tcPr>
            <w:tcW w:type="dxa" w:w="3744"/>
          </w:tcPr>
          <w:p>
            <w:r>
              <w:rPr>
                <w:color w:val="333333"/>
                <w:sz w:val="19"/>
              </w:rPr>
              <w:t>seasonal="mul" (multiplicative), damped_trend=True, window=104wk</w:t>
            </w:r>
          </w:p>
        </w:tc>
        <w:tc>
          <w:tcPr>
            <w:tcW w:type="dxa" w:w="1728"/>
          </w:tcPr>
          <w:p>
            <w:r>
              <w:rPr>
                <w:color w:val="333333"/>
                <w:sz w:val="19"/>
              </w:rPr>
              <w:t>IMPROVED</w:t>
            </w:r>
          </w:p>
        </w:tc>
      </w:tr>
      <w:tr>
        <w:tc>
          <w:tcPr>
            <w:tcW w:type="dxa" w:w="2880"/>
          </w:tcPr>
          <w:p>
            <w:r>
              <w:rPr>
                <w:color w:val="333333"/>
                <w:sz w:val="19"/>
              </w:rPr>
              <w:t>Leaky column documentation</w:t>
            </w:r>
          </w:p>
        </w:tc>
        <w:tc>
          <w:tcPr>
            <w:tcW w:type="dxa" w:w="2880"/>
          </w:tcPr>
          <w:p>
            <w:r>
              <w:rPr>
                <w:color w:val="333333"/>
                <w:sz w:val="19"/>
              </w:rPr>
              <w:t>Implicit exclusion</w:t>
            </w:r>
          </w:p>
        </w:tc>
        <w:tc>
          <w:tcPr>
            <w:tcW w:type="dxa" w:w="3744"/>
          </w:tcPr>
          <w:p>
            <w:r>
              <w:rPr>
                <w:color w:val="333333"/>
                <w:sz w:val="19"/>
              </w:rPr>
              <w:t>Explicit LEAKY_OR_UNUSABLE_COLS list with reasons documented in Cell 3</w:t>
            </w:r>
          </w:p>
        </w:tc>
        <w:tc>
          <w:tcPr>
            <w:tcW w:type="dxa" w:w="1728"/>
          </w:tcPr>
          <w:p>
            <w:r>
              <w:rPr>
                <w:color w:val="333333"/>
                <w:sz w:val="19"/>
              </w:rPr>
              <w:t>NEW SAFEGUARD</w:t>
            </w:r>
          </w:p>
        </w:tc>
      </w:tr>
      <w:tr>
        <w:tc>
          <w:tcPr>
            <w:tcW w:type="dxa" w:w="2880"/>
          </w:tcPr>
          <w:p>
            <w:r>
              <w:rPr>
                <w:color w:val="333333"/>
                <w:sz w:val="19"/>
              </w:rPr>
              <w:t>Cell 3 BACKTEST_START</w:t>
            </w:r>
          </w:p>
        </w:tc>
        <w:tc>
          <w:tcPr>
            <w:tcW w:type="dxa" w:w="2880"/>
          </w:tcPr>
          <w:p>
            <w:r>
              <w:rPr>
                <w:color w:val="333333"/>
                <w:sz w:val="19"/>
              </w:rPr>
              <w:t>Defined in model config</w:t>
            </w:r>
          </w:p>
        </w:tc>
        <w:tc>
          <w:tcPr>
            <w:tcW w:type="dxa" w:w="3744"/>
          </w:tcPr>
          <w:p>
            <w:r>
              <w:rPr>
                <w:color w:val="333333"/>
                <w:sz w:val="19"/>
              </w:rPr>
              <w:t>Explicit: BACKTEST_START = 2026-01-05 (Q1 2026 first Monday)</w:t>
            </w:r>
          </w:p>
        </w:tc>
        <w:tc>
          <w:tcPr>
            <w:tcW w:type="dxa" w:w="1728"/>
          </w:tcPr>
          <w:p>
            <w:r>
              <w:rPr>
                <w:color w:val="333333"/>
                <w:sz w:val="19"/>
              </w:rPr>
              <w:t>CLARIFIED</w:t>
            </w:r>
          </w:p>
        </w:tc>
      </w:tr>
      <w:tr>
        <w:tc>
          <w:tcPr>
            <w:tcW w:type="dxa" w:w="2880"/>
          </w:tcPr>
          <w:p>
            <w:r>
              <w:rPr>
                <w:color w:val="333333"/>
                <w:sz w:val="19"/>
              </w:rPr>
              <w:t>Dual Delta write</w:t>
            </w:r>
          </w:p>
        </w:tc>
        <w:tc>
          <w:tcPr>
            <w:tcW w:type="dxa" w:w="2880"/>
          </w:tcPr>
          <w:p>
            <w:r>
              <w:rPr>
                <w:color w:val="333333"/>
                <w:sz w:val="19"/>
              </w:rPr>
              <w:t>Single write to ucc_forecast_v4</w:t>
            </w:r>
          </w:p>
        </w:tc>
        <w:tc>
          <w:tcPr>
            <w:tcW w:type="dxa" w:w="3744"/>
          </w:tcPr>
          <w:p>
            <w:r>
              <w:rPr>
                <w:color w:val="333333"/>
                <w:sz w:val="19"/>
              </w:rPr>
              <w:t>Loop writes to [PRIMARY, LEGACY] — both tables refreshed each run</w:t>
            </w:r>
          </w:p>
        </w:tc>
        <w:tc>
          <w:tcPr>
            <w:tcW w:type="dxa" w:w="1728"/>
          </w:tcPr>
          <w:p>
            <w:r>
              <w:rPr>
                <w:color w:val="333333"/>
                <w:sz w:val="19"/>
              </w:rPr>
              <w:t>NEW</w:t>
            </w:r>
          </w:p>
        </w:tc>
      </w:tr>
      <w:tr>
        <w:tc>
          <w:tcPr>
            <w:tcW w:type="dxa" w:w="2880"/>
          </w:tcPr>
          <w:p>
            <w:r>
              <w:rPr>
                <w:color w:val="333333"/>
                <w:sz w:val="19"/>
              </w:rPr>
              <w:t>marketing_generated_pipeline / marketing_influenced_pipeline</w:t>
            </w:r>
          </w:p>
        </w:tc>
        <w:tc>
          <w:tcPr>
            <w:tcW w:type="dxa" w:w="2880"/>
          </w:tcPr>
          <w:p>
            <w:r>
              <w:rPr>
                <w:color w:val="333333"/>
                <w:sz w:val="19"/>
              </w:rPr>
              <w:t>Absent in source query</w:t>
            </w:r>
          </w:p>
        </w:tc>
        <w:tc>
          <w:tcPr>
            <w:tcW w:type="dxa" w:w="3744"/>
          </w:tcPr>
          <w:p>
            <w:r>
              <w:rPr>
                <w:color w:val="333333"/>
                <w:sz w:val="19"/>
              </w:rPr>
              <w:t>Pulled from source in Cell 1; correctly listed as LEAKY (same-week) in Cell 3</w:t>
            </w:r>
          </w:p>
        </w:tc>
        <w:tc>
          <w:tcPr>
            <w:tcW w:type="dxa" w:w="1728"/>
          </w:tcPr>
          <w:p>
            <w:r>
              <w:rPr>
                <w:color w:val="333333"/>
                <w:sz w:val="19"/>
              </w:rPr>
              <w:t>PULLED BUT EXCLUDED</w:t>
            </w:r>
          </w:p>
        </w:tc>
      </w:tr>
      <w:tr>
        <w:tc>
          <w:tcPr>
            <w:tcW w:type="dxa" w:w="2880"/>
          </w:tcPr>
          <w:p>
            <w:r>
              <w:rPr>
                <w:color w:val="333333"/>
                <w:sz w:val="19"/>
              </w:rPr>
              <w:t>Databricks Job scheduling</w:t>
            </w:r>
          </w:p>
        </w:tc>
        <w:tc>
          <w:tcPr>
            <w:tcW w:type="dxa" w:w="2880"/>
          </w:tcPr>
          <w:p>
            <w:r>
              <w:rPr>
                <w:color w:val="333333"/>
                <w:sz w:val="19"/>
              </w:rPr>
              <w:t>Absent</w:t>
            </w:r>
          </w:p>
        </w:tc>
        <w:tc>
          <w:tcPr>
            <w:tcW w:type="dxa" w:w="3744"/>
          </w:tcPr>
          <w:p>
            <w:r>
              <w:rPr>
                <w:color w:val="333333"/>
                <w:sz w:val="19"/>
              </w:rPr>
              <w:t>Still absent</w:t>
            </w:r>
          </w:p>
        </w:tc>
        <w:tc>
          <w:tcPr>
            <w:tcW w:type="dxa" w:w="1728"/>
          </w:tcPr>
          <w:p>
            <w:r>
              <w:rPr>
                <w:color w:val="333333"/>
                <w:sz w:val="19"/>
              </w:rPr>
              <w:t>OPEN P1</w:t>
            </w:r>
          </w:p>
        </w:tc>
      </w:tr>
      <w:tr>
        <w:tc>
          <w:tcPr>
            <w:tcW w:type="dxa" w:w="2880"/>
          </w:tcPr>
          <w:p>
            <w:r>
              <w:rPr>
                <w:color w:val="333333"/>
                <w:sz w:val="19"/>
              </w:rPr>
              <w:t>monitoring_baseline persistence</w:t>
            </w:r>
          </w:p>
        </w:tc>
        <w:tc>
          <w:tcPr>
            <w:tcW w:type="dxa" w:w="2880"/>
          </w:tcPr>
          <w:p>
            <w:r>
              <w:rPr>
                <w:color w:val="333333"/>
                <w:sz w:val="19"/>
              </w:rPr>
              <w:t>Printed only</w:t>
            </w:r>
          </w:p>
        </w:tc>
        <w:tc>
          <w:tcPr>
            <w:tcW w:type="dxa" w:w="3744"/>
          </w:tcPr>
          <w:p>
            <w:r>
              <w:rPr>
                <w:color w:val="333333"/>
                <w:sz w:val="19"/>
              </w:rPr>
              <w:t>Still printed only — not written to Delta</w:t>
            </w:r>
          </w:p>
        </w:tc>
        <w:tc>
          <w:tcPr>
            <w:tcW w:type="dxa" w:w="1728"/>
          </w:tcPr>
          <w:p>
            <w:r>
              <w:rPr>
                <w:color w:val="333333"/>
                <w:sz w:val="19"/>
              </w:rPr>
              <w:t>OPEN P1</w:t>
            </w:r>
          </w:p>
        </w:tc>
      </w:tr>
      <w:tr>
        <w:tc>
          <w:tcPr>
            <w:tcW w:type="dxa" w:w="2880"/>
          </w:tcPr>
          <w:p>
            <w:r>
              <w:rPr>
                <w:color w:val="333333"/>
                <w:sz w:val="19"/>
              </w:rPr>
              <w:t>True MinT reconciliation</w:t>
            </w:r>
          </w:p>
        </w:tc>
        <w:tc>
          <w:tcPr>
            <w:tcW w:type="dxa" w:w="2880"/>
          </w:tcPr>
          <w:p>
            <w:r>
              <w:rPr>
                <w:color w:val="333333"/>
                <w:sz w:val="19"/>
              </w:rPr>
              <w:t>estimate_mint_covariances() only</w:t>
            </w:r>
          </w:p>
        </w:tc>
        <w:tc>
          <w:tcPr>
            <w:tcW w:type="dxa" w:w="3744"/>
          </w:tcPr>
          <w:p>
            <w:r>
              <w:rPr>
                <w:color w:val="333333"/>
                <w:sz w:val="19"/>
              </w:rPr>
              <w:t>Still estimate-only — WLS projection not applied</w:t>
            </w:r>
          </w:p>
        </w:tc>
        <w:tc>
          <w:tcPr>
            <w:tcW w:type="dxa" w:w="1728"/>
          </w:tcPr>
          <w:p>
            <w:r>
              <w:rPr>
                <w:color w:val="333333"/>
                <w:sz w:val="19"/>
              </w:rPr>
              <w:t>OPEN P1</w:t>
            </w:r>
          </w:p>
        </w:tc>
      </w:tr>
      <w:tr>
        <w:tc>
          <w:tcPr>
            <w:tcW w:type="dxa" w:w="2880"/>
          </w:tcPr>
          <w:p>
            <w:r>
              <w:rPr>
                <w:color w:val="333333"/>
                <w:sz w:val="19"/>
              </w:rPr>
              <w:t>Regional holiday features</w:t>
            </w:r>
          </w:p>
        </w:tc>
        <w:tc>
          <w:tcPr>
            <w:tcW w:type="dxa" w:w="2880"/>
          </w:tcPr>
          <w:p>
            <w:r>
              <w:rPr>
                <w:color w:val="333333"/>
                <w:sz w:val="19"/>
              </w:rPr>
              <w:t>US only</w:t>
            </w:r>
          </w:p>
        </w:tc>
        <w:tc>
          <w:tcPr>
            <w:tcW w:type="dxa" w:w="3744"/>
          </w:tcPr>
          <w:p>
            <w:r>
              <w:rPr>
                <w:color w:val="333333"/>
                <w:sz w:val="19"/>
              </w:rPr>
              <w:t>Still US only</w:t>
            </w:r>
          </w:p>
        </w:tc>
        <w:tc>
          <w:tcPr>
            <w:tcW w:type="dxa" w:w="1728"/>
          </w:tcPr>
          <w:p>
            <w:r>
              <w:rPr>
                <w:color w:val="333333"/>
                <w:sz w:val="19"/>
              </w:rPr>
              <w:t>OPEN P2</w:t>
            </w:r>
          </w:p>
        </w:tc>
      </w:tr>
      <w:tr>
        <w:tc>
          <w:tcPr>
            <w:tcW w:type="dxa" w:w="2880"/>
          </w:tcPr>
          <w:p>
            <w:r>
              <w:rPr>
                <w:color w:val="333333"/>
                <w:sz w:val="19"/>
              </w:rPr>
              <w:t>SHAP explainability</w:t>
            </w:r>
          </w:p>
        </w:tc>
        <w:tc>
          <w:tcPr>
            <w:tcW w:type="dxa" w:w="2880"/>
          </w:tcPr>
          <w:p>
            <w:r>
              <w:rPr>
                <w:color w:val="333333"/>
                <w:sz w:val="19"/>
              </w:rPr>
              <w:t>Absent</w:t>
            </w:r>
          </w:p>
        </w:tc>
        <w:tc>
          <w:tcPr>
            <w:tcW w:type="dxa" w:w="3744"/>
          </w:tcPr>
          <w:p>
            <w:r>
              <w:rPr>
                <w:color w:val="333333"/>
                <w:sz w:val="19"/>
              </w:rPr>
              <w:t>Still absent</w:t>
            </w:r>
          </w:p>
        </w:tc>
        <w:tc>
          <w:tcPr>
            <w:tcW w:type="dxa" w:w="1728"/>
          </w:tcPr>
          <w:p>
            <w:r>
              <w:rPr>
                <w:color w:val="333333"/>
                <w:sz w:val="19"/>
              </w:rPr>
              <w:t>OPEN P2</w:t>
            </w:r>
          </w:p>
        </w:tc>
      </w:tr>
    </w:tbl>
    <w:p/>
    <w:p>
      <w:r>
        <w:br w:type="page"/>
      </w:r>
    </w:p>
    <w:p>
      <w:pPr>
        <w:pStyle w:val="Heading1"/>
      </w:pPr>
      <w:r>
        <w:rPr>
          <w:b/>
          <w:color w:val="0047AB"/>
        </w:rPr>
        <w:t>Section 1: Notebook Architecture &amp; Structure</w:t>
      </w:r>
    </w:p>
    <w:p>
      <w:pPr>
        <w:spacing w:after="120"/>
      </w:pPr>
      <w:r>
        <w:rPr>
          <w:b w:val="0"/>
          <w:i w:val="0"/>
          <w:color w:val="333333"/>
          <w:sz w:val="21"/>
        </w:rPr>
        <w:t>V6 adds one cell (Cell 12, mc_actuals comparison) for 18 total. The linear pipeline is otherwise unchanged. Structural and operational improvements in V6 — dual Delta write, explicit leaky column documentation, authoritative mc_actuals join — make this the most production-mature version to date.</w:t>
      </w:r>
    </w:p>
    <w:tbl>
      <w:tblPr>
        <w:tblStyle w:val="TableGrid"/>
        <w:tblW w:type="auto" w:w="0"/>
        <w:tblLook w:firstColumn="1" w:firstRow="1" w:lastColumn="0" w:lastRow="0" w:noHBand="0" w:noVBand="1" w:val="04A0"/>
      </w:tblPr>
      <w:tblGrid>
        <w:gridCol w:w="2340"/>
        <w:gridCol w:w="2340"/>
        <w:gridCol w:w="2340"/>
        <w:gridCol w:w="2340"/>
      </w:tblGrid>
      <w:tr>
        <w:tc>
          <w:tcPr>
            <w:tcW w:type="dxa" w:w="576"/>
            <w:shd w:val="clear" w:color="auto" w:fill="0047AB"/>
          </w:tcPr>
          <w:p>
            <w:r>
              <w:rPr>
                <w:b/>
                <w:color w:val="FFFFFF"/>
                <w:sz w:val="20"/>
              </w:rPr>
              <w:t>Cell</w:t>
            </w:r>
          </w:p>
        </w:tc>
        <w:tc>
          <w:tcPr>
            <w:tcW w:type="dxa" w:w="1008"/>
            <w:shd w:val="clear" w:color="auto" w:fill="0047AB"/>
          </w:tcPr>
          <w:p>
            <w:r>
              <w:rPr>
                <w:b/>
                <w:color w:val="FFFFFF"/>
                <w:sz w:val="20"/>
              </w:rPr>
              <w:t>Step</w:t>
            </w:r>
          </w:p>
        </w:tc>
        <w:tc>
          <w:tcPr>
            <w:tcW w:type="dxa" w:w="3600"/>
            <w:shd w:val="clear" w:color="auto" w:fill="0047AB"/>
          </w:tcPr>
          <w:p>
            <w:r>
              <w:rPr>
                <w:b/>
                <w:color w:val="FFFFFF"/>
                <w:sz w:val="20"/>
              </w:rPr>
              <w:t>Purpose</w:t>
            </w:r>
          </w:p>
        </w:tc>
        <w:tc>
          <w:tcPr>
            <w:tcW w:type="dxa" w:w="3888"/>
            <w:shd w:val="clear" w:color="auto" w:fill="0047AB"/>
          </w:tcPr>
          <w:p>
            <w:r>
              <w:rPr>
                <w:b/>
                <w:color w:val="FFFFFF"/>
                <w:sz w:val="20"/>
              </w:rPr>
              <w:t>V6 Changes</w:t>
            </w:r>
          </w:p>
        </w:tc>
      </w:tr>
      <w:tr>
        <w:tc>
          <w:tcPr>
            <w:tcW w:type="dxa" w:w="576"/>
          </w:tcPr>
          <w:p>
            <w:r>
              <w:rPr>
                <w:color w:val="333333"/>
                <w:sz w:val="19"/>
              </w:rPr>
              <w:t>0</w:t>
            </w:r>
          </w:p>
        </w:tc>
        <w:tc>
          <w:tcPr>
            <w:tcW w:type="dxa" w:w="1008"/>
          </w:tcPr>
          <w:p>
            <w:r>
              <w:rPr>
                <w:color w:val="333333"/>
                <w:sz w:val="19"/>
              </w:rPr>
              <w:t>Config</w:t>
            </w:r>
          </w:p>
        </w:tc>
        <w:tc>
          <w:tcPr>
            <w:tcW w:type="dxa" w:w="3600"/>
          </w:tcPr>
          <w:p>
            <w:r>
              <w:rPr>
                <w:color w:val="333333"/>
                <w:sz w:val="19"/>
              </w:rPr>
              <w:t>Cluster libraries, imports</w:t>
            </w:r>
          </w:p>
        </w:tc>
        <w:tc>
          <w:tcPr>
            <w:tcW w:type="dxa" w:w="3888"/>
          </w:tcPr>
          <w:p>
            <w:r>
              <w:rPr>
                <w:color w:val="333333"/>
                <w:sz w:val="19"/>
              </w:rPr>
              <w:t>None</w:t>
            </w:r>
          </w:p>
        </w:tc>
      </w:tr>
      <w:tr>
        <w:tc>
          <w:tcPr>
            <w:tcW w:type="dxa" w:w="576"/>
          </w:tcPr>
          <w:p>
            <w:r>
              <w:rPr>
                <w:color w:val="333333"/>
                <w:sz w:val="19"/>
              </w:rPr>
              <w:t>1</w:t>
            </w:r>
          </w:p>
        </w:tc>
        <w:tc>
          <w:tcPr>
            <w:tcW w:type="dxa" w:w="1008"/>
          </w:tcPr>
          <w:p>
            <w:r>
              <w:rPr>
                <w:color w:val="333333"/>
                <w:sz w:val="19"/>
              </w:rPr>
              <w:t>Data load</w:t>
            </w:r>
          </w:p>
        </w:tc>
        <w:tc>
          <w:tcPr>
            <w:tcW w:type="dxa" w:w="3600"/>
          </w:tcPr>
          <w:p>
            <w:r>
              <w:rPr>
                <w:color w:val="333333"/>
                <w:sz w:val="19"/>
              </w:rPr>
              <w:t>cds_sfdc_opp_products_latest — Growth filter + aggregation</w:t>
            </w:r>
          </w:p>
        </w:tc>
        <w:tc>
          <w:tcPr>
            <w:tcW w:type="dxa" w:w="3888"/>
          </w:tcPr>
          <w:p>
            <w:r>
              <w:rPr>
                <w:color w:val="333333"/>
                <w:sz w:val="19"/>
              </w:rPr>
              <w:t>marketing_generated_pipeline, marketing_influenced_pipeline now pulled</w:t>
            </w:r>
          </w:p>
        </w:tc>
      </w:tr>
      <w:tr>
        <w:tc>
          <w:tcPr>
            <w:tcW w:type="dxa" w:w="576"/>
          </w:tcPr>
          <w:p>
            <w:r>
              <w:rPr>
                <w:color w:val="333333"/>
                <w:sz w:val="19"/>
              </w:rPr>
              <w:t>2</w:t>
            </w:r>
          </w:p>
        </w:tc>
        <w:tc>
          <w:tcPr>
            <w:tcW w:type="dxa" w:w="1008"/>
          </w:tcPr>
          <w:p>
            <w:r>
              <w:rPr>
                <w:color w:val="333333"/>
                <w:sz w:val="19"/>
              </w:rPr>
              <w:t>EDA</w:t>
            </w:r>
          </w:p>
        </w:tc>
        <w:tc>
          <w:tcPr>
            <w:tcW w:type="dxa" w:w="3600"/>
          </w:tcPr>
          <w:p>
            <w:r>
              <w:rPr>
                <w:color w:val="333333"/>
                <w:sz w:val="19"/>
              </w:rPr>
              <w:t>Weekly aggregation, polynomial trend, product/market breakdown</w:t>
            </w:r>
          </w:p>
        </w:tc>
        <w:tc>
          <w:tcPr>
            <w:tcW w:type="dxa" w:w="3888"/>
          </w:tcPr>
          <w:p>
            <w:r>
              <w:rPr>
                <w:color w:val="333333"/>
                <w:sz w:val="19"/>
              </w:rPr>
              <w:t>None</w:t>
            </w:r>
          </w:p>
        </w:tc>
      </w:tr>
      <w:tr>
        <w:tc>
          <w:tcPr>
            <w:tcW w:type="dxa" w:w="576"/>
          </w:tcPr>
          <w:p>
            <w:r>
              <w:rPr>
                <w:color w:val="333333"/>
                <w:sz w:val="19"/>
              </w:rPr>
              <w:t>3</w:t>
            </w:r>
          </w:p>
        </w:tc>
        <w:tc>
          <w:tcPr>
            <w:tcW w:type="dxa" w:w="1008"/>
          </w:tcPr>
          <w:p>
            <w:r>
              <w:rPr>
                <w:color w:val="333333"/>
                <w:sz w:val="19"/>
              </w:rPr>
              <w:t>Guardrails</w:t>
            </w:r>
          </w:p>
        </w:tc>
        <w:tc>
          <w:tcPr>
            <w:tcW w:type="dxa" w:w="3600"/>
          </w:tcPr>
          <w:p>
            <w:r>
              <w:rPr>
                <w:color w:val="333333"/>
                <w:sz w:val="19"/>
              </w:rPr>
              <w:t>BACKTEST_START, LEAKY_OR_UNUSABLE_COLS, SAFE_FEATURE_COLS</w:t>
            </w:r>
          </w:p>
        </w:tc>
        <w:tc>
          <w:tcPr>
            <w:tcW w:type="dxa" w:w="3888"/>
          </w:tcPr>
          <w:p>
            <w:r>
              <w:rPr>
                <w:color w:val="333333"/>
                <w:sz w:val="19"/>
              </w:rPr>
              <w:t>New explicit leaky column list with documented reasons</w:t>
            </w:r>
          </w:p>
        </w:tc>
      </w:tr>
      <w:tr>
        <w:tc>
          <w:tcPr>
            <w:tcW w:type="dxa" w:w="576"/>
          </w:tcPr>
          <w:p>
            <w:r>
              <w:rPr>
                <w:color w:val="333333"/>
                <w:sz w:val="19"/>
              </w:rPr>
              <w:t>4</w:t>
            </w:r>
          </w:p>
        </w:tc>
        <w:tc>
          <w:tcPr>
            <w:tcW w:type="dxa" w:w="1008"/>
          </w:tcPr>
          <w:p>
            <w:r>
              <w:rPr>
                <w:color w:val="333333"/>
                <w:sz w:val="19"/>
              </w:rPr>
              <w:t>CV Framework</w:t>
            </w:r>
          </w:p>
        </w:tc>
        <w:tc>
          <w:tcPr>
            <w:tcW w:type="dxa" w:w="3600"/>
          </w:tcPr>
          <w:p>
            <w:r>
              <w:rPr>
                <w:color w:val="333333"/>
                <w:sz w:val="19"/>
              </w:rPr>
              <w:t>Walk-forward folds, metrics, calendar helpers</w:t>
            </w:r>
          </w:p>
        </w:tc>
        <w:tc>
          <w:tcPr>
            <w:tcW w:type="dxa" w:w="3888"/>
          </w:tcPr>
          <w:p>
            <w:r>
              <w:rPr>
                <w:color w:val="333333"/>
                <w:sz w:val="19"/>
              </w:rPr>
              <w:t>None</w:t>
            </w:r>
          </w:p>
        </w:tc>
      </w:tr>
      <w:tr>
        <w:tc>
          <w:tcPr>
            <w:tcW w:type="dxa" w:w="576"/>
          </w:tcPr>
          <w:p>
            <w:r>
              <w:rPr>
                <w:color w:val="333333"/>
                <w:sz w:val="19"/>
              </w:rPr>
              <w:t>5</w:t>
            </w:r>
          </w:p>
        </w:tc>
        <w:tc>
          <w:tcPr>
            <w:tcW w:type="dxa" w:w="1008"/>
          </w:tcPr>
          <w:p>
            <w:r>
              <w:rPr>
                <w:color w:val="333333"/>
                <w:sz w:val="19"/>
              </w:rPr>
              <w:t>Benchmark Models</w:t>
            </w:r>
          </w:p>
        </w:tc>
        <w:tc>
          <w:tcPr>
            <w:tcW w:type="dxa" w:w="3600"/>
          </w:tcPr>
          <w:p>
            <w:r>
              <w:rPr>
                <w:color w:val="333333"/>
                <w:sz w:val="19"/>
              </w:rPr>
              <w:t>MSTL v2, ETS (mul+damped), Prophet trend+WoQ profile</w:t>
            </w:r>
          </w:p>
        </w:tc>
        <w:tc>
          <w:tcPr>
            <w:tcW w:type="dxa" w:w="3888"/>
          </w:tcPr>
          <w:p>
            <w:r>
              <w:rPr>
                <w:color w:val="333333"/>
                <w:sz w:val="19"/>
              </w:rPr>
              <w:t>ETS now multiplicative seasonal, damped trend, 104-week window</w:t>
            </w:r>
          </w:p>
        </w:tc>
      </w:tr>
      <w:tr>
        <w:tc>
          <w:tcPr>
            <w:tcW w:type="dxa" w:w="576"/>
          </w:tcPr>
          <w:p>
            <w:r>
              <w:rPr>
                <w:color w:val="333333"/>
                <w:sz w:val="19"/>
              </w:rPr>
              <w:t>6</w:t>
            </w:r>
          </w:p>
        </w:tc>
        <w:tc>
          <w:tcPr>
            <w:tcW w:type="dxa" w:w="1008"/>
          </w:tcPr>
          <w:p>
            <w:r>
              <w:rPr>
                <w:color w:val="333333"/>
                <w:sz w:val="19"/>
              </w:rPr>
              <w:t>Actual vs Forecast plot</w:t>
            </w:r>
          </w:p>
        </w:tc>
        <w:tc>
          <w:tcPr>
            <w:tcW w:type="dxa" w:w="3600"/>
          </w:tcPr>
          <w:p>
            <w:r>
              <w:rPr>
                <w:color w:val="333333"/>
                <w:sz w:val="19"/>
              </w:rPr>
              <w:t>Benchmark model CV results visualization</w:t>
            </w:r>
          </w:p>
        </w:tc>
        <w:tc>
          <w:tcPr>
            <w:tcW w:type="dxa" w:w="3888"/>
          </w:tcPr>
          <w:p>
            <w:r>
              <w:rPr>
                <w:color w:val="333333"/>
                <w:sz w:val="19"/>
              </w:rPr>
              <w:t>None</w:t>
            </w:r>
          </w:p>
        </w:tc>
      </w:tr>
      <w:tr>
        <w:tc>
          <w:tcPr>
            <w:tcW w:type="dxa" w:w="576"/>
          </w:tcPr>
          <w:p>
            <w:r>
              <w:rPr>
                <w:color w:val="333333"/>
                <w:sz w:val="19"/>
              </w:rPr>
              <w:t>7</w:t>
            </w:r>
          </w:p>
        </w:tc>
        <w:tc>
          <w:tcPr>
            <w:tcW w:type="dxa" w:w="1008"/>
          </w:tcPr>
          <w:p>
            <w:r>
              <w:rPr>
                <w:color w:val="333333"/>
                <w:sz w:val="19"/>
              </w:rPr>
              <w:t>Fold-by-fold plot</w:t>
            </w:r>
          </w:p>
        </w:tc>
        <w:tc>
          <w:tcPr>
            <w:tcW w:type="dxa" w:w="3600"/>
          </w:tcPr>
          <w:p>
            <w:r>
              <w:rPr>
                <w:color w:val="333333"/>
                <w:sz w:val="19"/>
              </w:rPr>
              <w:t>Per-fold CV visualization</w:t>
            </w:r>
          </w:p>
        </w:tc>
        <w:tc>
          <w:tcPr>
            <w:tcW w:type="dxa" w:w="3888"/>
          </w:tcPr>
          <w:p>
            <w:r>
              <w:rPr>
                <w:color w:val="333333"/>
                <w:sz w:val="19"/>
              </w:rPr>
              <w:t>None</w:t>
            </w:r>
          </w:p>
        </w:tc>
      </w:tr>
      <w:tr>
        <w:tc>
          <w:tcPr>
            <w:tcW w:type="dxa" w:w="576"/>
          </w:tcPr>
          <w:p>
            <w:r>
              <w:rPr>
                <w:color w:val="333333"/>
                <w:sz w:val="19"/>
              </w:rPr>
              <w:t>8</w:t>
            </w:r>
          </w:p>
        </w:tc>
        <w:tc>
          <w:tcPr>
            <w:tcW w:type="dxa" w:w="1008"/>
          </w:tcPr>
          <w:p>
            <w:r>
              <w:rPr>
                <w:color w:val="333333"/>
                <w:sz w:val="19"/>
              </w:rPr>
              <w:t>Quarterly compare</w:t>
            </w:r>
          </w:p>
        </w:tc>
        <w:tc>
          <w:tcPr>
            <w:tcW w:type="dxa" w:w="3600"/>
          </w:tcPr>
          <w:p>
            <w:r>
              <w:rPr>
                <w:color w:val="333333"/>
                <w:sz w:val="19"/>
              </w:rPr>
              <w:t>Quarter-level actual vs forecast</w:t>
            </w:r>
          </w:p>
        </w:tc>
        <w:tc>
          <w:tcPr>
            <w:tcW w:type="dxa" w:w="3888"/>
          </w:tcPr>
          <w:p>
            <w:r>
              <w:rPr>
                <w:color w:val="333333"/>
                <w:sz w:val="19"/>
              </w:rPr>
              <w:t>None</w:t>
            </w:r>
          </w:p>
        </w:tc>
      </w:tr>
      <w:tr>
        <w:tc>
          <w:tcPr>
            <w:tcW w:type="dxa" w:w="576"/>
          </w:tcPr>
          <w:p>
            <w:r>
              <w:rPr>
                <w:color w:val="333333"/>
                <w:sz w:val="19"/>
              </w:rPr>
              <w:t>9</w:t>
            </w:r>
          </w:p>
        </w:tc>
        <w:tc>
          <w:tcPr>
            <w:tcW w:type="dxa" w:w="1008"/>
          </w:tcPr>
          <w:p>
            <w:r>
              <w:rPr>
                <w:color w:val="333333"/>
                <w:sz w:val="19"/>
              </w:rPr>
              <w:t>Quarterly errors ranked</w:t>
            </w:r>
          </w:p>
        </w:tc>
        <w:tc>
          <w:tcPr>
            <w:tcW w:type="dxa" w:w="3600"/>
          </w:tcPr>
          <w:p>
            <w:r>
              <w:rPr>
                <w:color w:val="333333"/>
                <w:sz w:val="19"/>
              </w:rPr>
              <w:t>Error ranking by quarter</w:t>
            </w:r>
          </w:p>
        </w:tc>
        <w:tc>
          <w:tcPr>
            <w:tcW w:type="dxa" w:w="3888"/>
          </w:tcPr>
          <w:p>
            <w:r>
              <w:rPr>
                <w:color w:val="333333"/>
                <w:sz w:val="19"/>
              </w:rPr>
              <w:t>None</w:t>
            </w:r>
          </w:p>
        </w:tc>
      </w:tr>
      <w:tr>
        <w:tc>
          <w:tcPr>
            <w:tcW w:type="dxa" w:w="576"/>
          </w:tcPr>
          <w:p>
            <w:r>
              <w:rPr>
                <w:color w:val="333333"/>
                <w:sz w:val="19"/>
              </w:rPr>
              <w:t>10</w:t>
            </w:r>
          </w:p>
        </w:tc>
        <w:tc>
          <w:tcPr>
            <w:tcW w:type="dxa" w:w="1008"/>
          </w:tcPr>
          <w:p>
            <w:r>
              <w:rPr>
                <w:color w:val="333333"/>
                <w:sz w:val="19"/>
              </w:rPr>
              <w:t>DHR-ARIMA</w:t>
            </w:r>
          </w:p>
        </w:tc>
        <w:tc>
          <w:tcPr>
            <w:tcW w:type="dxa" w:w="3600"/>
          </w:tcPr>
          <w:p>
            <w:r>
              <w:rPr>
                <w:color w:val="333333"/>
                <w:sz w:val="19"/>
              </w:rPr>
              <w:t>AutoARIMA by market + Fourier regressors</w:t>
            </w:r>
          </w:p>
        </w:tc>
        <w:tc>
          <w:tcPr>
            <w:tcW w:type="dxa" w:w="3888"/>
          </w:tcPr>
          <w:p>
            <w:r>
              <w:rPr>
                <w:color w:val="333333"/>
                <w:sz w:val="19"/>
              </w:rPr>
              <w:t>None</w:t>
            </w:r>
          </w:p>
        </w:tc>
      </w:tr>
      <w:tr>
        <w:tc>
          <w:tcPr>
            <w:tcW w:type="dxa" w:w="576"/>
          </w:tcPr>
          <w:p>
            <w:r>
              <w:rPr>
                <w:color w:val="333333"/>
                <w:sz w:val="19"/>
              </w:rPr>
              <w:t>11</w:t>
            </w:r>
          </w:p>
        </w:tc>
        <w:tc>
          <w:tcPr>
            <w:tcW w:type="dxa" w:w="1008"/>
          </w:tcPr>
          <w:p>
            <w:r>
              <w:rPr>
                <w:color w:val="333333"/>
                <w:sz w:val="19"/>
              </w:rPr>
              <w:t>Global LGB</w:t>
            </w:r>
          </w:p>
        </w:tc>
        <w:tc>
          <w:tcPr>
            <w:tcW w:type="dxa" w:w="3600"/>
          </w:tcPr>
          <w:p>
            <w:r>
              <w:rPr>
                <w:color w:val="333333"/>
                <w:sz w:val="19"/>
              </w:rPr>
              <w:t>37-feature quantile LGB (P10/P50/P90) — UCC by market</w:t>
            </w:r>
          </w:p>
        </w:tc>
        <w:tc>
          <w:tcPr>
            <w:tcW w:type="dxa" w:w="3888"/>
          </w:tcPr>
          <w:p>
            <w:r>
              <w:rPr>
                <w:color w:val="333333"/>
                <w:sz w:val="19"/>
              </w:rPr>
              <w:t>mc_actuals_lag4, avg_opportunity_age added to GLOBAL_FEATURE_COLS</w:t>
            </w:r>
          </w:p>
        </w:tc>
      </w:tr>
      <w:tr>
        <w:tc>
          <w:tcPr>
            <w:tcW w:type="dxa" w:w="576"/>
          </w:tcPr>
          <w:p>
            <w:r>
              <w:rPr>
                <w:color w:val="333333"/>
                <w:sz w:val="19"/>
              </w:rPr>
              <w:t>12</w:t>
            </w:r>
          </w:p>
        </w:tc>
        <w:tc>
          <w:tcPr>
            <w:tcW w:type="dxa" w:w="1008"/>
          </w:tcPr>
          <w:p>
            <w:r>
              <w:rPr>
                <w:color w:val="333333"/>
                <w:sz w:val="19"/>
              </w:rPr>
              <w:t>MC actuals comparison</w:t>
            </w:r>
          </w:p>
        </w:tc>
        <w:tc>
          <w:tcPr>
            <w:tcW w:type="dxa" w:w="3600"/>
          </w:tcPr>
          <w:p>
            <w:r>
              <w:rPr>
                <w:color w:val="333333"/>
                <w:sz w:val="19"/>
              </w:rPr>
              <w:t>V5 proxy vs V6 authoritative mc_actuals WAPE delta</w:t>
            </w:r>
          </w:p>
        </w:tc>
        <w:tc>
          <w:tcPr>
            <w:tcW w:type="dxa" w:w="3888"/>
          </w:tcPr>
          <w:p>
            <w:r>
              <w:rPr>
                <w:color w:val="333333"/>
                <w:sz w:val="19"/>
              </w:rPr>
              <w:t>NEW CELL</w:t>
            </w:r>
          </w:p>
        </w:tc>
      </w:tr>
      <w:tr>
        <w:tc>
          <w:tcPr>
            <w:tcW w:type="dxa" w:w="576"/>
          </w:tcPr>
          <w:p>
            <w:r>
              <w:rPr>
                <w:color w:val="333333"/>
                <w:sz w:val="19"/>
              </w:rPr>
              <w:t>13</w:t>
            </w:r>
          </w:p>
        </w:tc>
        <w:tc>
          <w:tcPr>
            <w:tcW w:type="dxa" w:w="1008"/>
          </w:tcPr>
          <w:p>
            <w:r>
              <w:rPr>
                <w:color w:val="333333"/>
                <w:sz w:val="19"/>
              </w:rPr>
              <w:t>Quarterly audit</w:t>
            </w:r>
          </w:p>
        </w:tc>
        <w:tc>
          <w:tcPr>
            <w:tcW w:type="dxa" w:w="3600"/>
          </w:tcPr>
          <w:p>
            <w:r>
              <w:rPr>
                <w:color w:val="333333"/>
                <w:sz w:val="19"/>
              </w:rPr>
              <w:t>All model outputs cross-checked against quarterly actuals</w:t>
            </w:r>
          </w:p>
        </w:tc>
        <w:tc>
          <w:tcPr>
            <w:tcW w:type="dxa" w:w="3888"/>
          </w:tcPr>
          <w:p>
            <w:r>
              <w:rPr>
                <w:color w:val="333333"/>
                <w:sz w:val="19"/>
              </w:rPr>
              <w:t>None</w:t>
            </w:r>
          </w:p>
        </w:tc>
      </w:tr>
      <w:tr>
        <w:tc>
          <w:tcPr>
            <w:tcW w:type="dxa" w:w="576"/>
          </w:tcPr>
          <w:p>
            <w:r>
              <w:rPr>
                <w:color w:val="333333"/>
                <w:sz w:val="19"/>
              </w:rPr>
              <w:t>14</w:t>
            </w:r>
          </w:p>
        </w:tc>
        <w:tc>
          <w:tcPr>
            <w:tcW w:type="dxa" w:w="1008"/>
          </w:tcPr>
          <w:p>
            <w:r>
              <w:rPr>
                <w:color w:val="333333"/>
                <w:sz w:val="19"/>
              </w:rPr>
              <w:t>Ensemble helpers</w:t>
            </w:r>
          </w:p>
        </w:tc>
        <w:tc>
          <w:tcPr>
            <w:tcW w:type="dxa" w:w="3600"/>
          </w:tcPr>
          <w:p>
            <w:r>
              <w:rPr>
                <w:color w:val="333333"/>
                <w:sz w:val="19"/>
              </w:rPr>
              <w:t>GR weights, MinT covariances, interval calibration</w:t>
            </w:r>
          </w:p>
        </w:tc>
        <w:tc>
          <w:tcPr>
            <w:tcW w:type="dxa" w:w="3888"/>
          </w:tcPr>
          <w:p>
            <w:r>
              <w:rPr>
                <w:color w:val="333333"/>
                <w:sz w:val="19"/>
              </w:rPr>
              <w:t>None</w:t>
            </w:r>
          </w:p>
        </w:tc>
      </w:tr>
      <w:tr>
        <w:tc>
          <w:tcPr>
            <w:tcW w:type="dxa" w:w="576"/>
          </w:tcPr>
          <w:p>
            <w:r>
              <w:rPr>
                <w:color w:val="333333"/>
                <w:sz w:val="19"/>
              </w:rPr>
              <w:t>15</w:t>
            </w:r>
          </w:p>
        </w:tc>
        <w:tc>
          <w:tcPr>
            <w:tcW w:type="dxa" w:w="1008"/>
          </w:tcPr>
          <w:p>
            <w:r>
              <w:rPr>
                <w:color w:val="333333"/>
                <w:sz w:val="19"/>
              </w:rPr>
              <w:t>Production</w:t>
            </w:r>
          </w:p>
        </w:tc>
        <w:tc>
          <w:tcPr>
            <w:tcW w:type="dxa" w:w="3600"/>
          </w:tcPr>
          <w:p>
            <w:r>
              <w:rPr>
                <w:color w:val="333333"/>
                <w:sz w:val="19"/>
              </w:rPr>
              <w:t>Forward 27-week + dual Delta write (v5 + v4)</w:t>
            </w:r>
          </w:p>
        </w:tc>
        <w:tc>
          <w:tcPr>
            <w:tcW w:type="dxa" w:w="3888"/>
          </w:tcPr>
          <w:p>
            <w:r>
              <w:rPr>
                <w:color w:val="333333"/>
                <w:sz w:val="19"/>
              </w:rPr>
              <w:t>Dual write loop; load_authoritative_mc_actuals in future source</w:t>
            </w:r>
          </w:p>
        </w:tc>
      </w:tr>
      <w:tr>
        <w:tc>
          <w:tcPr>
            <w:tcW w:type="dxa" w:w="576"/>
          </w:tcPr>
          <w:p>
            <w:r>
              <w:rPr>
                <w:color w:val="333333"/>
                <w:sz w:val="19"/>
              </w:rPr>
              <w:t>16</w:t>
            </w:r>
          </w:p>
        </w:tc>
        <w:tc>
          <w:tcPr>
            <w:tcW w:type="dxa" w:w="1008"/>
          </w:tcPr>
          <w:p>
            <w:r>
              <w:rPr>
                <w:color w:val="333333"/>
                <w:sz w:val="19"/>
              </w:rPr>
              <w:t>Executive summary</w:t>
            </w:r>
          </w:p>
        </w:tc>
        <w:tc>
          <w:tcPr>
            <w:tcW w:type="dxa" w:w="3600"/>
          </w:tcPr>
          <w:p>
            <w:r>
              <w:rPr>
                <w:color w:val="333333"/>
                <w:sz w:val="19"/>
              </w:rPr>
              <w:t>Retained model summary table</w:t>
            </w:r>
          </w:p>
        </w:tc>
        <w:tc>
          <w:tcPr>
            <w:tcW w:type="dxa" w:w="3888"/>
          </w:tcPr>
          <w:p>
            <w:r>
              <w:rPr>
                <w:color w:val="333333"/>
                <w:sz w:val="19"/>
              </w:rPr>
              <w:t>None</w:t>
            </w:r>
          </w:p>
        </w:tc>
      </w:tr>
      <w:tr>
        <w:tc>
          <w:tcPr>
            <w:tcW w:type="dxa" w:w="576"/>
          </w:tcPr>
          <w:p>
            <w:r>
              <w:rPr>
                <w:color w:val="333333"/>
                <w:sz w:val="19"/>
              </w:rPr>
              <w:t>17</w:t>
            </w:r>
          </w:p>
        </w:tc>
        <w:tc>
          <w:tcPr>
            <w:tcW w:type="dxa" w:w="1008"/>
          </w:tcPr>
          <w:p>
            <w:r>
              <w:rPr>
                <w:color w:val="333333"/>
                <w:sz w:val="19"/>
              </w:rPr>
              <w:t>Monitoring baseline</w:t>
            </w:r>
          </w:p>
        </w:tc>
        <w:tc>
          <w:tcPr>
            <w:tcW w:type="dxa" w:w="3600"/>
          </w:tcPr>
          <w:p>
            <w:r>
              <w:rPr>
                <w:color w:val="333333"/>
                <w:sz w:val="19"/>
              </w:rPr>
              <w:t>WAPE alert thresholds per model</w:t>
            </w:r>
          </w:p>
        </w:tc>
        <w:tc>
          <w:tcPr>
            <w:tcW w:type="dxa" w:w="3888"/>
          </w:tcPr>
          <w:p>
            <w:r>
              <w:rPr>
                <w:color w:val="333333"/>
                <w:sz w:val="19"/>
              </w:rPr>
              <w:t>None</w:t>
            </w:r>
          </w:p>
        </w:tc>
      </w:tr>
    </w:tbl>
    <w:p/>
    <w:p>
      <w:pPr>
        <w:pStyle w:val="Heading2"/>
      </w:pPr>
      <w:r>
        <w:rPr>
          <w:b/>
          <w:color w:val="0047AB"/>
        </w:rPr>
        <w:t>Architecture Scorecard</w:t>
      </w:r>
    </w:p>
    <w:tbl>
      <w:tblPr>
        <w:tblStyle w:val="TableGrid"/>
        <w:tblW w:type="auto" w:w="0"/>
        <w:tblLook w:firstColumn="1" w:firstRow="1" w:lastColumn="0" w:lastRow="0" w:noHBand="0" w:noVBand="1" w:val="04A0"/>
      </w:tblPr>
      <w:tblGrid>
        <w:gridCol w:w="2340"/>
        <w:gridCol w:w="2340"/>
        <w:gridCol w:w="2340"/>
        <w:gridCol w:w="2340"/>
      </w:tblGrid>
      <w:tr>
        <w:tc>
          <w:tcPr>
            <w:tcW w:type="dxa" w:w="3600"/>
            <w:shd w:val="clear" w:color="auto" w:fill="0047AB"/>
          </w:tcPr>
          <w:p>
            <w:r>
              <w:rPr>
                <w:b/>
                <w:color w:val="FFFFFF"/>
                <w:sz w:val="20"/>
              </w:rPr>
              <w:t>Dimension</w:t>
            </w:r>
          </w:p>
        </w:tc>
        <w:tc>
          <w:tcPr>
            <w:tcW w:type="dxa" w:w="1152"/>
            <w:shd w:val="clear" w:color="auto" w:fill="0047AB"/>
          </w:tcPr>
          <w:p>
            <w:r>
              <w:rPr>
                <w:b/>
                <w:color w:val="FFFFFF"/>
                <w:sz w:val="20"/>
              </w:rPr>
              <w:t>V5 Score</w:t>
            </w:r>
          </w:p>
        </w:tc>
        <w:tc>
          <w:tcPr>
            <w:tcW w:type="dxa" w:w="1152"/>
            <w:shd w:val="clear" w:color="auto" w:fill="0047AB"/>
          </w:tcPr>
          <w:p>
            <w:r>
              <w:rPr>
                <w:b/>
                <w:color w:val="FFFFFF"/>
                <w:sz w:val="20"/>
              </w:rPr>
              <w:t>V6 Score</w:t>
            </w:r>
          </w:p>
        </w:tc>
        <w:tc>
          <w:tcPr>
            <w:tcW w:type="dxa" w:w="4176"/>
            <w:shd w:val="clear" w:color="auto" w:fill="0047AB"/>
          </w:tcPr>
          <w:p>
            <w:r>
              <w:rPr>
                <w:b/>
                <w:color w:val="FFFFFF"/>
                <w:sz w:val="20"/>
              </w:rPr>
              <w:t>Notes</w:t>
            </w:r>
          </w:p>
        </w:tc>
      </w:tr>
      <w:tr>
        <w:tc>
          <w:tcPr>
            <w:tcW w:type="dxa" w:w="3600"/>
          </w:tcPr>
          <w:p>
            <w:r>
              <w:rPr>
                <w:color w:val="333333"/>
                <w:sz w:val="19"/>
              </w:rPr>
              <w:t>Walk-forward CV</w:t>
            </w:r>
          </w:p>
        </w:tc>
        <w:tc>
          <w:tcPr>
            <w:tcW w:type="dxa" w:w="1152"/>
          </w:tcPr>
          <w:p>
            <w:r>
              <w:rPr>
                <w:color w:val="333333"/>
                <w:sz w:val="19"/>
              </w:rPr>
              <w:t>9/10</w:t>
            </w:r>
          </w:p>
        </w:tc>
        <w:tc>
          <w:tcPr>
            <w:tcW w:type="dxa" w:w="1152"/>
          </w:tcPr>
          <w:p>
            <w:r>
              <w:rPr>
                <w:color w:val="333333"/>
                <w:sz w:val="19"/>
              </w:rPr>
              <w:t>9/10</w:t>
            </w:r>
          </w:p>
        </w:tc>
        <w:tc>
          <w:tcPr>
            <w:tcW w:type="dxa" w:w="4176"/>
          </w:tcPr>
          <w:p>
            <w:r>
              <w:rPr>
                <w:color w:val="333333"/>
                <w:sz w:val="19"/>
              </w:rPr>
              <w:t>8 folds x 13-week horizon — unchanged</w:t>
            </w:r>
          </w:p>
        </w:tc>
      </w:tr>
      <w:tr>
        <w:tc>
          <w:tcPr>
            <w:tcW w:type="dxa" w:w="3600"/>
          </w:tcPr>
          <w:p>
            <w:r>
              <w:rPr>
                <w:color w:val="333333"/>
                <w:sz w:val="19"/>
              </w:rPr>
              <w:t>Production persistence</w:t>
            </w:r>
          </w:p>
        </w:tc>
        <w:tc>
          <w:tcPr>
            <w:tcW w:type="dxa" w:w="1152"/>
          </w:tcPr>
          <w:p>
            <w:r>
              <w:rPr>
                <w:color w:val="333333"/>
                <w:sz w:val="19"/>
              </w:rPr>
              <w:t>9/10</w:t>
            </w:r>
          </w:p>
        </w:tc>
        <w:tc>
          <w:tcPr>
            <w:tcW w:type="dxa" w:w="1152"/>
          </w:tcPr>
          <w:p>
            <w:r>
              <w:rPr>
                <w:color w:val="333333"/>
                <w:sz w:val="19"/>
              </w:rPr>
              <w:t>10/10</w:t>
            </w:r>
          </w:p>
        </w:tc>
        <w:tc>
          <w:tcPr>
            <w:tcW w:type="dxa" w:w="4176"/>
          </w:tcPr>
          <w:p>
            <w:r>
              <w:rPr>
                <w:color w:val="333333"/>
                <w:sz w:val="19"/>
              </w:rPr>
              <w:t>Dual write (v5 + v4 legacy); versioned table naming fixed</w:t>
            </w:r>
          </w:p>
        </w:tc>
      </w:tr>
      <w:tr>
        <w:tc>
          <w:tcPr>
            <w:tcW w:type="dxa" w:w="3600"/>
          </w:tcPr>
          <w:p>
            <w:r>
              <w:rPr>
                <w:color w:val="333333"/>
                <w:sz w:val="19"/>
              </w:rPr>
              <w:t>Uncertainty quantification</w:t>
            </w:r>
          </w:p>
        </w:tc>
        <w:tc>
          <w:tcPr>
            <w:tcW w:type="dxa" w:w="1152"/>
          </w:tcPr>
          <w:p>
            <w:r>
              <w:rPr>
                <w:color w:val="333333"/>
                <w:sz w:val="19"/>
              </w:rPr>
              <w:t>7/10</w:t>
            </w:r>
          </w:p>
        </w:tc>
        <w:tc>
          <w:tcPr>
            <w:tcW w:type="dxa" w:w="1152"/>
          </w:tcPr>
          <w:p>
            <w:r>
              <w:rPr>
                <w:color w:val="333333"/>
                <w:sz w:val="19"/>
              </w:rPr>
              <w:t>7/10</w:t>
            </w:r>
          </w:p>
        </w:tc>
        <w:tc>
          <w:tcPr>
            <w:tcW w:type="dxa" w:w="4176"/>
          </w:tcPr>
          <w:p>
            <w:r>
              <w:rPr>
                <w:color w:val="333333"/>
                <w:sz w:val="19"/>
              </w:rPr>
              <w:t>LGB P10/P90 + ensemble calibrated CI; DHR/MSTL/ETS/Prophet still NaN</w:t>
            </w:r>
          </w:p>
        </w:tc>
      </w:tr>
      <w:tr>
        <w:tc>
          <w:tcPr>
            <w:tcW w:type="dxa" w:w="3600"/>
          </w:tcPr>
          <w:p>
            <w:r>
              <w:rPr>
                <w:color w:val="333333"/>
                <w:sz w:val="19"/>
              </w:rPr>
              <w:t>Experiment tracking</w:t>
            </w:r>
          </w:p>
        </w:tc>
        <w:tc>
          <w:tcPr>
            <w:tcW w:type="dxa" w:w="1152"/>
          </w:tcPr>
          <w:p>
            <w:r>
              <w:rPr>
                <w:color w:val="333333"/>
                <w:sz w:val="19"/>
              </w:rPr>
              <w:t>8/10</w:t>
            </w:r>
          </w:p>
        </w:tc>
        <w:tc>
          <w:tcPr>
            <w:tcW w:type="dxa" w:w="1152"/>
          </w:tcPr>
          <w:p>
            <w:r>
              <w:rPr>
                <w:color w:val="333333"/>
                <w:sz w:val="19"/>
              </w:rPr>
              <w:t>8/10</w:t>
            </w:r>
          </w:p>
        </w:tc>
        <w:tc>
          <w:tcPr>
            <w:tcW w:type="dxa" w:w="4176"/>
          </w:tcPr>
          <w:p>
            <w:r>
              <w:rPr>
                <w:color w:val="333333"/>
                <w:sz w:val="19"/>
              </w:rPr>
              <w:t>MLflow per-model; no feature distribution logging</w:t>
            </w:r>
          </w:p>
        </w:tc>
      </w:tr>
      <w:tr>
        <w:tc>
          <w:tcPr>
            <w:tcW w:type="dxa" w:w="3600"/>
          </w:tcPr>
          <w:p>
            <w:r>
              <w:rPr>
                <w:color w:val="333333"/>
                <w:sz w:val="19"/>
              </w:rPr>
              <w:t>Hierarchical consistency</w:t>
            </w:r>
          </w:p>
        </w:tc>
        <w:tc>
          <w:tcPr>
            <w:tcW w:type="dxa" w:w="1152"/>
          </w:tcPr>
          <w:p>
            <w:r>
              <w:rPr>
                <w:color w:val="333333"/>
                <w:sz w:val="19"/>
              </w:rPr>
              <w:t>6/10</w:t>
            </w:r>
          </w:p>
        </w:tc>
        <w:tc>
          <w:tcPr>
            <w:tcW w:type="dxa" w:w="1152"/>
          </w:tcPr>
          <w:p>
            <w:r>
              <w:rPr>
                <w:color w:val="333333"/>
                <w:sz w:val="19"/>
              </w:rPr>
              <w:t>6/10</w:t>
            </w:r>
          </w:p>
        </w:tc>
        <w:tc>
          <w:tcPr>
            <w:tcW w:type="dxa" w:w="4176"/>
          </w:tcPr>
          <w:p>
            <w:r>
              <w:rPr>
                <w:color w:val="333333"/>
                <w:sz w:val="19"/>
              </w:rPr>
              <w:t>MinT estimate only; WLS projection still missing</w:t>
            </w:r>
          </w:p>
        </w:tc>
      </w:tr>
      <w:tr>
        <w:tc>
          <w:tcPr>
            <w:tcW w:type="dxa" w:w="3600"/>
          </w:tcPr>
          <w:p>
            <w:r>
              <w:rPr>
                <w:color w:val="333333"/>
                <w:sz w:val="19"/>
              </w:rPr>
              <w:t>Feature engineering rigor</w:t>
            </w:r>
          </w:p>
        </w:tc>
        <w:tc>
          <w:tcPr>
            <w:tcW w:type="dxa" w:w="1152"/>
          </w:tcPr>
          <w:p>
            <w:r>
              <w:rPr>
                <w:color w:val="333333"/>
                <w:sz w:val="19"/>
              </w:rPr>
              <w:t>8/10</w:t>
            </w:r>
          </w:p>
        </w:tc>
        <w:tc>
          <w:tcPr>
            <w:tcW w:type="dxa" w:w="1152"/>
          </w:tcPr>
          <w:p>
            <w:r>
              <w:rPr>
                <w:color w:val="333333"/>
                <w:sz w:val="19"/>
              </w:rPr>
              <w:t>9/10</w:t>
            </w:r>
          </w:p>
        </w:tc>
        <w:tc>
          <w:tcPr>
            <w:tcW w:type="dxa" w:w="4176"/>
          </w:tcPr>
          <w:p>
            <w:r>
              <w:rPr>
                <w:color w:val="333333"/>
                <w:sz w:val="19"/>
              </w:rPr>
              <w:t>mc_actuals_lag4 from authoritative source; avg_opportunity_age promoted</w:t>
            </w:r>
          </w:p>
        </w:tc>
      </w:tr>
      <w:tr>
        <w:tc>
          <w:tcPr>
            <w:tcW w:type="dxa" w:w="3600"/>
          </w:tcPr>
          <w:p>
            <w:r>
              <w:rPr>
                <w:color w:val="333333"/>
                <w:sz w:val="19"/>
              </w:rPr>
              <w:t>Data leakage safeguards</w:t>
            </w:r>
          </w:p>
        </w:tc>
        <w:tc>
          <w:tcPr>
            <w:tcW w:type="dxa" w:w="1152"/>
          </w:tcPr>
          <w:p>
            <w:r>
              <w:rPr>
                <w:color w:val="333333"/>
                <w:sz w:val="19"/>
              </w:rPr>
              <w:t>7/10</w:t>
            </w:r>
          </w:p>
        </w:tc>
        <w:tc>
          <w:tcPr>
            <w:tcW w:type="dxa" w:w="1152"/>
          </w:tcPr>
          <w:p>
            <w:r>
              <w:rPr>
                <w:color w:val="333333"/>
                <w:sz w:val="19"/>
              </w:rPr>
              <w:t>9/10</w:t>
            </w:r>
          </w:p>
        </w:tc>
        <w:tc>
          <w:tcPr>
            <w:tcW w:type="dxa" w:w="4176"/>
          </w:tcPr>
          <w:p>
            <w:r>
              <w:rPr>
                <w:color w:val="333333"/>
                <w:sz w:val="19"/>
              </w:rPr>
              <w:t>Explicit LEAKY_OR_UNUSABLE_COLS with documented reasons</w:t>
            </w:r>
          </w:p>
        </w:tc>
      </w:tr>
      <w:tr>
        <w:tc>
          <w:tcPr>
            <w:tcW w:type="dxa" w:w="3600"/>
          </w:tcPr>
          <w:p>
            <w:r>
              <w:rPr>
                <w:color w:val="333333"/>
                <w:sz w:val="19"/>
              </w:rPr>
              <w:t>Code modularity</w:t>
            </w:r>
          </w:p>
        </w:tc>
        <w:tc>
          <w:tcPr>
            <w:tcW w:type="dxa" w:w="1152"/>
          </w:tcPr>
          <w:p>
            <w:r>
              <w:rPr>
                <w:color w:val="333333"/>
                <w:sz w:val="19"/>
              </w:rPr>
              <w:t>7/10</w:t>
            </w:r>
          </w:p>
        </w:tc>
        <w:tc>
          <w:tcPr>
            <w:tcW w:type="dxa" w:w="1152"/>
          </w:tcPr>
          <w:p>
            <w:r>
              <w:rPr>
                <w:color w:val="333333"/>
                <w:sz w:val="19"/>
              </w:rPr>
              <w:t>8/10</w:t>
            </w:r>
          </w:p>
        </w:tc>
        <w:tc>
          <w:tcPr>
            <w:tcW w:type="dxa" w:w="4176"/>
          </w:tcPr>
          <w:p>
            <w:r>
              <w:rPr>
                <w:color w:val="333333"/>
                <w:sz w:val="19"/>
              </w:rPr>
              <w:t>load_authoritative_mc_actuals() and merge_authoritative_mc_actuals() cleanly separated</w:t>
            </w:r>
          </w:p>
        </w:tc>
      </w:tr>
      <w:tr>
        <w:tc>
          <w:tcPr>
            <w:tcW w:type="dxa" w:w="3600"/>
          </w:tcPr>
          <w:p>
            <w:r>
              <w:rPr>
                <w:color w:val="333333"/>
                <w:sz w:val="19"/>
              </w:rPr>
              <w:t>Monitoring &amp; alerting</w:t>
            </w:r>
          </w:p>
        </w:tc>
        <w:tc>
          <w:tcPr>
            <w:tcW w:type="dxa" w:w="1152"/>
          </w:tcPr>
          <w:p>
            <w:r>
              <w:rPr>
                <w:color w:val="333333"/>
                <w:sz w:val="19"/>
              </w:rPr>
              <w:t>8/10</w:t>
            </w:r>
          </w:p>
        </w:tc>
        <w:tc>
          <w:tcPr>
            <w:tcW w:type="dxa" w:w="1152"/>
          </w:tcPr>
          <w:p>
            <w:r>
              <w:rPr>
                <w:color w:val="333333"/>
                <w:sz w:val="19"/>
              </w:rPr>
              <w:t>8/10</w:t>
            </w:r>
          </w:p>
        </w:tc>
        <w:tc>
          <w:tcPr>
            <w:tcW w:type="dxa" w:w="4176"/>
          </w:tcPr>
          <w:p>
            <w:r>
              <w:rPr>
                <w:color w:val="333333"/>
                <w:sz w:val="19"/>
              </w:rPr>
              <w:t>cv_wape*1.5 thresholds — not yet persisted</w:t>
            </w:r>
          </w:p>
        </w:tc>
      </w:tr>
      <w:tr>
        <w:tc>
          <w:tcPr>
            <w:tcW w:type="dxa" w:w="3600"/>
          </w:tcPr>
          <w:p>
            <w:r>
              <w:rPr>
                <w:color w:val="333333"/>
                <w:sz w:val="19"/>
              </w:rPr>
              <w:t>OVERALL</w:t>
            </w:r>
          </w:p>
        </w:tc>
        <w:tc>
          <w:tcPr>
            <w:tcW w:type="dxa" w:w="1152"/>
          </w:tcPr>
          <w:p>
            <w:r>
              <w:rPr>
                <w:color w:val="333333"/>
                <w:sz w:val="19"/>
              </w:rPr>
              <w:t>77/100</w:t>
            </w:r>
          </w:p>
        </w:tc>
        <w:tc>
          <w:tcPr>
            <w:tcW w:type="dxa" w:w="1152"/>
          </w:tcPr>
          <w:p>
            <w:r>
              <w:rPr>
                <w:color w:val="333333"/>
                <w:sz w:val="19"/>
              </w:rPr>
              <w:t>84/100</w:t>
            </w:r>
          </w:p>
        </w:tc>
        <w:tc>
          <w:tcPr>
            <w:tcW w:type="dxa" w:w="4176"/>
          </w:tcPr>
          <w:p>
            <w:r>
              <w:rPr>
                <w:color w:val="333333"/>
                <w:sz w:val="19"/>
              </w:rPr>
              <w:t>+7 pts from dual write, authoritative mc_actuals, ETS improvement, leaky col docs</w:t>
            </w:r>
          </w:p>
        </w:tc>
      </w:tr>
    </w:tbl>
    <w:p/>
    <w:p>
      <w:r>
        <w:br w:type="page"/>
      </w:r>
    </w:p>
    <w:p>
      <w:pPr>
        <w:pStyle w:val="Heading1"/>
      </w:pPr>
      <w:r>
        <w:rPr>
          <w:b/>
          <w:color w:val="0047AB"/>
        </w:rPr>
        <w:t>Section 2: Model Review — All 5 Production Models</w:t>
      </w:r>
    </w:p>
    <w:p>
      <w:pPr>
        <w:pStyle w:val="Heading2"/>
      </w:pPr>
      <w:r>
        <w:rPr>
          <w:b/>
          <w:color w:val="0047AB"/>
        </w:rPr>
        <w:t>2.1 MSTL v2 — Unchanged</w:t>
      </w:r>
    </w:p>
    <w:p>
      <w:pPr>
        <w:spacing w:after="120"/>
      </w:pPr>
      <w:r>
        <w:rPr>
          <w:b w:val="0"/>
          <w:i w:val="0"/>
          <w:color w:val="333333"/>
          <w:sz w:val="21"/>
        </w:rPr>
        <w:t>Multi-seasonal decomposition via STL with season_length=[4,13,52]. Captures monthly (4-week), quarterly (13-week), and annual (52-week) cycles simultaneously. Trend forecasted via AutoETS(ZZN — no seasonal component, letting MSTL handle seasonality). Robust to heteroscedastic residuals. No exogenous features. Strength: best multi-scale seasonality capture of the classical models. Weakness: zero leading indicator integration; assumes additive decomposition which may underfit during high-ARR-growth regimes.</w:t>
      </w:r>
    </w:p>
    <w:p>
      <w:pPr>
        <w:pStyle w:val="Heading2"/>
      </w:pPr>
      <w:r>
        <w:rPr>
          <w:b/>
          <w:color w:val="0047AB"/>
        </w:rPr>
        <w:t>2.2 ETS — Improved in V6</w:t>
      </w:r>
    </w:p>
    <w:p>
      <w:pPr>
        <w:spacing w:after="120"/>
      </w:pPr>
      <w:r>
        <w:rPr>
          <w:b w:val="0"/>
          <w:i w:val="0"/>
          <w:color w:val="333333"/>
          <w:sz w:val="21"/>
        </w:rPr>
        <w:t>V6 switches from additive to multiplicative seasonal: ExponentialSmoothing(trend="add", damped_trend=True, seasonal="mul", seasonal_periods=52). This is the correct specification for ARR time series: seasonal amplitude tends to scale proportionally with the level (multiplicative), not stay constant (additive). Damped trend reduces over-extrapolation in the 27-week production horizon. Window: last 104 weeks to prevent early-history contamination. V5 used additive seasonal — this is a meaningful accuracy improvement for growing ARR series.</w:t>
      </w:r>
    </w:p>
    <w:p>
      <w:pPr>
        <w:pStyle w:val="Heading2"/>
      </w:pPr>
      <w:r>
        <w:rPr>
          <w:b/>
          <w:color w:val="0047AB"/>
        </w:rPr>
        <w:t>2.3 Prophet (Trend + WoQ Profile) — Unchanged</w:t>
      </w:r>
    </w:p>
    <w:p>
      <w:pPr>
        <w:spacing w:after="120"/>
      </w:pPr>
      <w:r>
        <w:rPr>
          <w:b w:val="0"/>
          <w:i w:val="0"/>
          <w:color w:val="333333"/>
          <w:sz w:val="21"/>
        </w:rPr>
        <w:t>Trend-only Prophet with changepoint_prior_scale=0.08, changepoint_range=0.85, n_changepoints=min(8, len//20). No Facebook seasonal components — instead a week-of-quarter empirical profile (compute_woq_seasonal_profile) is applied post-hoc as a multiplicative factor. CRITICAL READ-ONLY CONSTRAINT: forecast_prophet table is read-only — no writes permitted. P10/P90 = NaN in production. Risk: WoQ profile is derived from training data and is static — a shift in GoTo sales cadence (monthly quota, rep territory change) would require an explicit profile recomputation trigger.</w:t>
      </w:r>
    </w:p>
    <w:p>
      <w:pPr>
        <w:pStyle w:val="Heading2"/>
      </w:pPr>
      <w:r>
        <w:rPr>
          <w:b/>
          <w:color w:val="0047AB"/>
        </w:rPr>
        <w:t>2.4 DHR-ARIMA by Market — Unchanged</w:t>
      </w:r>
    </w:p>
    <w:p>
      <w:pPr>
        <w:spacing w:after="120"/>
      </w:pPr>
      <w:r>
        <w:rPr>
          <w:b w:val="0"/>
          <w:i w:val="0"/>
          <w:color w:val="333333"/>
          <w:sz w:val="21"/>
        </w:rPr>
        <w:t>AutoARIMA with dynamic harmonic regression regressors per sales_market. Fourier specs: q13 (K=2, period=13) + y52 (K=2, period=52). Exogenous regressors: created_lag4, headcount_lag4, win_rate_by_woq, pipeline_velocity_lag4, quarter_end_flag, us_holiday_binary. Fit independently for APAC, EMEA, LATAM, NA, Unknown. P10/P90 = NaN in production output. Strength: market-specific trend + seasonality; most feature-rich of the classical models. Weakness: LATAM and Unknown markets have sparse training data — AutoARIMA may select degenerate orders for low-ARR slices.</w:t>
      </w:r>
    </w:p>
    <w:p>
      <w:pPr>
        <w:pStyle w:val="Heading2"/>
      </w:pPr>
      <w:r>
        <w:rPr>
          <w:b/>
          <w:color w:val="0047AB"/>
        </w:rPr>
        <w:t>2.5 Global LGB Quantile — Significantly Enhanced in V6</w:t>
      </w:r>
    </w:p>
    <w:p>
      <w:pPr>
        <w:spacing w:after="120"/>
      </w:pPr>
      <w:r>
        <w:rPr>
          <w:b w:val="0"/>
          <w:i w:val="0"/>
          <w:color w:val="333333"/>
          <w:sz w:val="21"/>
        </w:rPr>
        <w:t>Three independent LightGBM models (P10/P50/P90) trained on 37 GLOBAL_FEATURE_COLS across all UCC market slices. Key V6 additions:</w:t>
      </w:r>
    </w:p>
    <w:p>
      <w:pPr>
        <w:pStyle w:val="ListBullet"/>
        <w:ind w:left="504"/>
      </w:pPr>
      <w:r>
        <w:rPr>
          <w:color w:val="333333"/>
          <w:sz w:val="20"/>
        </w:rPr>
        <w:t>mc_actuals_lag4: authoritative Magna Carta actuals lagged 4 weeks. This replaces the proxy-based magna_carta_actuals scalar from forecast_prophet with a true join to datagroup.uc_forecast.actuals. Cell 12 shows V5 proxy cv_wape=30.038 holdout_wape=22.488 — V6 should show improvement.</w:t>
      </w:r>
    </w:p>
    <w:p>
      <w:pPr>
        <w:pStyle w:val="ListBullet"/>
        <w:ind w:left="504"/>
      </w:pPr>
      <w:r>
        <w:rPr>
          <w:color w:val="333333"/>
          <w:sz w:val="20"/>
        </w:rPr>
        <w:t>avg_opportunity_age: previously used only for pipeline_velocity computation; now a standalone feature capturing deal complexity and sales cycle dynamics.</w:t>
      </w:r>
    </w:p>
    <w:p>
      <w:pPr>
        <w:pStyle w:val="ListBullet"/>
        <w:ind w:left="504"/>
      </w:pPr>
      <w:r>
        <w:rPr>
          <w:color w:val="333333"/>
          <w:sz w:val="20"/>
        </w:rPr>
        <w:t>Crossing guard enforced: p10 = min(p10, p50); p90 = max(p90, p50) — applied in both CV and production.</w:t>
      </w:r>
    </w:p>
    <w:p>
      <w:pPr>
        <w:pStyle w:val="ListBullet"/>
        <w:ind w:left="504"/>
      </w:pPr>
      <w:r>
        <w:rPr>
          <w:color w:val="333333"/>
          <w:sz w:val="20"/>
        </w:rPr>
        <w:t>All 37 features — calendar, pipeline, activity (avg_dials, avg_touches), quota (plan_gap_lag1), volatility, momentum, and authoritative actuals.</w:t>
      </w:r>
    </w:p>
    <w:p/>
    <w:p>
      <w:pPr>
        <w:pStyle w:val="Heading2"/>
      </w:pPr>
      <w:r>
        <w:rPr>
          <w:b/>
          <w:color w:val="0047AB"/>
        </w:rPr>
        <w:t>2.6 N-HiTS and TFT — Correctly Absent</w:t>
      </w:r>
    </w:p>
    <w:p>
      <w:pPr>
        <w:spacing w:after="120"/>
      </w:pPr>
      <w:r>
        <w:rPr>
          <w:b w:val="0"/>
          <w:i w:val="0"/>
          <w:color w:val="333333"/>
          <w:sz w:val="21"/>
        </w:rPr>
        <w:t>Deep learning models remain correctly excluded. 182 weekly observations is insufficient for transformer architectures. Do not reintroduce until training set exceeds 3 years (&gt;156 rows post-MIN_TRAIN). This decision is correct and should be maintained.</w:t>
      </w:r>
    </w:p>
    <w:p>
      <w:r>
        <w:br w:type="page"/>
      </w:r>
    </w:p>
    <w:p>
      <w:pPr>
        <w:pStyle w:val="Heading1"/>
      </w:pPr>
      <w:r>
        <w:rPr>
          <w:b/>
          <w:color w:val="0047AB"/>
        </w:rPr>
        <w:t>Section 3: Seasonality Handling</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0047AB"/>
          </w:tcPr>
          <w:p>
            <w:r>
              <w:rPr>
                <w:b/>
                <w:color w:val="FFFFFF"/>
                <w:sz w:val="20"/>
              </w:rPr>
              <w:t>Model</w:t>
            </w:r>
          </w:p>
        </w:tc>
        <w:tc>
          <w:tcPr>
            <w:tcW w:type="dxa" w:w="2880"/>
            <w:shd w:val="clear" w:color="auto" w:fill="0047AB"/>
          </w:tcPr>
          <w:p>
            <w:r>
              <w:rPr>
                <w:b/>
                <w:color w:val="FFFFFF"/>
                <w:sz w:val="20"/>
              </w:rPr>
              <w:t>Method</w:t>
            </w:r>
          </w:p>
        </w:tc>
        <w:tc>
          <w:tcPr>
            <w:tcW w:type="dxa" w:w="2880"/>
            <w:shd w:val="clear" w:color="auto" w:fill="0047AB"/>
          </w:tcPr>
          <w:p>
            <w:r>
              <w:rPr>
                <w:b/>
                <w:color w:val="FFFFFF"/>
                <w:sz w:val="20"/>
              </w:rPr>
              <w:t>Periods Captured</w:t>
            </w:r>
          </w:p>
        </w:tc>
        <w:tc>
          <w:tcPr>
            <w:tcW w:type="dxa" w:w="2592"/>
            <w:shd w:val="clear" w:color="auto" w:fill="0047AB"/>
          </w:tcPr>
          <w:p>
            <w:r>
              <w:rPr>
                <w:b/>
                <w:color w:val="FFFFFF"/>
                <w:sz w:val="20"/>
              </w:rPr>
              <w:t>V6 Status</w:t>
            </w:r>
          </w:p>
        </w:tc>
      </w:tr>
      <w:tr>
        <w:tc>
          <w:tcPr>
            <w:tcW w:type="dxa" w:w="1872"/>
          </w:tcPr>
          <w:p>
            <w:r>
              <w:rPr>
                <w:color w:val="333333"/>
                <w:sz w:val="19"/>
              </w:rPr>
              <w:t>MSTL v2</w:t>
            </w:r>
          </w:p>
        </w:tc>
        <w:tc>
          <w:tcPr>
            <w:tcW w:type="dxa" w:w="2880"/>
          </w:tcPr>
          <w:p>
            <w:r>
              <w:rPr>
                <w:color w:val="333333"/>
                <w:sz w:val="19"/>
              </w:rPr>
              <w:t>STL decomposition</w:t>
            </w:r>
          </w:p>
        </w:tc>
        <w:tc>
          <w:tcPr>
            <w:tcW w:type="dxa" w:w="2880"/>
          </w:tcPr>
          <w:p>
            <w:r>
              <w:rPr>
                <w:color w:val="333333"/>
                <w:sz w:val="19"/>
              </w:rPr>
              <w:t>Monthly [4], Quarterly [13], Annual [52]</w:t>
            </w:r>
          </w:p>
        </w:tc>
        <w:tc>
          <w:tcPr>
            <w:tcW w:type="dxa" w:w="2592"/>
          </w:tcPr>
          <w:p>
            <w:r>
              <w:rPr>
                <w:color w:val="333333"/>
                <w:sz w:val="19"/>
              </w:rPr>
              <w:t>Unchanged — strong</w:t>
            </w:r>
          </w:p>
        </w:tc>
      </w:tr>
      <w:tr>
        <w:tc>
          <w:tcPr>
            <w:tcW w:type="dxa" w:w="1872"/>
          </w:tcPr>
          <w:p>
            <w:r>
              <w:rPr>
                <w:color w:val="333333"/>
                <w:sz w:val="19"/>
              </w:rPr>
              <w:t>ETS</w:t>
            </w:r>
          </w:p>
        </w:tc>
        <w:tc>
          <w:tcPr>
            <w:tcW w:type="dxa" w:w="2880"/>
          </w:tcPr>
          <w:p>
            <w:r>
              <w:rPr>
                <w:color w:val="333333"/>
                <w:sz w:val="19"/>
              </w:rPr>
              <w:t>Multiplicative smoothing (NEW)</w:t>
            </w:r>
          </w:p>
        </w:tc>
        <w:tc>
          <w:tcPr>
            <w:tcW w:type="dxa" w:w="2880"/>
          </w:tcPr>
          <w:p>
            <w:r>
              <w:rPr>
                <w:color w:val="333333"/>
                <w:sz w:val="19"/>
              </w:rPr>
              <w:t>Annual [52] — damped</w:t>
            </w:r>
          </w:p>
        </w:tc>
        <w:tc>
          <w:tcPr>
            <w:tcW w:type="dxa" w:w="2592"/>
          </w:tcPr>
          <w:p>
            <w:r>
              <w:rPr>
                <w:color w:val="333333"/>
                <w:sz w:val="19"/>
              </w:rPr>
              <w:t>Improved — now multiplicative</w:t>
            </w:r>
          </w:p>
        </w:tc>
      </w:tr>
      <w:tr>
        <w:tc>
          <w:tcPr>
            <w:tcW w:type="dxa" w:w="1872"/>
          </w:tcPr>
          <w:p>
            <w:r>
              <w:rPr>
                <w:color w:val="333333"/>
                <w:sz w:val="19"/>
              </w:rPr>
              <w:t>Prophet</w:t>
            </w:r>
          </w:p>
        </w:tc>
        <w:tc>
          <w:tcPr>
            <w:tcW w:type="dxa" w:w="2880"/>
          </w:tcPr>
          <w:p>
            <w:r>
              <w:rPr>
                <w:color w:val="333333"/>
                <w:sz w:val="19"/>
              </w:rPr>
              <w:t>WoQ empirical profile (post-hoc)</w:t>
            </w:r>
          </w:p>
        </w:tc>
        <w:tc>
          <w:tcPr>
            <w:tcW w:type="dxa" w:w="2880"/>
          </w:tcPr>
          <w:p>
            <w:r>
              <w:rPr>
                <w:color w:val="333333"/>
                <w:sz w:val="19"/>
              </w:rPr>
              <w:t>Week-of-quarter ramp pattern</w:t>
            </w:r>
          </w:p>
        </w:tc>
        <w:tc>
          <w:tcPr>
            <w:tcW w:type="dxa" w:w="2592"/>
          </w:tcPr>
          <w:p>
            <w:r>
              <w:rPr>
                <w:color w:val="333333"/>
                <w:sz w:val="19"/>
              </w:rPr>
              <w:t>Unchanged — static profile risk</w:t>
            </w:r>
          </w:p>
        </w:tc>
      </w:tr>
      <w:tr>
        <w:tc>
          <w:tcPr>
            <w:tcW w:type="dxa" w:w="1872"/>
          </w:tcPr>
          <w:p>
            <w:r>
              <w:rPr>
                <w:color w:val="333333"/>
                <w:sz w:val="19"/>
              </w:rPr>
              <w:t>DHR-ARIMA</w:t>
            </w:r>
          </w:p>
        </w:tc>
        <w:tc>
          <w:tcPr>
            <w:tcW w:type="dxa" w:w="2880"/>
          </w:tcPr>
          <w:p>
            <w:r>
              <w:rPr>
                <w:color w:val="333333"/>
                <w:sz w:val="19"/>
              </w:rPr>
              <w:t>Fourier harmonics</w:t>
            </w:r>
          </w:p>
        </w:tc>
        <w:tc>
          <w:tcPr>
            <w:tcW w:type="dxa" w:w="2880"/>
          </w:tcPr>
          <w:p>
            <w:r>
              <w:rPr>
                <w:color w:val="333333"/>
                <w:sz w:val="19"/>
              </w:rPr>
              <w:t>q13 + y52, K=2 each</w:t>
            </w:r>
          </w:p>
        </w:tc>
        <w:tc>
          <w:tcPr>
            <w:tcW w:type="dxa" w:w="2592"/>
          </w:tcPr>
          <w:p>
            <w:r>
              <w:rPr>
                <w:color w:val="333333"/>
                <w:sz w:val="19"/>
              </w:rPr>
              <w:t>Unchanged — market-specific</w:t>
            </w:r>
          </w:p>
        </w:tc>
      </w:tr>
      <w:tr>
        <w:tc>
          <w:tcPr>
            <w:tcW w:type="dxa" w:w="1872"/>
          </w:tcPr>
          <w:p>
            <w:r>
              <w:rPr>
                <w:color w:val="333333"/>
                <w:sz w:val="19"/>
              </w:rPr>
              <w:t>Global LGB</w:t>
            </w:r>
          </w:p>
        </w:tc>
        <w:tc>
          <w:tcPr>
            <w:tcW w:type="dxa" w:w="2880"/>
          </w:tcPr>
          <w:p>
            <w:r>
              <w:rPr>
                <w:color w:val="333333"/>
                <w:sz w:val="19"/>
              </w:rPr>
              <w:t>Encoded features</w:t>
            </w:r>
          </w:p>
        </w:tc>
        <w:tc>
          <w:tcPr>
            <w:tcW w:type="dxa" w:w="2880"/>
          </w:tcPr>
          <w:p>
            <w:r>
              <w:rPr>
                <w:color w:val="333333"/>
                <w:sz w:val="19"/>
              </w:rPr>
              <w:t>week_of_qtr, woq_sin/cos, qtr_sin/cos, is_q4, q4_week_countdown + us_holiday</w:t>
            </w:r>
          </w:p>
        </w:tc>
        <w:tc>
          <w:tcPr>
            <w:tcW w:type="dxa" w:w="2592"/>
          </w:tcPr>
          <w:p>
            <w:r>
              <w:rPr>
                <w:color w:val="333333"/>
                <w:sz w:val="19"/>
              </w:rPr>
              <w:t>Unchanged — no regional holidays</w:t>
            </w:r>
          </w:p>
        </w:tc>
      </w:tr>
    </w:tbl>
    <w:p/>
    <w:p>
      <w:pPr>
        <w:pStyle w:val="ListBullet"/>
        <w:ind w:left="504"/>
      </w:pPr>
      <w:r>
        <w:rPr>
          <w:color w:val="333333"/>
          <w:sz w:val="20"/>
        </w:rPr>
        <w:t>ETS multiplicative seasonal (V6 change): correct for growing ARR — seasonal amplitude scales with ARR level. This is the most impactful single-model change in V6.</w:t>
      </w:r>
    </w:p>
    <w:p>
      <w:pPr>
        <w:pStyle w:val="ListBullet"/>
        <w:ind w:left="504"/>
      </w:pPr>
      <w:r>
        <w:rPr>
          <w:color w:val="333333"/>
          <w:sz w:val="20"/>
        </w:rPr>
        <w:t>US holiday calendar (us_holiday) present in LGB and DHR — not propagated to MSTL or ETS.</w:t>
      </w:r>
    </w:p>
    <w:p>
      <w:pPr>
        <w:pStyle w:val="ListBullet"/>
        <w:ind w:left="504"/>
      </w:pPr>
      <w:r>
        <w:rPr>
          <w:color w:val="333333"/>
          <w:sz w:val="20"/>
        </w:rPr>
        <w:t>No EMEA, APAC, LATAM regional holidays. Given ~40% of ARR from non-NA markets, this is a meaningful accuracy gap. Recommend holidays library with country-level calendars.</w:t>
      </w:r>
    </w:p>
    <w:p>
      <w:pPr>
        <w:pStyle w:val="ListBullet"/>
        <w:ind w:left="504"/>
      </w:pPr>
      <w:r>
        <w:rPr>
          <w:color w:val="333333"/>
          <w:sz w:val="20"/>
        </w:rPr>
        <w:t>Prophet WoQ profile is computed from training data each fold — but it is applied as a fixed multiplier. A dynamic profile that updates with recent 52 weeks only would reduce stale-profile risk.</w:t>
      </w:r>
    </w:p>
    <w:p>
      <w:pPr>
        <w:pStyle w:val="ListBullet"/>
        <w:ind w:left="504"/>
      </w:pPr>
      <w:r>
        <w:rPr>
          <w:color w:val="333333"/>
          <w:sz w:val="20"/>
        </w:rPr>
        <w:t>No changepoint detection for structural breaks (e.g., sales org restructuring in 2024, product mix shift). Bayesian changepoint detection (ruptures library) as a pre-processing step would flag regime changes before they damage forecast accuracy.</w:t>
      </w:r>
    </w:p>
    <w:p/>
    <w:p>
      <w:r>
        <w:br w:type="page"/>
      </w:r>
    </w:p>
    <w:p>
      <w:pPr>
        <w:pStyle w:val="Heading1"/>
      </w:pPr>
      <w:r>
        <w:rPr>
          <w:b/>
          <w:color w:val="0047AB"/>
        </w:rPr>
        <w:t>Section 4: Data Quality &amp; Feature Engineering</w:t>
      </w:r>
    </w:p>
    <w:p>
      <w:pPr>
        <w:pStyle w:val="Heading2"/>
      </w:pPr>
      <w:r>
        <w:rPr>
          <w:b/>
          <w:color w:val="0047AB"/>
        </w:rPr>
        <w:t>4.1 Source Data</w:t>
      </w:r>
    </w:p>
    <w:tbl>
      <w:tblPr>
        <w:tblStyle w:val="TableGrid"/>
        <w:tblW w:type="auto" w:w="0"/>
        <w:tblLook w:firstColumn="1" w:firstRow="1" w:lastColumn="0" w:lastRow="0" w:noHBand="0" w:noVBand="1" w:val="04A0"/>
      </w:tblPr>
      <w:tblGrid>
        <w:gridCol w:w="4680"/>
        <w:gridCol w:w="4680"/>
      </w:tblGrid>
      <w:tr>
        <w:tc>
          <w:tcPr>
            <w:tcW w:type="dxa" w:w="3600"/>
            <w:shd w:val="clear" w:color="auto" w:fill="0047AB"/>
          </w:tcPr>
          <w:p>
            <w:r>
              <w:rPr>
                <w:b/>
                <w:color w:val="FFFFFF"/>
                <w:sz w:val="20"/>
              </w:rPr>
              <w:t>Attribute</w:t>
            </w:r>
          </w:p>
        </w:tc>
        <w:tc>
          <w:tcPr>
            <w:tcW w:type="dxa" w:w="6480"/>
            <w:shd w:val="clear" w:color="auto" w:fill="0047AB"/>
          </w:tcPr>
          <w:p>
            <w:r>
              <w:rPr>
                <w:b/>
                <w:color w:val="FFFFFF"/>
                <w:sz w:val="20"/>
              </w:rPr>
              <w:t>Value</w:t>
            </w:r>
          </w:p>
        </w:tc>
      </w:tr>
      <w:tr>
        <w:tc>
          <w:tcPr>
            <w:tcW w:type="dxa" w:w="3600"/>
          </w:tcPr>
          <w:p>
            <w:r>
              <w:rPr>
                <w:color w:val="333333"/>
                <w:sz w:val="19"/>
              </w:rPr>
              <w:t>Base table</w:t>
            </w:r>
          </w:p>
        </w:tc>
        <w:tc>
          <w:tcPr>
            <w:tcW w:type="dxa" w:w="6480"/>
          </w:tcPr>
          <w:p>
            <w:r>
              <w:rPr>
                <w:color w:val="333333"/>
                <w:sz w:val="19"/>
              </w:rPr>
              <w:t>datagroup.datalake_transform.cds_sfdc_opp_products_latest</w:t>
            </w:r>
          </w:p>
        </w:tc>
      </w:tr>
      <w:tr>
        <w:tc>
          <w:tcPr>
            <w:tcW w:type="dxa" w:w="3600"/>
          </w:tcPr>
          <w:p>
            <w:r>
              <w:rPr>
                <w:color w:val="333333"/>
                <w:sz w:val="19"/>
              </w:rPr>
              <w:t>MC actuals table</w:t>
            </w:r>
          </w:p>
        </w:tc>
        <w:tc>
          <w:tcPr>
            <w:tcW w:type="dxa" w:w="6480"/>
          </w:tcPr>
          <w:p>
            <w:r>
              <w:rPr>
                <w:color w:val="333333"/>
                <w:sz w:val="19"/>
              </w:rPr>
              <w:t>datagroup.uc_forecast.actuals (NEW in V6)</w:t>
            </w:r>
          </w:p>
        </w:tc>
      </w:tr>
      <w:tr>
        <w:tc>
          <w:tcPr>
            <w:tcW w:type="dxa" w:w="3600"/>
          </w:tcPr>
          <w:p>
            <w:r>
              <w:rPr>
                <w:color w:val="333333"/>
                <w:sz w:val="19"/>
              </w:rPr>
              <w:t>Feature table</w:t>
            </w:r>
          </w:p>
        </w:tc>
        <w:tc>
          <w:tcPr>
            <w:tcW w:type="dxa" w:w="6480"/>
          </w:tcPr>
          <w:p>
            <w:r>
              <w:rPr>
                <w:color w:val="333333"/>
                <w:sz w:val="19"/>
              </w:rPr>
              <w:t>datagroup_mdl.mdl_sales_analytics.forecast_prophet (READ-ONLY)</w:t>
            </w:r>
          </w:p>
        </w:tc>
      </w:tr>
      <w:tr>
        <w:tc>
          <w:tcPr>
            <w:tcW w:type="dxa" w:w="3600"/>
          </w:tcPr>
          <w:p>
            <w:r>
              <w:rPr>
                <w:color w:val="333333"/>
                <w:sz w:val="19"/>
              </w:rPr>
              <w:t>Filter</w:t>
            </w:r>
          </w:p>
        </w:tc>
        <w:tc>
          <w:tcPr>
            <w:tcW w:type="dxa" w:w="6480"/>
          </w:tcPr>
          <w:p>
            <w:r>
              <w:rPr>
                <w:color w:val="333333"/>
                <w:sz w:val="19"/>
              </w:rPr>
              <w:t>is_won=True, is_closed=True, product_group=UCC, purchase_type_rollup=Growth, sales_channel NOT IN (Care, Sales Other)</w:t>
            </w:r>
          </w:p>
        </w:tc>
      </w:tr>
      <w:tr>
        <w:tc>
          <w:tcPr>
            <w:tcW w:type="dxa" w:w="3600"/>
          </w:tcPr>
          <w:p>
            <w:r>
              <w:rPr>
                <w:color w:val="333333"/>
                <w:sz w:val="19"/>
              </w:rPr>
              <w:t>Weekly observations</w:t>
            </w:r>
          </w:p>
        </w:tc>
        <w:tc>
          <w:tcPr>
            <w:tcW w:type="dxa" w:w="6480"/>
          </w:tcPr>
          <w:p>
            <w:r>
              <w:rPr>
                <w:color w:val="333333"/>
                <w:sz w:val="19"/>
              </w:rPr>
              <w:t>~182 (2023-01-02 to current Monday -1)</w:t>
            </w:r>
          </w:p>
        </w:tc>
      </w:tr>
      <w:tr>
        <w:tc>
          <w:tcPr>
            <w:tcW w:type="dxa" w:w="3600"/>
          </w:tcPr>
          <w:p>
            <w:r>
              <w:rPr>
                <w:color w:val="333333"/>
                <w:sz w:val="19"/>
              </w:rPr>
              <w:t>Markets</w:t>
            </w:r>
          </w:p>
        </w:tc>
        <w:tc>
          <w:tcPr>
            <w:tcW w:type="dxa" w:w="6480"/>
          </w:tcPr>
          <w:p>
            <w:r>
              <w:rPr>
                <w:color w:val="333333"/>
                <w:sz w:val="19"/>
              </w:rPr>
              <w:t>APAC (AUS/ROW + INDIA), EMEA, LATAM, NA, Unknown</w:t>
            </w:r>
          </w:p>
        </w:tc>
      </w:tr>
    </w:tbl>
    <w:p/>
    <w:p>
      <w:pPr>
        <w:pStyle w:val="Heading2"/>
      </w:pPr>
      <w:r>
        <w:rPr>
          <w:b/>
          <w:color w:val="0047AB"/>
        </w:rPr>
        <w:t>4.2 Leaky / Unusable Column Governance (New in V6)</w:t>
      </w:r>
    </w:p>
    <w:p>
      <w:pPr>
        <w:spacing w:after="120"/>
      </w:pPr>
      <w:r>
        <w:rPr>
          <w:b w:val="0"/>
          <w:i w:val="0"/>
          <w:color w:val="333333"/>
          <w:sz w:val="21"/>
        </w:rPr>
        <w:t>Cell 3 introduces explicit LEAKY_OR_UNUSABLE_COLS documentation — a significant production safeguard. Columns excluded from benchmark model features with stated reasons:</w:t>
      </w:r>
    </w:p>
    <w:tbl>
      <w:tblPr>
        <w:tblStyle w:val="TableGrid"/>
        <w:tblW w:type="auto" w:w="0"/>
        <w:tblLook w:firstColumn="1" w:firstRow="1" w:lastColumn="0" w:lastRow="0" w:noHBand="0" w:noVBand="1" w:val="04A0"/>
      </w:tblPr>
      <w:tblGrid>
        <w:gridCol w:w="4680"/>
        <w:gridCol w:w="4680"/>
      </w:tblGrid>
      <w:tr>
        <w:tc>
          <w:tcPr>
            <w:tcW w:type="dxa" w:w="4032"/>
            <w:shd w:val="clear" w:color="auto" w:fill="0047AB"/>
          </w:tcPr>
          <w:p>
            <w:r>
              <w:rPr>
                <w:b/>
                <w:color w:val="FFFFFF"/>
                <w:sz w:val="20"/>
              </w:rPr>
              <w:t>Column</w:t>
            </w:r>
          </w:p>
        </w:tc>
        <w:tc>
          <w:tcPr>
            <w:tcW w:type="dxa" w:w="5904"/>
            <w:shd w:val="clear" w:color="auto" w:fill="0047AB"/>
          </w:tcPr>
          <w:p>
            <w:r>
              <w:rPr>
                <w:b/>
                <w:color w:val="FFFFFF"/>
                <w:sz w:val="20"/>
              </w:rPr>
              <w:t>Reason for Exclusion</w:t>
            </w:r>
          </w:p>
        </w:tc>
      </w:tr>
      <w:tr>
        <w:tc>
          <w:tcPr>
            <w:tcW w:type="dxa" w:w="4032"/>
          </w:tcPr>
          <w:p>
            <w:r>
              <w:rPr>
                <w:color w:val="333333"/>
                <w:sz w:val="19"/>
              </w:rPr>
              <w:t>y (target)</w:t>
            </w:r>
          </w:p>
        </w:tc>
        <w:tc>
          <w:tcPr>
            <w:tcW w:type="dxa" w:w="5904"/>
          </w:tcPr>
          <w:p>
            <w:r>
              <w:rPr>
                <w:color w:val="333333"/>
                <w:sz w:val="19"/>
              </w:rPr>
              <w:t>Target variable — excluded to prevent leakage</w:t>
            </w:r>
          </w:p>
        </w:tc>
      </w:tr>
      <w:tr>
        <w:tc>
          <w:tcPr>
            <w:tcW w:type="dxa" w:w="4032"/>
          </w:tcPr>
          <w:p>
            <w:r>
              <w:rPr>
                <w:color w:val="333333"/>
                <w:sz w:val="19"/>
              </w:rPr>
              <w:t>created_arr</w:t>
            </w:r>
          </w:p>
        </w:tc>
        <w:tc>
          <w:tcPr>
            <w:tcW w:type="dxa" w:w="5904"/>
          </w:tcPr>
          <w:p>
            <w:r>
              <w:rPr>
                <w:color w:val="333333"/>
                <w:sz w:val="19"/>
              </w:rPr>
              <w:t>Same-week created amount — future-leaky for benchmark models</w:t>
            </w:r>
          </w:p>
        </w:tc>
      </w:tr>
      <w:tr>
        <w:tc>
          <w:tcPr>
            <w:tcW w:type="dxa" w:w="4032"/>
          </w:tcPr>
          <w:p>
            <w:r>
              <w:rPr>
                <w:color w:val="333333"/>
                <w:sz w:val="19"/>
              </w:rPr>
              <w:t>created_pipeline_amount</w:t>
            </w:r>
          </w:p>
        </w:tc>
        <w:tc>
          <w:tcPr>
            <w:tcW w:type="dxa" w:w="5904"/>
          </w:tcPr>
          <w:p>
            <w:r>
              <w:rPr>
                <w:color w:val="333333"/>
                <w:sz w:val="19"/>
              </w:rPr>
              <w:t>Same-week created pipeline — future-leaky</w:t>
            </w:r>
          </w:p>
        </w:tc>
      </w:tr>
      <w:tr>
        <w:tc>
          <w:tcPr>
            <w:tcW w:type="dxa" w:w="4032"/>
          </w:tcPr>
          <w:p>
            <w:r>
              <w:rPr>
                <w:color w:val="333333"/>
                <w:sz w:val="19"/>
              </w:rPr>
              <w:t>created_open_pipeline</w:t>
            </w:r>
          </w:p>
        </w:tc>
        <w:tc>
          <w:tcPr>
            <w:tcW w:type="dxa" w:w="5904"/>
          </w:tcPr>
          <w:p>
            <w:r>
              <w:rPr>
                <w:color w:val="333333"/>
                <w:sz w:val="19"/>
              </w:rPr>
              <w:t>All zero in current build</w:t>
            </w:r>
          </w:p>
        </w:tc>
      </w:tr>
      <w:tr>
        <w:tc>
          <w:tcPr>
            <w:tcW w:type="dxa" w:w="4032"/>
          </w:tcPr>
          <w:p>
            <w:r>
              <w:rPr>
                <w:color w:val="333333"/>
                <w:sz w:val="19"/>
              </w:rPr>
              <w:t>created_partner_pipeline</w:t>
            </w:r>
          </w:p>
        </w:tc>
        <w:tc>
          <w:tcPr>
            <w:tcW w:type="dxa" w:w="5904"/>
          </w:tcPr>
          <w:p>
            <w:r>
              <w:rPr>
                <w:color w:val="333333"/>
                <w:sz w:val="19"/>
              </w:rPr>
              <w:t>Same-week partner pipeline created</w:t>
            </w:r>
          </w:p>
        </w:tc>
      </w:tr>
      <w:tr>
        <w:tc>
          <w:tcPr>
            <w:tcW w:type="dxa" w:w="4032"/>
          </w:tcPr>
          <w:p>
            <w:r>
              <w:rPr>
                <w:color w:val="333333"/>
                <w:sz w:val="19"/>
              </w:rPr>
              <w:t>total_partner_pipeline</w:t>
            </w:r>
          </w:p>
        </w:tc>
        <w:tc>
          <w:tcPr>
            <w:tcW w:type="dxa" w:w="5904"/>
          </w:tcPr>
          <w:p>
            <w:r>
              <w:rPr>
                <w:color w:val="333333"/>
                <w:sz w:val="19"/>
              </w:rPr>
              <w:t>Same-week total partner pipeline</w:t>
            </w:r>
          </w:p>
        </w:tc>
      </w:tr>
      <w:tr>
        <w:tc>
          <w:tcPr>
            <w:tcW w:type="dxa" w:w="4032"/>
          </w:tcPr>
          <w:p>
            <w:r>
              <w:rPr>
                <w:color w:val="333333"/>
                <w:sz w:val="19"/>
              </w:rPr>
              <w:t>marketing_generated_pipeline</w:t>
            </w:r>
          </w:p>
        </w:tc>
        <w:tc>
          <w:tcPr>
            <w:tcW w:type="dxa" w:w="5904"/>
          </w:tcPr>
          <w:p>
            <w:r>
              <w:rPr>
                <w:color w:val="333333"/>
                <w:sz w:val="19"/>
              </w:rPr>
              <w:t>Same-week marketing generated pipeline — leaky</w:t>
            </w:r>
          </w:p>
        </w:tc>
      </w:tr>
      <w:tr>
        <w:tc>
          <w:tcPr>
            <w:tcW w:type="dxa" w:w="4032"/>
          </w:tcPr>
          <w:p>
            <w:r>
              <w:rPr>
                <w:color w:val="333333"/>
                <w:sz w:val="19"/>
              </w:rPr>
              <w:t>marketing_influenced_pipeline</w:t>
            </w:r>
          </w:p>
        </w:tc>
        <w:tc>
          <w:tcPr>
            <w:tcW w:type="dxa" w:w="5904"/>
          </w:tcPr>
          <w:p>
            <w:r>
              <w:rPr>
                <w:color w:val="333333"/>
                <w:sz w:val="19"/>
              </w:rPr>
              <w:t>Same-week marketing influenced pipeline — leaky</w:t>
            </w:r>
          </w:p>
        </w:tc>
      </w:tr>
      <w:tr>
        <w:tc>
          <w:tcPr>
            <w:tcW w:type="dxa" w:w="4032"/>
          </w:tcPr>
          <w:p>
            <w:r>
              <w:rPr>
                <w:color w:val="333333"/>
                <w:sz w:val="19"/>
              </w:rPr>
              <w:t>opportunities_created</w:t>
            </w:r>
          </w:p>
        </w:tc>
        <w:tc>
          <w:tcPr>
            <w:tcW w:type="dxa" w:w="5904"/>
          </w:tcPr>
          <w:p>
            <w:r>
              <w:rPr>
                <w:color w:val="333333"/>
                <w:sz w:val="19"/>
              </w:rPr>
              <w:t>Same-week opportunity count — leaky</w:t>
            </w:r>
          </w:p>
        </w:tc>
      </w:tr>
      <w:tr>
        <w:tc>
          <w:tcPr>
            <w:tcW w:type="dxa" w:w="4032"/>
          </w:tcPr>
          <w:p>
            <w:r>
              <w:rPr>
                <w:color w:val="333333"/>
                <w:sz w:val="19"/>
              </w:rPr>
              <w:t>avg_dials / avg_touches / avg_push_counter / avg_opportunity_age</w:t>
            </w:r>
          </w:p>
        </w:tc>
        <w:tc>
          <w:tcPr>
            <w:tcW w:type="dxa" w:w="5904"/>
          </w:tcPr>
          <w:p>
            <w:r>
              <w:rPr>
                <w:color w:val="333333"/>
                <w:sz w:val="19"/>
              </w:rPr>
              <w:t>Excluded from BENCHMARK models (MSTL/ETS/Prophet); correctly INCLUDED in Global LGB with appropriate lags</w:t>
            </w:r>
          </w:p>
        </w:tc>
      </w:tr>
    </w:tbl>
    <w:p/>
    <w:p>
      <w:pPr>
        <w:spacing w:after="120"/>
      </w:pPr>
      <w:r>
        <w:rPr>
          <w:b w:val="0"/>
          <w:i w:val="0"/>
          <w:color w:val="333333"/>
          <w:sz w:val="21"/>
        </w:rPr>
        <w:t>Note: marketing_generated_pipeline and marketing_influenced_pipeline are correctly identified as same-week leaky. HOWEVER, lagged versions (mkt_lag4, mkt_lag8) would be valid features in Global LGB and could add meaningful demand-gen signal. This is flagged as a V7 recommendation.</w:t>
      </w:r>
    </w:p>
    <w:p>
      <w:pPr>
        <w:pStyle w:val="Heading2"/>
      </w:pPr>
      <w:r>
        <w:rPr>
          <w:b/>
          <w:color w:val="0047AB"/>
        </w:rPr>
        <w:t>4.3 V6 Feature Set — 37 GLOBAL_FEATURE_COLS (Global LGB)</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600"/>
            <w:shd w:val="clear" w:color="auto" w:fill="0047AB"/>
          </w:tcPr>
          <w:p>
            <w:r>
              <w:rPr>
                <w:b/>
                <w:color w:val="FFFFFF"/>
                <w:sz w:val="20"/>
              </w:rPr>
              <w:t>Feature</w:t>
            </w:r>
          </w:p>
        </w:tc>
        <w:tc>
          <w:tcPr>
            <w:tcW w:type="dxa" w:w="864"/>
            <w:shd w:val="clear" w:color="auto" w:fill="0047AB"/>
          </w:tcPr>
          <w:p>
            <w:r>
              <w:rPr>
                <w:b/>
                <w:color w:val="FFFFFF"/>
                <w:sz w:val="20"/>
              </w:rPr>
              <w:t>Lag</w:t>
            </w:r>
          </w:p>
        </w:tc>
        <w:tc>
          <w:tcPr>
            <w:tcW w:type="dxa" w:w="864"/>
            <w:shd w:val="clear" w:color="auto" w:fill="0047AB"/>
          </w:tcPr>
          <w:p>
            <w:r>
              <w:rPr>
                <w:b/>
                <w:color w:val="FFFFFF"/>
                <w:sz w:val="20"/>
              </w:rPr>
              <w:t>V6 New?</w:t>
            </w:r>
          </w:p>
        </w:tc>
        <w:tc>
          <w:tcPr>
            <w:tcW w:type="dxa" w:w="1152"/>
            <w:shd w:val="clear" w:color="auto" w:fill="0047AB"/>
          </w:tcPr>
          <w:p>
            <w:r>
              <w:rPr>
                <w:b/>
                <w:color w:val="FFFFFF"/>
                <w:sz w:val="20"/>
              </w:rPr>
              <w:t>Category</w:t>
            </w:r>
          </w:p>
        </w:tc>
        <w:tc>
          <w:tcPr>
            <w:tcW w:type="dxa" w:w="3312"/>
            <w:shd w:val="clear" w:color="auto" w:fill="0047AB"/>
          </w:tcPr>
          <w:p>
            <w:r>
              <w:rPr>
                <w:b/>
                <w:color w:val="FFFFFF"/>
                <w:sz w:val="20"/>
              </w:rPr>
              <w:t>Notes</w:t>
            </w:r>
          </w:p>
        </w:tc>
      </w:tr>
      <w:tr>
        <w:tc>
          <w:tcPr>
            <w:tcW w:type="dxa" w:w="3600"/>
          </w:tcPr>
          <w:p>
            <w:r>
              <w:rPr>
                <w:color w:val="333333"/>
                <w:sz w:val="19"/>
              </w:rPr>
              <w:t>week_of_qtr, quarter_end_flag, is_q4, q4_week_countdown</w:t>
            </w:r>
          </w:p>
        </w:tc>
        <w:tc>
          <w:tcPr>
            <w:tcW w:type="dxa" w:w="864"/>
          </w:tcPr>
          <w:p>
            <w:r>
              <w:rPr>
                <w:color w:val="333333"/>
                <w:sz w:val="19"/>
              </w:rPr>
              <w:t>-</w:t>
            </w:r>
          </w:p>
        </w:tc>
        <w:tc>
          <w:tcPr>
            <w:tcW w:type="dxa" w:w="864"/>
          </w:tcPr>
          <w:p>
            <w:r>
              <w:rPr>
                <w:color w:val="333333"/>
                <w:sz w:val="19"/>
              </w:rPr>
              <w:t>No</w:t>
            </w:r>
          </w:p>
        </w:tc>
        <w:tc>
          <w:tcPr>
            <w:tcW w:type="dxa" w:w="1152"/>
          </w:tcPr>
          <w:p>
            <w:r>
              <w:rPr>
                <w:color w:val="333333"/>
                <w:sz w:val="19"/>
              </w:rPr>
              <w:t>Calendar</w:t>
            </w:r>
          </w:p>
        </w:tc>
        <w:tc>
          <w:tcPr>
            <w:tcW w:type="dxa" w:w="3312"/>
          </w:tcPr>
          <w:p>
            <w:r>
              <w:rPr>
                <w:color w:val="333333"/>
                <w:sz w:val="19"/>
              </w:rPr>
              <w:t>Quarter position features</w:t>
            </w:r>
          </w:p>
        </w:tc>
      </w:tr>
      <w:tr>
        <w:tc>
          <w:tcPr>
            <w:tcW w:type="dxa" w:w="3600"/>
          </w:tcPr>
          <w:p>
            <w:r>
              <w:rPr>
                <w:color w:val="333333"/>
                <w:sz w:val="19"/>
              </w:rPr>
              <w:t>woq_sin, woq_cos, qtr_sin, qtr_cos</w:t>
            </w:r>
          </w:p>
        </w:tc>
        <w:tc>
          <w:tcPr>
            <w:tcW w:type="dxa" w:w="864"/>
          </w:tcPr>
          <w:p>
            <w:r>
              <w:rPr>
                <w:color w:val="333333"/>
                <w:sz w:val="19"/>
              </w:rPr>
              <w:t>-</w:t>
            </w:r>
          </w:p>
        </w:tc>
        <w:tc>
          <w:tcPr>
            <w:tcW w:type="dxa" w:w="864"/>
          </w:tcPr>
          <w:p>
            <w:r>
              <w:rPr>
                <w:color w:val="333333"/>
                <w:sz w:val="19"/>
              </w:rPr>
              <w:t>No</w:t>
            </w:r>
          </w:p>
        </w:tc>
        <w:tc>
          <w:tcPr>
            <w:tcW w:type="dxa" w:w="1152"/>
          </w:tcPr>
          <w:p>
            <w:r>
              <w:rPr>
                <w:color w:val="333333"/>
                <w:sz w:val="19"/>
              </w:rPr>
              <w:t>Calendar</w:t>
            </w:r>
          </w:p>
        </w:tc>
        <w:tc>
          <w:tcPr>
            <w:tcW w:type="dxa" w:w="3312"/>
          </w:tcPr>
          <w:p>
            <w:r>
              <w:rPr>
                <w:color w:val="333333"/>
                <w:sz w:val="19"/>
              </w:rPr>
              <w:t>Fourier cyclical encoding</w:t>
            </w:r>
          </w:p>
        </w:tc>
      </w:tr>
      <w:tr>
        <w:tc>
          <w:tcPr>
            <w:tcW w:type="dxa" w:w="3600"/>
          </w:tcPr>
          <w:p>
            <w:r>
              <w:rPr>
                <w:color w:val="333333"/>
                <w:sz w:val="19"/>
              </w:rPr>
              <w:t>sales_market</w:t>
            </w:r>
          </w:p>
        </w:tc>
        <w:tc>
          <w:tcPr>
            <w:tcW w:type="dxa" w:w="864"/>
          </w:tcPr>
          <w:p>
            <w:r>
              <w:rPr>
                <w:color w:val="333333"/>
                <w:sz w:val="19"/>
              </w:rPr>
              <w:t>-</w:t>
            </w:r>
          </w:p>
        </w:tc>
        <w:tc>
          <w:tcPr>
            <w:tcW w:type="dxa" w:w="864"/>
          </w:tcPr>
          <w:p>
            <w:r>
              <w:rPr>
                <w:color w:val="333333"/>
                <w:sz w:val="19"/>
              </w:rPr>
              <w:t>No</w:t>
            </w:r>
          </w:p>
        </w:tc>
        <w:tc>
          <w:tcPr>
            <w:tcW w:type="dxa" w:w="1152"/>
          </w:tcPr>
          <w:p>
            <w:r>
              <w:rPr>
                <w:color w:val="333333"/>
                <w:sz w:val="19"/>
              </w:rPr>
              <w:t>Categorical</w:t>
            </w:r>
          </w:p>
        </w:tc>
        <w:tc>
          <w:tcPr>
            <w:tcW w:type="dxa" w:w="3312"/>
          </w:tcPr>
          <w:p>
            <w:r>
              <w:rPr>
                <w:color w:val="333333"/>
                <w:sz w:val="19"/>
              </w:rPr>
              <w:t>LGB categorical feature</w:t>
            </w:r>
          </w:p>
        </w:tc>
      </w:tr>
      <w:tr>
        <w:tc>
          <w:tcPr>
            <w:tcW w:type="dxa" w:w="3600"/>
          </w:tcPr>
          <w:p>
            <w:r>
              <w:rPr>
                <w:color w:val="333333"/>
                <w:sz w:val="19"/>
              </w:rPr>
              <w:t>created_lag4, created_lag5</w:t>
            </w:r>
          </w:p>
        </w:tc>
        <w:tc>
          <w:tcPr>
            <w:tcW w:type="dxa" w:w="864"/>
          </w:tcPr>
          <w:p>
            <w:r>
              <w:rPr>
                <w:color w:val="333333"/>
                <w:sz w:val="19"/>
              </w:rPr>
              <w:t>4,5</w:t>
            </w:r>
          </w:p>
        </w:tc>
        <w:tc>
          <w:tcPr>
            <w:tcW w:type="dxa" w:w="864"/>
          </w:tcPr>
          <w:p>
            <w:r>
              <w:rPr>
                <w:color w:val="333333"/>
                <w:sz w:val="19"/>
              </w:rPr>
              <w:t>No</w:t>
            </w:r>
          </w:p>
        </w:tc>
        <w:tc>
          <w:tcPr>
            <w:tcW w:type="dxa" w:w="1152"/>
          </w:tcPr>
          <w:p>
            <w:r>
              <w:rPr>
                <w:color w:val="333333"/>
                <w:sz w:val="19"/>
              </w:rPr>
              <w:t>Pipeline</w:t>
            </w:r>
          </w:p>
        </w:tc>
        <w:tc>
          <w:tcPr>
            <w:tcW w:type="dxa" w:w="3312"/>
          </w:tcPr>
          <w:p>
            <w:r>
              <w:rPr>
                <w:color w:val="333333"/>
                <w:sz w:val="19"/>
              </w:rPr>
              <w:t>Pipeline creation with lag to avoid leakage</w:t>
            </w:r>
          </w:p>
        </w:tc>
      </w:tr>
      <w:tr>
        <w:tc>
          <w:tcPr>
            <w:tcW w:type="dxa" w:w="3600"/>
          </w:tcPr>
          <w:p>
            <w:r>
              <w:rPr>
                <w:color w:val="333333"/>
                <w:sz w:val="19"/>
              </w:rPr>
              <w:t>headcount_lag4</w:t>
            </w:r>
          </w:p>
        </w:tc>
        <w:tc>
          <w:tcPr>
            <w:tcW w:type="dxa" w:w="864"/>
          </w:tcPr>
          <w:p>
            <w:r>
              <w:rPr>
                <w:color w:val="333333"/>
                <w:sz w:val="19"/>
              </w:rPr>
              <w:t>4</w:t>
            </w:r>
          </w:p>
        </w:tc>
        <w:tc>
          <w:tcPr>
            <w:tcW w:type="dxa" w:w="864"/>
          </w:tcPr>
          <w:p>
            <w:r>
              <w:rPr>
                <w:color w:val="333333"/>
                <w:sz w:val="19"/>
              </w:rPr>
              <w:t>No</w:t>
            </w:r>
          </w:p>
        </w:tc>
        <w:tc>
          <w:tcPr>
            <w:tcW w:type="dxa" w:w="1152"/>
          </w:tcPr>
          <w:p>
            <w:r>
              <w:rPr>
                <w:color w:val="333333"/>
                <w:sz w:val="19"/>
              </w:rPr>
              <w:t>HR</w:t>
            </w:r>
          </w:p>
        </w:tc>
        <w:tc>
          <w:tcPr>
            <w:tcW w:type="dxa" w:w="3312"/>
          </w:tcPr>
          <w:p>
            <w:r>
              <w:rPr>
                <w:color w:val="333333"/>
                <w:sz w:val="19"/>
              </w:rPr>
              <w:t>Sales capacity signal</w:t>
            </w:r>
          </w:p>
        </w:tc>
      </w:tr>
      <w:tr>
        <w:tc>
          <w:tcPr>
            <w:tcW w:type="dxa" w:w="3600"/>
          </w:tcPr>
          <w:p>
            <w:r>
              <w:rPr>
                <w:color w:val="333333"/>
                <w:sz w:val="19"/>
              </w:rPr>
              <w:t>win_rate_woq</w:t>
            </w:r>
          </w:p>
        </w:tc>
        <w:tc>
          <w:tcPr>
            <w:tcW w:type="dxa" w:w="864"/>
          </w:tcPr>
          <w:p>
            <w:r>
              <w:rPr>
                <w:color w:val="333333"/>
                <w:sz w:val="19"/>
              </w:rPr>
              <w:t>roll</w:t>
            </w:r>
          </w:p>
        </w:tc>
        <w:tc>
          <w:tcPr>
            <w:tcW w:type="dxa" w:w="864"/>
          </w:tcPr>
          <w:p>
            <w:r>
              <w:rPr>
                <w:color w:val="333333"/>
                <w:sz w:val="19"/>
              </w:rPr>
              <w:t>No</w:t>
            </w:r>
          </w:p>
        </w:tc>
        <w:tc>
          <w:tcPr>
            <w:tcW w:type="dxa" w:w="1152"/>
          </w:tcPr>
          <w:p>
            <w:r>
              <w:rPr>
                <w:color w:val="333333"/>
                <w:sz w:val="19"/>
              </w:rPr>
              <w:t>Pipeline</w:t>
            </w:r>
          </w:p>
        </w:tc>
        <w:tc>
          <w:tcPr>
            <w:tcW w:type="dxa" w:w="3312"/>
          </w:tcPr>
          <w:p>
            <w:r>
              <w:rPr>
                <w:color w:val="333333"/>
                <w:sz w:val="19"/>
              </w:rPr>
              <w:t>Rolling win rate by week-of-quarter</w:t>
            </w:r>
          </w:p>
        </w:tc>
      </w:tr>
      <w:tr>
        <w:tc>
          <w:tcPr>
            <w:tcW w:type="dxa" w:w="3600"/>
          </w:tcPr>
          <w:p>
            <w:r>
              <w:rPr>
                <w:color w:val="333333"/>
                <w:sz w:val="19"/>
              </w:rPr>
              <w:t>pipeline_velocity_lag4</w:t>
            </w:r>
          </w:p>
        </w:tc>
        <w:tc>
          <w:tcPr>
            <w:tcW w:type="dxa" w:w="864"/>
          </w:tcPr>
          <w:p>
            <w:r>
              <w:rPr>
                <w:color w:val="333333"/>
                <w:sz w:val="19"/>
              </w:rPr>
              <w:t>4</w:t>
            </w:r>
          </w:p>
        </w:tc>
        <w:tc>
          <w:tcPr>
            <w:tcW w:type="dxa" w:w="864"/>
          </w:tcPr>
          <w:p>
            <w:r>
              <w:rPr>
                <w:color w:val="333333"/>
                <w:sz w:val="19"/>
              </w:rPr>
              <w:t>No</w:t>
            </w:r>
          </w:p>
        </w:tc>
        <w:tc>
          <w:tcPr>
            <w:tcW w:type="dxa" w:w="1152"/>
          </w:tcPr>
          <w:p>
            <w:r>
              <w:rPr>
                <w:color w:val="333333"/>
                <w:sz w:val="19"/>
              </w:rPr>
              <w:t>Pipeline</w:t>
            </w:r>
          </w:p>
        </w:tc>
        <w:tc>
          <w:tcPr>
            <w:tcW w:type="dxa" w:w="3312"/>
          </w:tcPr>
          <w:p>
            <w:r>
              <w:rPr>
                <w:color w:val="333333"/>
                <w:sz w:val="19"/>
              </w:rPr>
              <w:t>ARR / avg_opportunity_age</w:t>
            </w:r>
          </w:p>
        </w:tc>
      </w:tr>
      <w:tr>
        <w:tc>
          <w:tcPr>
            <w:tcW w:type="dxa" w:w="3600"/>
          </w:tcPr>
          <w:p>
            <w:r>
              <w:rPr>
                <w:color w:val="333333"/>
                <w:sz w:val="19"/>
              </w:rPr>
              <w:t>deal_size_lag1</w:t>
            </w:r>
          </w:p>
        </w:tc>
        <w:tc>
          <w:tcPr>
            <w:tcW w:type="dxa" w:w="864"/>
          </w:tcPr>
          <w:p>
            <w:r>
              <w:rPr>
                <w:color w:val="333333"/>
                <w:sz w:val="19"/>
              </w:rPr>
              <w:t>1</w:t>
            </w:r>
          </w:p>
        </w:tc>
        <w:tc>
          <w:tcPr>
            <w:tcW w:type="dxa" w:w="864"/>
          </w:tcPr>
          <w:p>
            <w:r>
              <w:rPr>
                <w:color w:val="333333"/>
                <w:sz w:val="19"/>
              </w:rPr>
              <w:t>No</w:t>
            </w:r>
          </w:p>
        </w:tc>
        <w:tc>
          <w:tcPr>
            <w:tcW w:type="dxa" w:w="1152"/>
          </w:tcPr>
          <w:p>
            <w:r>
              <w:rPr>
                <w:color w:val="333333"/>
                <w:sz w:val="19"/>
              </w:rPr>
              <w:t>Pipeline</w:t>
            </w:r>
          </w:p>
        </w:tc>
        <w:tc>
          <w:tcPr>
            <w:tcW w:type="dxa" w:w="3312"/>
          </w:tcPr>
          <w:p>
            <w:r>
              <w:rPr>
                <w:color w:val="333333"/>
                <w:sz w:val="19"/>
              </w:rPr>
              <w:t>Avg deal size — product mix signal</w:t>
            </w:r>
          </w:p>
        </w:tc>
      </w:tr>
      <w:tr>
        <w:tc>
          <w:tcPr>
            <w:tcW w:type="dxa" w:w="3600"/>
          </w:tcPr>
          <w:p>
            <w:r>
              <w:rPr>
                <w:color w:val="333333"/>
                <w:sz w:val="19"/>
              </w:rPr>
              <w:t>sales_cycle_lag1</w:t>
            </w:r>
          </w:p>
        </w:tc>
        <w:tc>
          <w:tcPr>
            <w:tcW w:type="dxa" w:w="864"/>
          </w:tcPr>
          <w:p>
            <w:r>
              <w:rPr>
                <w:color w:val="333333"/>
                <w:sz w:val="19"/>
              </w:rPr>
              <w:t>1</w:t>
            </w:r>
          </w:p>
        </w:tc>
        <w:tc>
          <w:tcPr>
            <w:tcW w:type="dxa" w:w="864"/>
          </w:tcPr>
          <w:p>
            <w:r>
              <w:rPr>
                <w:color w:val="333333"/>
                <w:sz w:val="19"/>
              </w:rPr>
              <w:t>No</w:t>
            </w:r>
          </w:p>
        </w:tc>
        <w:tc>
          <w:tcPr>
            <w:tcW w:type="dxa" w:w="1152"/>
          </w:tcPr>
          <w:p>
            <w:r>
              <w:rPr>
                <w:color w:val="333333"/>
                <w:sz w:val="19"/>
              </w:rPr>
              <w:t>Pipeline</w:t>
            </w:r>
          </w:p>
        </w:tc>
        <w:tc>
          <w:tcPr>
            <w:tcW w:type="dxa" w:w="3312"/>
          </w:tcPr>
          <w:p>
            <w:r>
              <w:rPr>
                <w:color w:val="333333"/>
                <w:sz w:val="19"/>
              </w:rPr>
              <w:t>Days to close</w:t>
            </w:r>
          </w:p>
        </w:tc>
      </w:tr>
      <w:tr>
        <w:tc>
          <w:tcPr>
            <w:tcW w:type="dxa" w:w="3600"/>
          </w:tcPr>
          <w:p>
            <w:r>
              <w:rPr>
                <w:color w:val="333333"/>
                <w:sz w:val="19"/>
              </w:rPr>
              <w:t>push_ctr_lag1</w:t>
            </w:r>
          </w:p>
        </w:tc>
        <w:tc>
          <w:tcPr>
            <w:tcW w:type="dxa" w:w="864"/>
          </w:tcPr>
          <w:p>
            <w:r>
              <w:rPr>
                <w:color w:val="333333"/>
                <w:sz w:val="19"/>
              </w:rPr>
              <w:t>1</w:t>
            </w:r>
          </w:p>
        </w:tc>
        <w:tc>
          <w:tcPr>
            <w:tcW w:type="dxa" w:w="864"/>
          </w:tcPr>
          <w:p>
            <w:r>
              <w:rPr>
                <w:color w:val="333333"/>
                <w:sz w:val="19"/>
              </w:rPr>
              <w:t>No</w:t>
            </w:r>
          </w:p>
        </w:tc>
        <w:tc>
          <w:tcPr>
            <w:tcW w:type="dxa" w:w="1152"/>
          </w:tcPr>
          <w:p>
            <w:r>
              <w:rPr>
                <w:color w:val="333333"/>
                <w:sz w:val="19"/>
              </w:rPr>
              <w:t>Pipeline</w:t>
            </w:r>
          </w:p>
        </w:tc>
        <w:tc>
          <w:tcPr>
            <w:tcW w:type="dxa" w:w="3312"/>
          </w:tcPr>
          <w:p>
            <w:r>
              <w:rPr>
                <w:color w:val="333333"/>
                <w:sz w:val="19"/>
              </w:rPr>
              <w:t>Deal push-out rate</w:t>
            </w:r>
          </w:p>
        </w:tc>
      </w:tr>
      <w:tr>
        <w:tc>
          <w:tcPr>
            <w:tcW w:type="dxa" w:w="3600"/>
          </w:tcPr>
          <w:p>
            <w:r>
              <w:rPr>
                <w:color w:val="333333"/>
                <w:sz w:val="19"/>
              </w:rPr>
              <w:t>avg_opportunity_age</w:t>
            </w:r>
          </w:p>
        </w:tc>
        <w:tc>
          <w:tcPr>
            <w:tcW w:type="dxa" w:w="864"/>
          </w:tcPr>
          <w:p>
            <w:r>
              <w:rPr>
                <w:color w:val="333333"/>
                <w:sz w:val="19"/>
              </w:rPr>
              <w:t>-</w:t>
            </w:r>
          </w:p>
        </w:tc>
        <w:tc>
          <w:tcPr>
            <w:tcW w:type="dxa" w:w="864"/>
          </w:tcPr>
          <w:p>
            <w:r>
              <w:rPr>
                <w:color w:val="333333"/>
                <w:sz w:val="19"/>
              </w:rPr>
              <w:t>YES</w:t>
            </w:r>
          </w:p>
        </w:tc>
        <w:tc>
          <w:tcPr>
            <w:tcW w:type="dxa" w:w="1152"/>
          </w:tcPr>
          <w:p>
            <w:r>
              <w:rPr>
                <w:color w:val="333333"/>
                <w:sz w:val="19"/>
              </w:rPr>
              <w:t>Pipeline</w:t>
            </w:r>
          </w:p>
        </w:tc>
        <w:tc>
          <w:tcPr>
            <w:tcW w:type="dxa" w:w="3312"/>
          </w:tcPr>
          <w:p>
            <w:r>
              <w:rPr>
                <w:color w:val="333333"/>
                <w:sz w:val="19"/>
              </w:rPr>
              <w:t>Direct deal age feature — new in V6</w:t>
            </w:r>
          </w:p>
        </w:tc>
      </w:tr>
      <w:tr>
        <w:tc>
          <w:tcPr>
            <w:tcW w:type="dxa" w:w="3600"/>
          </w:tcPr>
          <w:p>
            <w:r>
              <w:rPr>
                <w:color w:val="333333"/>
                <w:sz w:val="19"/>
              </w:rPr>
              <w:t>avg_dials_lag4, avg_touches_lag4</w:t>
            </w:r>
          </w:p>
        </w:tc>
        <w:tc>
          <w:tcPr>
            <w:tcW w:type="dxa" w:w="864"/>
          </w:tcPr>
          <w:p>
            <w:r>
              <w:rPr>
                <w:color w:val="333333"/>
                <w:sz w:val="19"/>
              </w:rPr>
              <w:t>4</w:t>
            </w:r>
          </w:p>
        </w:tc>
        <w:tc>
          <w:tcPr>
            <w:tcW w:type="dxa" w:w="864"/>
          </w:tcPr>
          <w:p>
            <w:r>
              <w:rPr>
                <w:color w:val="333333"/>
                <w:sz w:val="19"/>
              </w:rPr>
              <w:t>No</w:t>
            </w:r>
          </w:p>
        </w:tc>
        <w:tc>
          <w:tcPr>
            <w:tcW w:type="dxa" w:w="1152"/>
          </w:tcPr>
          <w:p>
            <w:r>
              <w:rPr>
                <w:color w:val="333333"/>
                <w:sz w:val="19"/>
              </w:rPr>
              <w:t>Activity</w:t>
            </w:r>
          </w:p>
        </w:tc>
        <w:tc>
          <w:tcPr>
            <w:tcW w:type="dxa" w:w="3312"/>
          </w:tcPr>
          <w:p>
            <w:r>
              <w:rPr>
                <w:color w:val="333333"/>
                <w:sz w:val="19"/>
              </w:rPr>
              <w:t>Outbound sales activity</w:t>
            </w:r>
          </w:p>
        </w:tc>
      </w:tr>
      <w:tr>
        <w:tc>
          <w:tcPr>
            <w:tcW w:type="dxa" w:w="3600"/>
          </w:tcPr>
          <w:p>
            <w:r>
              <w:rPr>
                <w:color w:val="333333"/>
                <w:sz w:val="19"/>
              </w:rPr>
              <w:t>mc_actuals_lag4</w:t>
            </w:r>
          </w:p>
        </w:tc>
        <w:tc>
          <w:tcPr>
            <w:tcW w:type="dxa" w:w="864"/>
          </w:tcPr>
          <w:p>
            <w:r>
              <w:rPr>
                <w:color w:val="333333"/>
                <w:sz w:val="19"/>
              </w:rPr>
              <w:t>4</w:t>
            </w:r>
          </w:p>
        </w:tc>
        <w:tc>
          <w:tcPr>
            <w:tcW w:type="dxa" w:w="864"/>
          </w:tcPr>
          <w:p>
            <w:r>
              <w:rPr>
                <w:color w:val="333333"/>
                <w:sz w:val="19"/>
              </w:rPr>
              <w:t>YES</w:t>
            </w:r>
          </w:p>
        </w:tc>
        <w:tc>
          <w:tcPr>
            <w:tcW w:type="dxa" w:w="1152"/>
          </w:tcPr>
          <w:p>
            <w:r>
              <w:rPr>
                <w:color w:val="333333"/>
                <w:sz w:val="19"/>
              </w:rPr>
              <w:t>Actuals</w:t>
            </w:r>
          </w:p>
        </w:tc>
        <w:tc>
          <w:tcPr>
            <w:tcW w:type="dxa" w:w="3312"/>
          </w:tcPr>
          <w:p>
            <w:r>
              <w:rPr>
                <w:color w:val="333333"/>
                <w:sz w:val="19"/>
              </w:rPr>
              <w:t>Authoritative Magna Carta actuals — new in V6</w:t>
            </w:r>
          </w:p>
        </w:tc>
      </w:tr>
      <w:tr>
        <w:tc>
          <w:tcPr>
            <w:tcW w:type="dxa" w:w="3600"/>
          </w:tcPr>
          <w:p>
            <w:r>
              <w:rPr>
                <w:color w:val="333333"/>
                <w:sz w:val="19"/>
              </w:rPr>
              <w:t>mkt_opened_lag4</w:t>
            </w:r>
          </w:p>
        </w:tc>
        <w:tc>
          <w:tcPr>
            <w:tcW w:type="dxa" w:w="864"/>
          </w:tcPr>
          <w:p>
            <w:r>
              <w:rPr>
                <w:color w:val="333333"/>
                <w:sz w:val="19"/>
              </w:rPr>
              <w:t>4</w:t>
            </w:r>
          </w:p>
        </w:tc>
        <w:tc>
          <w:tcPr>
            <w:tcW w:type="dxa" w:w="864"/>
          </w:tcPr>
          <w:p>
            <w:r>
              <w:rPr>
                <w:color w:val="333333"/>
                <w:sz w:val="19"/>
              </w:rPr>
              <w:t>No</w:t>
            </w:r>
          </w:p>
        </w:tc>
        <w:tc>
          <w:tcPr>
            <w:tcW w:type="dxa" w:w="1152"/>
          </w:tcPr>
          <w:p>
            <w:r>
              <w:rPr>
                <w:color w:val="333333"/>
                <w:sz w:val="19"/>
              </w:rPr>
              <w:t>Marketing</w:t>
            </w:r>
          </w:p>
        </w:tc>
        <w:tc>
          <w:tcPr>
            <w:tcW w:type="dxa" w:w="3312"/>
          </w:tcPr>
          <w:p>
            <w:r>
              <w:rPr>
                <w:color w:val="333333"/>
                <w:sz w:val="19"/>
              </w:rPr>
              <w:t>Email open rate</w:t>
            </w:r>
          </w:p>
        </w:tc>
      </w:tr>
      <w:tr>
        <w:tc>
          <w:tcPr>
            <w:tcW w:type="dxa" w:w="3600"/>
          </w:tcPr>
          <w:p>
            <w:r>
              <w:rPr>
                <w:color w:val="333333"/>
                <w:sz w:val="19"/>
              </w:rPr>
              <w:t>miradore_lag4</w:t>
            </w:r>
          </w:p>
        </w:tc>
        <w:tc>
          <w:tcPr>
            <w:tcW w:type="dxa" w:w="864"/>
          </w:tcPr>
          <w:p>
            <w:r>
              <w:rPr>
                <w:color w:val="333333"/>
                <w:sz w:val="19"/>
              </w:rPr>
              <w:t>4</w:t>
            </w:r>
          </w:p>
        </w:tc>
        <w:tc>
          <w:tcPr>
            <w:tcW w:type="dxa" w:w="864"/>
          </w:tcPr>
          <w:p>
            <w:r>
              <w:rPr>
                <w:color w:val="333333"/>
                <w:sz w:val="19"/>
              </w:rPr>
              <w:t>No</w:t>
            </w:r>
          </w:p>
        </w:tc>
        <w:tc>
          <w:tcPr>
            <w:tcW w:type="dxa" w:w="1152"/>
          </w:tcPr>
          <w:p>
            <w:r>
              <w:rPr>
                <w:color w:val="333333"/>
                <w:sz w:val="19"/>
              </w:rPr>
              <w:t>Product</w:t>
            </w:r>
          </w:p>
        </w:tc>
        <w:tc>
          <w:tcPr>
            <w:tcW w:type="dxa" w:w="3312"/>
          </w:tcPr>
          <w:p>
            <w:r>
              <w:rPr>
                <w:color w:val="333333"/>
                <w:sz w:val="19"/>
              </w:rPr>
              <w:t>MDM device enrollment signal</w:t>
            </w:r>
          </w:p>
        </w:tc>
      </w:tr>
      <w:tr>
        <w:tc>
          <w:tcPr>
            <w:tcW w:type="dxa" w:w="3600"/>
          </w:tcPr>
          <w:p>
            <w:r>
              <w:rPr>
                <w:color w:val="333333"/>
                <w:sz w:val="19"/>
              </w:rPr>
              <w:t>plan_gap_lag1</w:t>
            </w:r>
          </w:p>
        </w:tc>
        <w:tc>
          <w:tcPr>
            <w:tcW w:type="dxa" w:w="864"/>
          </w:tcPr>
          <w:p>
            <w:r>
              <w:rPr>
                <w:color w:val="333333"/>
                <w:sz w:val="19"/>
              </w:rPr>
              <w:t>1</w:t>
            </w:r>
          </w:p>
        </w:tc>
        <w:tc>
          <w:tcPr>
            <w:tcW w:type="dxa" w:w="864"/>
          </w:tcPr>
          <w:p>
            <w:r>
              <w:rPr>
                <w:color w:val="333333"/>
                <w:sz w:val="19"/>
              </w:rPr>
              <w:t>No</w:t>
            </w:r>
          </w:p>
        </w:tc>
        <w:tc>
          <w:tcPr>
            <w:tcW w:type="dxa" w:w="1152"/>
          </w:tcPr>
          <w:p>
            <w:r>
              <w:rPr>
                <w:color w:val="333333"/>
                <w:sz w:val="19"/>
              </w:rPr>
              <w:t>Quota</w:t>
            </w:r>
          </w:p>
        </w:tc>
        <w:tc>
          <w:tcPr>
            <w:tcW w:type="dxa" w:w="3312"/>
          </w:tcPr>
          <w:p>
            <w:r>
              <w:rPr>
                <w:color w:val="333333"/>
                <w:sz w:val="19"/>
              </w:rPr>
              <w:t>Gap to plan — attainment pressure</w:t>
            </w:r>
          </w:p>
        </w:tc>
      </w:tr>
      <w:tr>
        <w:tc>
          <w:tcPr>
            <w:tcW w:type="dxa" w:w="3600"/>
          </w:tcPr>
          <w:p>
            <w:r>
              <w:rPr>
                <w:color w:val="333333"/>
                <w:sz w:val="19"/>
              </w:rPr>
              <w:t>partner_pipe_lag4</w:t>
            </w:r>
          </w:p>
        </w:tc>
        <w:tc>
          <w:tcPr>
            <w:tcW w:type="dxa" w:w="864"/>
          </w:tcPr>
          <w:p>
            <w:r>
              <w:rPr>
                <w:color w:val="333333"/>
                <w:sz w:val="19"/>
              </w:rPr>
              <w:t>4</w:t>
            </w:r>
          </w:p>
        </w:tc>
        <w:tc>
          <w:tcPr>
            <w:tcW w:type="dxa" w:w="864"/>
          </w:tcPr>
          <w:p>
            <w:r>
              <w:rPr>
                <w:color w:val="333333"/>
                <w:sz w:val="19"/>
              </w:rPr>
              <w:t>No</w:t>
            </w:r>
          </w:p>
        </w:tc>
        <w:tc>
          <w:tcPr>
            <w:tcW w:type="dxa" w:w="1152"/>
          </w:tcPr>
          <w:p>
            <w:r>
              <w:rPr>
                <w:color w:val="333333"/>
                <w:sz w:val="19"/>
              </w:rPr>
              <w:t>Channel</w:t>
            </w:r>
          </w:p>
        </w:tc>
        <w:tc>
          <w:tcPr>
            <w:tcW w:type="dxa" w:w="3312"/>
          </w:tcPr>
          <w:p>
            <w:r>
              <w:rPr>
                <w:color w:val="333333"/>
                <w:sz w:val="19"/>
              </w:rPr>
              <w:t>Partner-sourced pipeline</w:t>
            </w:r>
          </w:p>
        </w:tc>
      </w:tr>
      <w:tr>
        <w:tc>
          <w:tcPr>
            <w:tcW w:type="dxa" w:w="3600"/>
          </w:tcPr>
          <w:p>
            <w:r>
              <w:rPr>
                <w:color w:val="333333"/>
                <w:sz w:val="19"/>
              </w:rPr>
              <w:t>sales_rep_ramp_ratio</w:t>
            </w:r>
          </w:p>
        </w:tc>
        <w:tc>
          <w:tcPr>
            <w:tcW w:type="dxa" w:w="864"/>
          </w:tcPr>
          <w:p>
            <w:r>
              <w:rPr>
                <w:color w:val="333333"/>
                <w:sz w:val="19"/>
              </w:rPr>
              <w:t>roll</w:t>
            </w:r>
          </w:p>
        </w:tc>
        <w:tc>
          <w:tcPr>
            <w:tcW w:type="dxa" w:w="864"/>
          </w:tcPr>
          <w:p>
            <w:r>
              <w:rPr>
                <w:color w:val="333333"/>
                <w:sz w:val="19"/>
              </w:rPr>
              <w:t>No</w:t>
            </w:r>
          </w:p>
        </w:tc>
        <w:tc>
          <w:tcPr>
            <w:tcW w:type="dxa" w:w="1152"/>
          </w:tcPr>
          <w:p>
            <w:r>
              <w:rPr>
                <w:color w:val="333333"/>
                <w:sz w:val="19"/>
              </w:rPr>
              <w:t>HR</w:t>
            </w:r>
          </w:p>
        </w:tc>
        <w:tc>
          <w:tcPr>
            <w:tcW w:type="dxa" w:w="3312"/>
          </w:tcPr>
          <w:p>
            <w:r>
              <w:rPr>
                <w:color w:val="333333"/>
                <w:sz w:val="19"/>
              </w:rPr>
              <w:t>Fraction of reps in ramp period</w:t>
            </w:r>
          </w:p>
        </w:tc>
      </w:tr>
      <w:tr>
        <w:tc>
          <w:tcPr>
            <w:tcW w:type="dxa" w:w="3600"/>
          </w:tcPr>
          <w:p>
            <w:r>
              <w:rPr>
                <w:color w:val="333333"/>
                <w:sz w:val="19"/>
              </w:rPr>
              <w:t>y_lag1/4/8/13/26</w:t>
            </w:r>
          </w:p>
        </w:tc>
        <w:tc>
          <w:tcPr>
            <w:tcW w:type="dxa" w:w="864"/>
          </w:tcPr>
          <w:p>
            <w:r>
              <w:rPr>
                <w:color w:val="333333"/>
                <w:sz w:val="19"/>
              </w:rPr>
              <w:t>var</w:t>
            </w:r>
          </w:p>
        </w:tc>
        <w:tc>
          <w:tcPr>
            <w:tcW w:type="dxa" w:w="864"/>
          </w:tcPr>
          <w:p>
            <w:r>
              <w:rPr>
                <w:color w:val="333333"/>
                <w:sz w:val="19"/>
              </w:rPr>
              <w:t>No</w:t>
            </w:r>
          </w:p>
        </w:tc>
        <w:tc>
          <w:tcPr>
            <w:tcW w:type="dxa" w:w="1152"/>
          </w:tcPr>
          <w:p>
            <w:r>
              <w:rPr>
                <w:color w:val="333333"/>
                <w:sz w:val="19"/>
              </w:rPr>
              <w:t>AR</w:t>
            </w:r>
          </w:p>
        </w:tc>
        <w:tc>
          <w:tcPr>
            <w:tcW w:type="dxa" w:w="3312"/>
          </w:tcPr>
          <w:p>
            <w:r>
              <w:rPr>
                <w:color w:val="333333"/>
                <w:sz w:val="19"/>
              </w:rPr>
              <w:t>Autoregressive ARR lags</w:t>
            </w:r>
          </w:p>
        </w:tc>
      </w:tr>
      <w:tr>
        <w:tc>
          <w:tcPr>
            <w:tcW w:type="dxa" w:w="3600"/>
          </w:tcPr>
          <w:p>
            <w:r>
              <w:rPr>
                <w:color w:val="333333"/>
                <w:sz w:val="19"/>
              </w:rPr>
              <w:t>r4w</w:t>
            </w:r>
          </w:p>
        </w:tc>
        <w:tc>
          <w:tcPr>
            <w:tcW w:type="dxa" w:w="864"/>
          </w:tcPr>
          <w:p>
            <w:r>
              <w:rPr>
                <w:color w:val="333333"/>
                <w:sz w:val="19"/>
              </w:rPr>
              <w:t>roll</w:t>
            </w:r>
          </w:p>
        </w:tc>
        <w:tc>
          <w:tcPr>
            <w:tcW w:type="dxa" w:w="864"/>
          </w:tcPr>
          <w:p>
            <w:r>
              <w:rPr>
                <w:color w:val="333333"/>
                <w:sz w:val="19"/>
              </w:rPr>
              <w:t>No</w:t>
            </w:r>
          </w:p>
        </w:tc>
        <w:tc>
          <w:tcPr>
            <w:tcW w:type="dxa" w:w="1152"/>
          </w:tcPr>
          <w:p>
            <w:r>
              <w:rPr>
                <w:color w:val="333333"/>
                <w:sz w:val="19"/>
              </w:rPr>
              <w:t>AR</w:t>
            </w:r>
          </w:p>
        </w:tc>
        <w:tc>
          <w:tcPr>
            <w:tcW w:type="dxa" w:w="3312"/>
          </w:tcPr>
          <w:p>
            <w:r>
              <w:rPr>
                <w:color w:val="333333"/>
                <w:sz w:val="19"/>
              </w:rPr>
              <w:t>4-week rolling mean</w:t>
            </w:r>
          </w:p>
        </w:tc>
      </w:tr>
      <w:tr>
        <w:tc>
          <w:tcPr>
            <w:tcW w:type="dxa" w:w="3600"/>
          </w:tcPr>
          <w:p>
            <w:r>
              <w:rPr>
                <w:color w:val="333333"/>
                <w:sz w:val="19"/>
              </w:rPr>
              <w:t>rolling_vol_4w, rolling_vol_13w</w:t>
            </w:r>
          </w:p>
        </w:tc>
        <w:tc>
          <w:tcPr>
            <w:tcW w:type="dxa" w:w="864"/>
          </w:tcPr>
          <w:p>
            <w:r>
              <w:rPr>
                <w:color w:val="333333"/>
                <w:sz w:val="19"/>
              </w:rPr>
              <w:t>roll</w:t>
            </w:r>
          </w:p>
        </w:tc>
        <w:tc>
          <w:tcPr>
            <w:tcW w:type="dxa" w:w="864"/>
          </w:tcPr>
          <w:p>
            <w:r>
              <w:rPr>
                <w:color w:val="333333"/>
                <w:sz w:val="19"/>
              </w:rPr>
              <w:t>No</w:t>
            </w:r>
          </w:p>
        </w:tc>
        <w:tc>
          <w:tcPr>
            <w:tcW w:type="dxa" w:w="1152"/>
          </w:tcPr>
          <w:p>
            <w:r>
              <w:rPr>
                <w:color w:val="333333"/>
                <w:sz w:val="19"/>
              </w:rPr>
              <w:t>Volatility</w:t>
            </w:r>
          </w:p>
        </w:tc>
        <w:tc>
          <w:tcPr>
            <w:tcW w:type="dxa" w:w="3312"/>
          </w:tcPr>
          <w:p>
            <w:r>
              <w:rPr>
                <w:color w:val="333333"/>
                <w:sz w:val="19"/>
              </w:rPr>
              <w:t>Short/long-term ARR std dev</w:t>
            </w:r>
          </w:p>
        </w:tc>
      </w:tr>
      <w:tr>
        <w:tc>
          <w:tcPr>
            <w:tcW w:type="dxa" w:w="3600"/>
          </w:tcPr>
          <w:p>
            <w:r>
              <w:rPr>
                <w:color w:val="333333"/>
                <w:sz w:val="19"/>
              </w:rPr>
              <w:t>yoy_growth, qoq_momentum</w:t>
            </w:r>
          </w:p>
        </w:tc>
        <w:tc>
          <w:tcPr>
            <w:tcW w:type="dxa" w:w="864"/>
          </w:tcPr>
          <w:p>
            <w:r>
              <w:rPr>
                <w:color w:val="333333"/>
                <w:sz w:val="19"/>
              </w:rPr>
              <w:t>calc</w:t>
            </w:r>
          </w:p>
        </w:tc>
        <w:tc>
          <w:tcPr>
            <w:tcW w:type="dxa" w:w="864"/>
          </w:tcPr>
          <w:p>
            <w:r>
              <w:rPr>
                <w:color w:val="333333"/>
                <w:sz w:val="19"/>
              </w:rPr>
              <w:t>No</w:t>
            </w:r>
          </w:p>
        </w:tc>
        <w:tc>
          <w:tcPr>
            <w:tcW w:type="dxa" w:w="1152"/>
          </w:tcPr>
          <w:p>
            <w:r>
              <w:rPr>
                <w:color w:val="333333"/>
                <w:sz w:val="19"/>
              </w:rPr>
              <w:t>Trend</w:t>
            </w:r>
          </w:p>
        </w:tc>
        <w:tc>
          <w:tcPr>
            <w:tcW w:type="dxa" w:w="3312"/>
          </w:tcPr>
          <w:p>
            <w:r>
              <w:rPr>
                <w:color w:val="333333"/>
                <w:sz w:val="19"/>
              </w:rPr>
              <w:t>YoY and QoQ ARR growth rates, clipped [-3,3]</w:t>
            </w:r>
          </w:p>
        </w:tc>
      </w:tr>
      <w:tr>
        <w:tc>
          <w:tcPr>
            <w:tcW w:type="dxa" w:w="3600"/>
          </w:tcPr>
          <w:p>
            <w:r>
              <w:rPr>
                <w:color w:val="333333"/>
                <w:sz w:val="19"/>
              </w:rPr>
              <w:t>us_holiday</w:t>
            </w:r>
          </w:p>
        </w:tc>
        <w:tc>
          <w:tcPr>
            <w:tcW w:type="dxa" w:w="864"/>
          </w:tcPr>
          <w:p>
            <w:r>
              <w:rPr>
                <w:color w:val="333333"/>
                <w:sz w:val="19"/>
              </w:rPr>
              <w:t>-</w:t>
            </w:r>
          </w:p>
        </w:tc>
        <w:tc>
          <w:tcPr>
            <w:tcW w:type="dxa" w:w="864"/>
          </w:tcPr>
          <w:p>
            <w:r>
              <w:rPr>
                <w:color w:val="333333"/>
                <w:sz w:val="19"/>
              </w:rPr>
              <w:t>No</w:t>
            </w:r>
          </w:p>
        </w:tc>
        <w:tc>
          <w:tcPr>
            <w:tcW w:type="dxa" w:w="1152"/>
          </w:tcPr>
          <w:p>
            <w:r>
              <w:rPr>
                <w:color w:val="333333"/>
                <w:sz w:val="19"/>
              </w:rPr>
              <w:t>Calendar</w:t>
            </w:r>
          </w:p>
        </w:tc>
        <w:tc>
          <w:tcPr>
            <w:tcW w:type="dxa" w:w="3312"/>
          </w:tcPr>
          <w:p>
            <w:r>
              <w:rPr>
                <w:color w:val="333333"/>
                <w:sz w:val="19"/>
              </w:rPr>
              <w:t>US federal holiday binary</w:t>
            </w:r>
          </w:p>
        </w:tc>
      </w:tr>
    </w:tbl>
    <w:p/>
    <w:p>
      <w:pPr>
        <w:pStyle w:val="Heading2"/>
      </w:pPr>
      <w:r>
        <w:rPr>
          <w:b/>
          <w:color w:val="0047AB"/>
        </w:rPr>
        <w:t>4.4 mc_actuals Authoritative Join (Key V6 Change)</w:t>
      </w:r>
    </w:p>
    <w:p>
      <w:pPr>
        <w:spacing w:after="120"/>
      </w:pPr>
      <w:r>
        <w:rPr>
          <w:b w:val="0"/>
          <w:i w:val="0"/>
          <w:color w:val="333333"/>
          <w:sz w:val="21"/>
        </w:rPr>
        <w:t>load_authoritative_mc_actuals() reads from datagroup.uc_forecast.actuals WHERE version = ACTUALS and period &gt;= start AND period &lt;= end. The result is aggregated monthly by sales_market and merged on month_key. mc_actuals_authoritative is then lagged 4 weeks to create mc_actuals_lag4. This resolves the systematic $15.5M vs $14.5M quarterly ARR discrepancy identified in the Sona gap analysis — the authoritative source matches the management reporting actuals used in QBRs.</w:t>
      </w:r>
    </w:p>
    <w:p>
      <w:pPr>
        <w:spacing w:after="120"/>
      </w:pPr>
      <w:r>
        <w:rPr>
          <w:b w:val="0"/>
          <w:i w:val="0"/>
          <w:color w:val="333333"/>
          <w:sz w:val="21"/>
        </w:rPr>
        <w:t>Cell 12 provides direct quantification: V5 proxy-only setup had cv_wape=30.038 and holdout_wape=22.488. V6 authoritative result should show improvement in both metrics. This is the single highest-impact accuracy change in V6.</w:t>
      </w:r>
    </w:p>
    <w:p/>
    <w:p>
      <w:r>
        <w:br w:type="page"/>
      </w:r>
    </w:p>
    <w:p>
      <w:pPr>
        <w:pStyle w:val="Heading1"/>
      </w:pPr>
      <w:r>
        <w:rPr>
          <w:b/>
          <w:color w:val="0047AB"/>
        </w:rPr>
        <w:t>Section 5: Evaluation Framework</w:t>
      </w:r>
    </w:p>
    <w:p>
      <w:pPr>
        <w:pStyle w:val="Heading2"/>
      </w:pPr>
      <w:r>
        <w:rPr>
          <w:b/>
          <w:color w:val="0047AB"/>
        </w:rPr>
        <w:t>5.1 Walk-Forward Cross-Validation</w:t>
      </w:r>
    </w:p>
    <w:p>
      <w:pPr>
        <w:spacing w:after="120"/>
      </w:pPr>
      <w:r>
        <w:rPr>
          <w:b w:val="0"/>
          <w:i w:val="0"/>
          <w:color w:val="333333"/>
          <w:sz w:val="21"/>
        </w:rPr>
        <w:t>BACKTEST_START = 2026-01-05 (Q1 2026). CV: 8 folds x 13-week horizon. MIN_TRAIN_WEEKS computed as len(model_df) - (CV_FOLDS * CV_HORIZON). Expanding window — correct for production usage. Holdout: test_df = ds &gt;= BACKTEST_START (Q1-Q2 2026). CV and holdout are independent — no overlap. The separation of train_df (pre-Q1 2026) and test_df (Q1-Q2 2026) is clean and avoids data contamination.</w:t>
      </w:r>
    </w:p>
    <w:p>
      <w:pPr>
        <w:pStyle w:val="Heading2"/>
      </w:pPr>
      <w:r>
        <w:rPr>
          <w:b/>
          <w:color w:val="0047AB"/>
        </w:rPr>
        <w:t>5.2 Metrics</w:t>
      </w:r>
    </w:p>
    <w:tbl>
      <w:tblPr>
        <w:tblStyle w:val="TableGrid"/>
        <w:tblW w:type="auto" w:w="0"/>
        <w:tblLook w:firstColumn="1" w:firstRow="1" w:lastColumn="0" w:lastRow="0" w:noHBand="0" w:noVBand="1" w:val="04A0"/>
      </w:tblPr>
      <w:tblGrid>
        <w:gridCol w:w="2340"/>
        <w:gridCol w:w="2340"/>
        <w:gridCol w:w="2340"/>
        <w:gridCol w:w="2340"/>
      </w:tblGrid>
      <w:tr>
        <w:tc>
          <w:tcPr>
            <w:tcW w:type="dxa" w:w="1728"/>
            <w:shd w:val="clear" w:color="auto" w:fill="0047AB"/>
          </w:tcPr>
          <w:p>
            <w:r>
              <w:rPr>
                <w:b/>
                <w:color w:val="FFFFFF"/>
                <w:sz w:val="20"/>
              </w:rPr>
              <w:t>Metric</w:t>
            </w:r>
          </w:p>
        </w:tc>
        <w:tc>
          <w:tcPr>
            <w:tcW w:type="dxa" w:w="2160"/>
            <w:shd w:val="clear" w:color="auto" w:fill="0047AB"/>
          </w:tcPr>
          <w:p>
            <w:r>
              <w:rPr>
                <w:b/>
                <w:color w:val="FFFFFF"/>
                <w:sz w:val="20"/>
              </w:rPr>
              <w:t>Role</w:t>
            </w:r>
          </w:p>
        </w:tc>
        <w:tc>
          <w:tcPr>
            <w:tcW w:type="dxa" w:w="2160"/>
            <w:shd w:val="clear" w:color="auto" w:fill="0047AB"/>
          </w:tcPr>
          <w:p>
            <w:r>
              <w:rPr>
                <w:b/>
                <w:color w:val="FFFFFF"/>
                <w:sz w:val="20"/>
              </w:rPr>
              <w:t>Target</w:t>
            </w:r>
          </w:p>
        </w:tc>
        <w:tc>
          <w:tcPr>
            <w:tcW w:type="dxa" w:w="3744"/>
            <w:shd w:val="clear" w:color="auto" w:fill="0047AB"/>
          </w:tcPr>
          <w:p>
            <w:r>
              <w:rPr>
                <w:b/>
                <w:color w:val="FFFFFF"/>
                <w:sz w:val="20"/>
              </w:rPr>
              <w:t>Notes</w:t>
            </w:r>
          </w:p>
        </w:tc>
      </w:tr>
      <w:tr>
        <w:tc>
          <w:tcPr>
            <w:tcW w:type="dxa" w:w="1728"/>
          </w:tcPr>
          <w:p>
            <w:r>
              <w:rPr>
                <w:color w:val="333333"/>
                <w:sz w:val="19"/>
              </w:rPr>
              <w:t>WAPE</w:t>
            </w:r>
          </w:p>
        </w:tc>
        <w:tc>
          <w:tcPr>
            <w:tcW w:type="dxa" w:w="2160"/>
          </w:tcPr>
          <w:p>
            <w:r>
              <w:rPr>
                <w:color w:val="333333"/>
                <w:sz w:val="19"/>
              </w:rPr>
              <w:t>Primary selection</w:t>
            </w:r>
          </w:p>
        </w:tc>
        <w:tc>
          <w:tcPr>
            <w:tcW w:type="dxa" w:w="2160"/>
          </w:tcPr>
          <w:p>
            <w:r>
              <w:rPr>
                <w:color w:val="333333"/>
                <w:sz w:val="19"/>
              </w:rPr>
              <w:t>&lt;15% for production</w:t>
            </w:r>
          </w:p>
        </w:tc>
        <w:tc>
          <w:tcPr>
            <w:tcW w:type="dxa" w:w="3744"/>
          </w:tcPr>
          <w:p>
            <w:r>
              <w:rPr>
                <w:color w:val="333333"/>
                <w:sz w:val="19"/>
              </w:rPr>
              <w:t>Scale-invariant; handles near-zero actuals correctly</w:t>
            </w:r>
          </w:p>
        </w:tc>
      </w:tr>
      <w:tr>
        <w:tc>
          <w:tcPr>
            <w:tcW w:type="dxa" w:w="1728"/>
          </w:tcPr>
          <w:p>
            <w:r>
              <w:rPr>
                <w:color w:val="333333"/>
                <w:sz w:val="19"/>
              </w:rPr>
              <w:t>MAPE</w:t>
            </w:r>
          </w:p>
        </w:tc>
        <w:tc>
          <w:tcPr>
            <w:tcW w:type="dxa" w:w="2160"/>
          </w:tcPr>
          <w:p>
            <w:r>
              <w:rPr>
                <w:color w:val="333333"/>
                <w:sz w:val="19"/>
              </w:rPr>
              <w:t>Secondary</w:t>
            </w:r>
          </w:p>
        </w:tc>
        <w:tc>
          <w:tcPr>
            <w:tcW w:type="dxa" w:w="2160"/>
          </w:tcPr>
          <w:p>
            <w:r>
              <w:rPr>
                <w:color w:val="333333"/>
                <w:sz w:val="19"/>
              </w:rPr>
              <w:t>&lt;20%</w:t>
            </w:r>
          </w:p>
        </w:tc>
        <w:tc>
          <w:tcPr>
            <w:tcW w:type="dxa" w:w="3744"/>
          </w:tcPr>
          <w:p>
            <w:r>
              <w:rPr>
                <w:color w:val="333333"/>
                <w:sz w:val="19"/>
              </w:rPr>
              <w:t>Inflated by ramp-week near-zero actuals — interpret with WAPE</w:t>
            </w:r>
          </w:p>
        </w:tc>
      </w:tr>
      <w:tr>
        <w:tc>
          <w:tcPr>
            <w:tcW w:type="dxa" w:w="1728"/>
          </w:tcPr>
          <w:p>
            <w:r>
              <w:rPr>
                <w:color w:val="333333"/>
                <w:sz w:val="19"/>
              </w:rPr>
              <w:t>MPE</w:t>
            </w:r>
          </w:p>
        </w:tc>
        <w:tc>
          <w:tcPr>
            <w:tcW w:type="dxa" w:w="2160"/>
          </w:tcPr>
          <w:p>
            <w:r>
              <w:rPr>
                <w:color w:val="333333"/>
                <w:sz w:val="19"/>
              </w:rPr>
              <w:t>Bias detection</w:t>
            </w:r>
          </w:p>
        </w:tc>
        <w:tc>
          <w:tcPr>
            <w:tcW w:type="dxa" w:w="2160"/>
          </w:tcPr>
          <w:p>
            <w:r>
              <w:rPr>
                <w:color w:val="333333"/>
                <w:sz w:val="19"/>
              </w:rPr>
              <w:t>|MPE| &lt; 5%</w:t>
            </w:r>
          </w:p>
        </w:tc>
        <w:tc>
          <w:tcPr>
            <w:tcW w:type="dxa" w:w="3744"/>
          </w:tcPr>
          <w:p>
            <w:r>
              <w:rPr>
                <w:color w:val="333333"/>
                <w:sz w:val="19"/>
              </w:rPr>
              <w:t>Positive = overforecast; negative = underforecast</w:t>
            </w:r>
          </w:p>
        </w:tc>
      </w:tr>
      <w:tr>
        <w:tc>
          <w:tcPr>
            <w:tcW w:type="dxa" w:w="1728"/>
          </w:tcPr>
          <w:p>
            <w:r>
              <w:rPr>
                <w:color w:val="333333"/>
                <w:sz w:val="19"/>
              </w:rPr>
              <w:t>SMAPE</w:t>
            </w:r>
          </w:p>
        </w:tc>
        <w:tc>
          <w:tcPr>
            <w:tcW w:type="dxa" w:w="2160"/>
          </w:tcPr>
          <w:p>
            <w:r>
              <w:rPr>
                <w:color w:val="333333"/>
                <w:sz w:val="19"/>
              </w:rPr>
              <w:t>Symmetry check</w:t>
            </w:r>
          </w:p>
        </w:tc>
        <w:tc>
          <w:tcPr>
            <w:tcW w:type="dxa" w:w="2160"/>
          </w:tcPr>
          <w:p>
            <w:r>
              <w:rPr>
                <w:color w:val="333333"/>
                <w:sz w:val="19"/>
              </w:rPr>
              <w:t>&lt;20%</w:t>
            </w:r>
          </w:p>
        </w:tc>
        <w:tc>
          <w:tcPr>
            <w:tcW w:type="dxa" w:w="3744"/>
          </w:tcPr>
          <w:p>
            <w:r>
              <w:rPr>
                <w:color w:val="333333"/>
                <w:sz w:val="19"/>
              </w:rPr>
              <w:t>Bounded [0,200]; avoids MAPE asymmetry</w:t>
            </w:r>
          </w:p>
        </w:tc>
      </w:tr>
      <w:tr>
        <w:tc>
          <w:tcPr>
            <w:tcW w:type="dxa" w:w="1728"/>
          </w:tcPr>
          <w:p>
            <w:r>
              <w:rPr>
                <w:color w:val="333333"/>
                <w:sz w:val="19"/>
              </w:rPr>
              <w:t>RMSE</w:t>
            </w:r>
          </w:p>
        </w:tc>
        <w:tc>
          <w:tcPr>
            <w:tcW w:type="dxa" w:w="2160"/>
          </w:tcPr>
          <w:p>
            <w:r>
              <w:rPr>
                <w:color w:val="333333"/>
                <w:sz w:val="19"/>
              </w:rPr>
              <w:t>Scale-aware</w:t>
            </w:r>
          </w:p>
        </w:tc>
        <w:tc>
          <w:tcPr>
            <w:tcW w:type="dxa" w:w="2160"/>
          </w:tcPr>
          <w:p>
            <w:r>
              <w:rPr>
                <w:color w:val="333333"/>
                <w:sz w:val="19"/>
              </w:rPr>
              <w:t>Contextual</w:t>
            </w:r>
          </w:p>
        </w:tc>
        <w:tc>
          <w:tcPr>
            <w:tcW w:type="dxa" w:w="3744"/>
          </w:tcPr>
          <w:p>
            <w:r>
              <w:rPr>
                <w:color w:val="333333"/>
                <w:sz w:val="19"/>
              </w:rPr>
              <w:t>Used for dollar-value monitoring alerts</w:t>
            </w:r>
          </w:p>
        </w:tc>
      </w:tr>
      <w:tr>
        <w:tc>
          <w:tcPr>
            <w:tcW w:type="dxa" w:w="1728"/>
          </w:tcPr>
          <w:p>
            <w:r>
              <w:rPr>
                <w:color w:val="333333"/>
                <w:sz w:val="19"/>
              </w:rPr>
              <w:t>CI Coverage</w:t>
            </w:r>
          </w:p>
        </w:tc>
        <w:tc>
          <w:tcPr>
            <w:tcW w:type="dxa" w:w="2160"/>
          </w:tcPr>
          <w:p>
            <w:r>
              <w:rPr>
                <w:color w:val="333333"/>
                <w:sz w:val="19"/>
              </w:rPr>
              <w:t>Interval validity</w:t>
            </w:r>
          </w:p>
        </w:tc>
        <w:tc>
          <w:tcPr>
            <w:tcW w:type="dxa" w:w="2160"/>
          </w:tcPr>
          <w:p>
            <w:r>
              <w:rPr>
                <w:color w:val="333333"/>
                <w:sz w:val="19"/>
              </w:rPr>
              <w:t>~80% for P10/P90</w:t>
            </w:r>
          </w:p>
        </w:tc>
        <w:tc>
          <w:tcPr>
            <w:tcW w:type="dxa" w:w="3744"/>
          </w:tcPr>
          <w:p>
            <w:r>
              <w:rPr>
                <w:color w:val="333333"/>
                <w:sz w:val="19"/>
              </w:rPr>
              <w:t>Only meaningful for LGB and Adaptive_Ensemble; target = 80% not 100%</w:t>
            </w:r>
          </w:p>
        </w:tc>
      </w:tr>
    </w:tbl>
    <w:p/>
    <w:p>
      <w:pPr>
        <w:pStyle w:val="Heading2"/>
      </w:pPr>
      <w:r>
        <w:rPr>
          <w:b/>
          <w:color w:val="0047AB"/>
        </w:rPr>
        <w:t>5.3 Model Selection — Q1 + Q4 WAPE Shortlist</w:t>
      </w:r>
    </w:p>
    <w:p>
      <w:pPr>
        <w:spacing w:after="120"/>
      </w:pPr>
      <w:r>
        <w:rPr>
          <w:b w:val="0"/>
          <w:i w:val="0"/>
          <w:color w:val="333333"/>
          <w:sz w:val="21"/>
        </w:rPr>
        <w:t>Models must clear WAPE thresholds in both Q1 (ramp-up uncertainty) and Q4 (commit season, highest stakes). This business-aligned selection criterion is preserved from V3+ and remains a strength. Models that perform well in average WAPE but fail in Q1 or Q4 are excluded from the production ensemble — the right business priority.</w:t>
      </w:r>
    </w:p>
    <w:p>
      <w:pPr>
        <w:pStyle w:val="Heading2"/>
      </w:pPr>
      <w:r>
        <w:rPr>
          <w:b/>
          <w:color w:val="0047AB"/>
        </w:rPr>
        <w:t>5.4 Monitoring Baseline (Cell 17)</w:t>
      </w:r>
    </w:p>
    <w:p>
      <w:pPr>
        <w:spacing w:after="120"/>
      </w:pPr>
      <w:r>
        <w:rPr>
          <w:b w:val="0"/>
          <w:i w:val="0"/>
          <w:color w:val="333333"/>
          <w:sz w:val="21"/>
        </w:rPr>
        <w:t>rolling_4w_wape_alert_threshold = cv_wape_baseline * 1.5 per model. Computed from retained_model_ranking. Gap still open: monitoring_baseline is printed but not persisted to Delta. Without a writable baseline table, automated alerting (e.g., a Databricks Job that computes rolling WAPE and compares to threshold) cannot be built. This is a P1 gap carried over from V4/V5.</w:t>
      </w:r>
    </w:p>
    <w:p/>
    <w:p>
      <w:r>
        <w:br w:type="page"/>
      </w:r>
    </w:p>
    <w:p>
      <w:pPr>
        <w:pStyle w:val="Heading1"/>
      </w:pPr>
      <w:r>
        <w:rPr>
          <w:b/>
          <w:color w:val="0047AB"/>
        </w:rPr>
        <w:t>Section 6: Accuracy Improvements — V5 to V6</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0047AB"/>
          </w:tcPr>
          <w:p>
            <w:r>
              <w:rPr>
                <w:b/>
                <w:color w:val="FFFFFF"/>
                <w:sz w:val="20"/>
              </w:rPr>
              <w:t>Change</w:t>
            </w:r>
          </w:p>
        </w:tc>
        <w:tc>
          <w:tcPr>
            <w:tcW w:type="dxa" w:w="3312"/>
            <w:shd w:val="clear" w:color="auto" w:fill="0047AB"/>
          </w:tcPr>
          <w:p>
            <w:r>
              <w:rPr>
                <w:b/>
                <w:color w:val="FFFFFF"/>
                <w:sz w:val="20"/>
              </w:rPr>
              <w:t>Mechanism</w:t>
            </w:r>
          </w:p>
        </w:tc>
        <w:tc>
          <w:tcPr>
            <w:tcW w:type="dxa" w:w="2880"/>
            <w:shd w:val="clear" w:color="auto" w:fill="0047AB"/>
          </w:tcPr>
          <w:p>
            <w:r>
              <w:rPr>
                <w:b/>
                <w:color w:val="FFFFFF"/>
                <w:sz w:val="20"/>
              </w:rPr>
              <w:t>Expected Impact</w:t>
            </w:r>
          </w:p>
        </w:tc>
        <w:tc>
          <w:tcPr>
            <w:tcW w:type="dxa" w:w="1152"/>
            <w:shd w:val="clear" w:color="auto" w:fill="0047AB"/>
          </w:tcPr>
          <w:p>
            <w:r>
              <w:rPr>
                <w:b/>
                <w:color w:val="FFFFFF"/>
                <w:sz w:val="20"/>
              </w:rPr>
              <w:t>Confidence</w:t>
            </w:r>
          </w:p>
        </w:tc>
      </w:tr>
      <w:tr>
        <w:tc>
          <w:tcPr>
            <w:tcW w:type="dxa" w:w="2592"/>
          </w:tcPr>
          <w:p>
            <w:r>
              <w:rPr>
                <w:color w:val="333333"/>
                <w:sz w:val="19"/>
              </w:rPr>
              <w:t>mc_actuals_lag4 (authoritative)</w:t>
            </w:r>
          </w:p>
        </w:tc>
        <w:tc>
          <w:tcPr>
            <w:tcW w:type="dxa" w:w="3312"/>
          </w:tcPr>
          <w:p>
            <w:r>
              <w:rPr>
                <w:color w:val="333333"/>
                <w:sz w:val="19"/>
              </w:rPr>
              <w:t>Replaces proxy scalar with true monthly actuals by market from datagroup.uc_forecast.actuals; 4-week lag to avoid leakage</w:t>
            </w:r>
          </w:p>
        </w:tc>
        <w:tc>
          <w:tcPr>
            <w:tcW w:type="dxa" w:w="2880"/>
          </w:tcPr>
          <w:p>
            <w:r>
              <w:rPr>
                <w:color w:val="333333"/>
                <w:sz w:val="19"/>
              </w:rPr>
              <w:t>High — resolves the source of the $15.5M systematic ARR discrepancy. Cell 12 shows V5 proxy holdout_wape=22.488; V6 should be materially lower.</w:t>
            </w:r>
          </w:p>
        </w:tc>
        <w:tc>
          <w:tcPr>
            <w:tcW w:type="dxa" w:w="1152"/>
          </w:tcPr>
          <w:p>
            <w:r>
              <w:rPr>
                <w:color w:val="333333"/>
                <w:sz w:val="19"/>
              </w:rPr>
              <w:t>High</w:t>
            </w:r>
          </w:p>
        </w:tc>
      </w:tr>
      <w:tr>
        <w:tc>
          <w:tcPr>
            <w:tcW w:type="dxa" w:w="2592"/>
          </w:tcPr>
          <w:p>
            <w:r>
              <w:rPr>
                <w:color w:val="333333"/>
                <w:sz w:val="19"/>
              </w:rPr>
              <w:t>avg_opportunity_age as feature</w:t>
            </w:r>
          </w:p>
        </w:tc>
        <w:tc>
          <w:tcPr>
            <w:tcW w:type="dxa" w:w="3312"/>
          </w:tcPr>
          <w:p>
            <w:r>
              <w:rPr>
                <w:color w:val="333333"/>
                <w:sz w:val="19"/>
              </w:rPr>
              <w:t>Deal age captures complexity dynamics independently of pipeline_velocity. Long-aging deals have different close patterns than fast-moving ones.</w:t>
            </w:r>
          </w:p>
        </w:tc>
        <w:tc>
          <w:tcPr>
            <w:tcW w:type="dxa" w:w="2880"/>
          </w:tcPr>
          <w:p>
            <w:r>
              <w:rPr>
                <w:color w:val="333333"/>
                <w:sz w:val="19"/>
              </w:rPr>
              <w:t>Moderate — adds a dimension of deal lifecycle information not captured by existing features</w:t>
            </w:r>
          </w:p>
        </w:tc>
        <w:tc>
          <w:tcPr>
            <w:tcW w:type="dxa" w:w="1152"/>
          </w:tcPr>
          <w:p>
            <w:r>
              <w:rPr>
                <w:color w:val="333333"/>
                <w:sz w:val="19"/>
              </w:rPr>
              <w:t>Medium</w:t>
            </w:r>
          </w:p>
        </w:tc>
      </w:tr>
      <w:tr>
        <w:tc>
          <w:tcPr>
            <w:tcW w:type="dxa" w:w="2592"/>
          </w:tcPr>
          <w:p>
            <w:r>
              <w:rPr>
                <w:color w:val="333333"/>
                <w:sz w:val="19"/>
              </w:rPr>
              <w:t>ETS multiplicative seasonal</w:t>
            </w:r>
          </w:p>
        </w:tc>
        <w:tc>
          <w:tcPr>
            <w:tcW w:type="dxa" w:w="3312"/>
          </w:tcPr>
          <w:p>
            <w:r>
              <w:rPr>
                <w:color w:val="333333"/>
                <w:sz w:val="19"/>
              </w:rPr>
              <w:t>ARR seasonal amplitude scales with ARR level (multiplicative is correct for growing series). Additive seasonal assumes constant amplitude — underestimates peaks in high-ARR quarters.</w:t>
            </w:r>
          </w:p>
        </w:tc>
        <w:tc>
          <w:tcPr>
            <w:tcW w:type="dxa" w:w="2880"/>
          </w:tcPr>
          <w:p>
            <w:r>
              <w:rPr>
                <w:color w:val="333333"/>
                <w:sz w:val="19"/>
              </w:rPr>
              <w:t>Moderate positive — especially in Q4 where ARR level is highest and seasonal amplitude is largest</w:t>
            </w:r>
          </w:p>
        </w:tc>
        <w:tc>
          <w:tcPr>
            <w:tcW w:type="dxa" w:w="1152"/>
          </w:tcPr>
          <w:p>
            <w:r>
              <w:rPr>
                <w:color w:val="333333"/>
                <w:sz w:val="19"/>
              </w:rPr>
              <w:t>High</w:t>
            </w:r>
          </w:p>
        </w:tc>
      </w:tr>
      <w:tr>
        <w:tc>
          <w:tcPr>
            <w:tcW w:type="dxa" w:w="2592"/>
          </w:tcPr>
          <w:p>
            <w:r>
              <w:rPr>
                <w:color w:val="333333"/>
                <w:sz w:val="19"/>
              </w:rPr>
              <w:t>Dual Delta write (v5 + v4)</w:t>
            </w:r>
          </w:p>
        </w:tc>
        <w:tc>
          <w:tcPr>
            <w:tcW w:type="dxa" w:w="3312"/>
          </w:tcPr>
          <w:p>
            <w:r>
              <w:rPr>
                <w:color w:val="333333"/>
                <w:sz w:val="19"/>
              </w:rPr>
              <w:t>No accuracy impact — purely operational. Ensures downstream consumers using the v4 table (e.g., Atlas app) continue to receive fresh forecasts without a migration step.</w:t>
            </w:r>
          </w:p>
        </w:tc>
        <w:tc>
          <w:tcPr>
            <w:tcW w:type="dxa" w:w="2880"/>
          </w:tcPr>
          <w:p>
            <w:r>
              <w:rPr>
                <w:color w:val="333333"/>
                <w:sz w:val="19"/>
              </w:rPr>
              <w:t>None on accuracy; high operational value</w:t>
            </w:r>
          </w:p>
        </w:tc>
        <w:tc>
          <w:tcPr>
            <w:tcW w:type="dxa" w:w="1152"/>
          </w:tcPr>
          <w:p>
            <w:r>
              <w:rPr>
                <w:color w:val="333333"/>
                <w:sz w:val="19"/>
              </w:rPr>
              <w:t>Operational</w:t>
            </w:r>
          </w:p>
        </w:tc>
      </w:tr>
      <w:tr>
        <w:tc>
          <w:tcPr>
            <w:tcW w:type="dxa" w:w="2592"/>
          </w:tcPr>
          <w:p>
            <w:r>
              <w:rPr>
                <w:color w:val="333333"/>
                <w:sz w:val="19"/>
              </w:rPr>
              <w:t>Explicit leaky column documentation</w:t>
            </w:r>
          </w:p>
        </w:tc>
        <w:tc>
          <w:tcPr>
            <w:tcW w:type="dxa" w:w="3312"/>
          </w:tcPr>
          <w:p>
            <w:r>
              <w:rPr>
                <w:color w:val="333333"/>
                <w:sz w:val="19"/>
              </w:rPr>
              <w:t>Prevents future accidental feature leakage in model updates. Governance safeguard.</w:t>
            </w:r>
          </w:p>
        </w:tc>
        <w:tc>
          <w:tcPr>
            <w:tcW w:type="dxa" w:w="2880"/>
          </w:tcPr>
          <w:p>
            <w:r>
              <w:rPr>
                <w:color w:val="333333"/>
                <w:sz w:val="19"/>
              </w:rPr>
              <w:t>Indirect — prevents future accuracy degradation</w:t>
            </w:r>
          </w:p>
        </w:tc>
        <w:tc>
          <w:tcPr>
            <w:tcW w:type="dxa" w:w="1152"/>
          </w:tcPr>
          <w:p>
            <w:r>
              <w:rPr>
                <w:color w:val="333333"/>
                <w:sz w:val="19"/>
              </w:rPr>
              <w:t>Preventive</w:t>
            </w:r>
          </w:p>
        </w:tc>
      </w:tr>
    </w:tbl>
    <w:p/>
    <w:p>
      <w:pPr>
        <w:pStyle w:val="Heading2"/>
      </w:pPr>
      <w:r>
        <w:rPr>
          <w:b/>
          <w:color w:val="0047AB"/>
        </w:rPr>
        <w:t>Remaining Accuracy Gaps</w:t>
      </w:r>
    </w:p>
    <w:p>
      <w:pPr>
        <w:pStyle w:val="ListBullet"/>
        <w:ind w:left="504"/>
      </w:pPr>
      <w:r>
        <w:rPr>
          <w:color w:val="333333"/>
          <w:sz w:val="20"/>
        </w:rPr>
        <w:t>MSTL, ETS, DHR-ARIMA, Prophet all produce NaN P10/P90. Only LGB and Adaptive_Ensemble have uncertainty bounds. Executives viewing individual model CIs see nothing for 4 of 5 models.</w:t>
      </w:r>
    </w:p>
    <w:p>
      <w:pPr>
        <w:pStyle w:val="ListBullet"/>
        <w:ind w:left="504"/>
      </w:pPr>
      <w:r>
        <w:rPr>
          <w:color w:val="333333"/>
          <w:sz w:val="20"/>
        </w:rPr>
        <w:t>marketing_generated_pipeline and marketing_influenced_pipeline are now pulled from source but excluded (correctly, as same-week). Lagged versions (lag4, lag8) could add demand-gen signal in V7.</w:t>
      </w:r>
    </w:p>
    <w:p>
      <w:pPr>
        <w:pStyle w:val="ListBullet"/>
        <w:ind w:left="504"/>
      </w:pPr>
      <w:r>
        <w:rPr>
          <w:color w:val="333333"/>
          <w:sz w:val="20"/>
        </w:rPr>
        <w:t>Ensemble interval calibration uses unconditional holdout error quantiles. A market- and quarter-conditioned conformal prediction approach would yield tighter, more accurate intervals.</w:t>
      </w:r>
    </w:p>
    <w:p>
      <w:pPr>
        <w:pStyle w:val="ListBullet"/>
        <w:ind w:left="504"/>
      </w:pPr>
      <w:r>
        <w:rPr>
          <w:color w:val="333333"/>
          <w:sz w:val="20"/>
        </w:rPr>
        <w:t>Global LGB trains three separate P10/P50/P90 models independently — quantile monotonicity enforced only post-hoc. Isotonic regression post-processing would be mathematically cleaner than np.clip.</w:t>
      </w:r>
    </w:p>
    <w:p/>
    <w:p>
      <w:r>
        <w:br w:type="page"/>
      </w:r>
    </w:p>
    <w:p>
      <w:pPr>
        <w:pStyle w:val="Heading1"/>
      </w:pPr>
      <w:r>
        <w:rPr>
          <w:b/>
          <w:color w:val="0047AB"/>
        </w:rPr>
        <w:t>Section 7: Ensemble &amp; Hierarchical Reconciliation</w:t>
      </w:r>
    </w:p>
    <w:p>
      <w:pPr>
        <w:pStyle w:val="Heading2"/>
      </w:pPr>
      <w:r>
        <w:rPr>
          <w:b/>
          <w:color w:val="0047AB"/>
        </w:rPr>
        <w:t>7.1 Granger-Ramanathan Ensemble — Unchanged</w:t>
      </w:r>
    </w:p>
    <w:p>
      <w:pPr>
        <w:spacing w:after="120"/>
      </w:pPr>
      <w:r>
        <w:rPr>
          <w:b w:val="0"/>
          <w:i w:val="0"/>
          <w:color w:val="333333"/>
          <w:sz w:val="21"/>
        </w:rPr>
        <w:t>Covariance-optimal weights: w = pinv(Sigma) @ ones / (ones.T @ pinv(Sigma) @ ones). Ridge (1e-6) + non-negativity clip. Fallback to 1/WAPE weights on degenerate covariance. Theoretically optimal under normality. Works well in practice with 8 CV folds. No changes in V6 — this is stable and correct.</w:t>
      </w:r>
    </w:p>
    <w:p>
      <w:pPr>
        <w:pStyle w:val="Heading2"/>
      </w:pPr>
      <w:r>
        <w:rPr>
          <w:b/>
          <w:color w:val="0047AB"/>
        </w:rPr>
        <w:t>7.2 Ensemble Market Reconciliation — Improved in V6</w:t>
      </w:r>
    </w:p>
    <w:p>
      <w:pPr>
        <w:spacing w:after="120"/>
      </w:pPr>
      <w:r>
        <w:rPr>
          <w:b w:val="0"/>
          <w:i w:val="0"/>
          <w:color w:val="333333"/>
          <w:sz w:val="21"/>
        </w:rPr>
        <w:t>V6 makes the market-level ensemble reconciliation more explicit:</w:t>
      </w:r>
    </w:p>
    <w:p>
      <w:pPr>
        <w:pStyle w:val="ListBullet"/>
        <w:ind w:left="504"/>
      </w:pPr>
      <w:r>
        <w:rPr>
          <w:color w:val="333333"/>
          <w:sz w:val="20"/>
        </w:rPr>
        <w:t>Step 1: compute weighted ensemble p50 per (ds, sales_market)</w:t>
      </w:r>
    </w:p>
    <w:p>
      <w:pPr>
        <w:pStyle w:val="ListBullet"/>
        <w:ind w:left="504"/>
      </w:pPr>
      <w:r>
        <w:rPr>
          <w:color w:val="333333"/>
          <w:sz w:val="20"/>
        </w:rPr>
        <w:t>Step 2: sum market p50s to get base_market_total</w:t>
      </w:r>
    </w:p>
    <w:p>
      <w:pPr>
        <w:pStyle w:val="ListBullet"/>
        <w:ind w:left="504"/>
      </w:pPr>
      <w:r>
        <w:rPr>
          <w:color w:val="333333"/>
          <w:sz w:val="20"/>
        </w:rPr>
        <w:t>Step 3: scale each market by reconcile_scale = ensemble_total_p50 / base_market_total — ensures market shares sum exactly to total</w:t>
      </w:r>
    </w:p>
    <w:p>
      <w:pPr>
        <w:pStyle w:val="ListBullet"/>
        <w:ind w:left="504"/>
      </w:pPr>
      <w:r>
        <w:rPr>
          <w:color w:val="333333"/>
          <w:sz w:val="20"/>
        </w:rPr>
        <w:t>Step 4: derive market P10/P90 by applying market_share to total_p10 / total_p90</w:t>
      </w:r>
    </w:p>
    <w:p>
      <w:pPr>
        <w:spacing w:after="120"/>
      </w:pPr>
      <w:r>
        <w:rPr>
          <w:b w:val="0"/>
          <w:i w:val="0"/>
          <w:color w:val="333333"/>
          <w:sz w:val="21"/>
        </w:rPr>
        <w:t>This is a top-down proportional reconciliation, not MinT. It is numerically consistent (markets sum to total) but does not optimally reduce reconciliation error via covariance structure. The estimate_mint_covariances() function computes the hierarchy covariance but the WLS projection is still not applied — this remains an open P1 gap.</w:t>
      </w:r>
    </w:p>
    <w:p>
      <w:pPr>
        <w:pStyle w:val="Heading2"/>
      </w:pPr>
      <w:r>
        <w:rPr>
          <w:b/>
          <w:color w:val="0047AB"/>
        </w:rPr>
        <w:t>7.3 Recommendations</w:t>
      </w:r>
    </w:p>
    <w:p>
      <w:pPr>
        <w:pStyle w:val="ListBullet"/>
        <w:ind w:left="504"/>
      </w:pPr>
      <w:r>
        <w:rPr>
          <w:color w:val="333333"/>
          <w:sz w:val="20"/>
        </w:rPr>
        <w:t>P1: Complete MinT reconciliation — apply WLS projection using the estimated covariance matrix. Infrastructure is in place (estimate_mint_covariances). One implementation step remaining.</w:t>
      </w:r>
    </w:p>
    <w:p>
      <w:pPr>
        <w:pStyle w:val="ListBullet"/>
        <w:ind w:left="504"/>
      </w:pPr>
      <w:r>
        <w:rPr>
          <w:color w:val="333333"/>
          <w:sz w:val="20"/>
        </w:rPr>
        <w:t>P2: Conditional ensemble interval calibration — compute error quantiles by market and by quarter (16 segments = 4 markets x 4 quarters). Expected interval width reduction: 15-25% in stable segments.</w:t>
      </w:r>
    </w:p>
    <w:p>
      <w:pPr>
        <w:pStyle w:val="ListBullet"/>
        <w:ind w:left="504"/>
      </w:pPr>
      <w:r>
        <w:rPr>
          <w:color w:val="333333"/>
          <w:sz w:val="20"/>
        </w:rPr>
        <w:t>P2: Quantile Regression Averaging for ensemble P10/P90 — combine individual model quantile outputs with GR weights rather than adding a fixed error quantile offset to P50.</w:t>
      </w:r>
    </w:p>
    <w:p/>
    <w:p>
      <w:r>
        <w:br w:type="page"/>
      </w:r>
    </w:p>
    <w:p>
      <w:pPr>
        <w:pStyle w:val="Heading1"/>
      </w:pPr>
      <w:r>
        <w:rPr>
          <w:b/>
          <w:color w:val="0047AB"/>
        </w:rPr>
        <w:t>Section 8: Advanced Recommendations — Prioritized</w:t>
      </w:r>
    </w:p>
    <w:tbl>
      <w:tblPr>
        <w:tblStyle w:val="TableGrid"/>
        <w:tblW w:type="auto" w:w="0"/>
        <w:tblLook w:firstColumn="1" w:firstRow="1" w:lastColumn="0" w:lastRow="0" w:noHBand="0" w:noVBand="1" w:val="04A0"/>
      </w:tblPr>
      <w:tblGrid>
        <w:gridCol w:w="2340"/>
        <w:gridCol w:w="2340"/>
        <w:gridCol w:w="2340"/>
        <w:gridCol w:w="2340"/>
      </w:tblGrid>
      <w:tr>
        <w:tc>
          <w:tcPr>
            <w:tcW w:type="dxa" w:w="1872"/>
            <w:shd w:val="clear" w:color="auto" w:fill="0047AB"/>
          </w:tcPr>
          <w:p>
            <w:r>
              <w:rPr>
                <w:b/>
                <w:color w:val="FFFFFF"/>
                <w:sz w:val="20"/>
              </w:rPr>
              <w:t>Priority</w:t>
            </w:r>
          </w:p>
        </w:tc>
        <w:tc>
          <w:tcPr>
            <w:tcW w:type="dxa" w:w="4320"/>
            <w:shd w:val="clear" w:color="auto" w:fill="0047AB"/>
          </w:tcPr>
          <w:p>
            <w:r>
              <w:rPr>
                <w:b/>
                <w:color w:val="FFFFFF"/>
                <w:sz w:val="20"/>
              </w:rPr>
              <w:t>Recommendation</w:t>
            </w:r>
          </w:p>
        </w:tc>
        <w:tc>
          <w:tcPr>
            <w:tcW w:type="dxa" w:w="1152"/>
            <w:shd w:val="clear" w:color="auto" w:fill="0047AB"/>
          </w:tcPr>
          <w:p>
            <w:r>
              <w:rPr>
                <w:b/>
                <w:color w:val="FFFFFF"/>
                <w:sz w:val="20"/>
              </w:rPr>
              <w:t>Effort</w:t>
            </w:r>
          </w:p>
        </w:tc>
        <w:tc>
          <w:tcPr>
            <w:tcW w:type="dxa" w:w="2736"/>
            <w:shd w:val="clear" w:color="auto" w:fill="0047AB"/>
          </w:tcPr>
          <w:p>
            <w:r>
              <w:rPr>
                <w:b/>
                <w:color w:val="FFFFFF"/>
                <w:sz w:val="20"/>
              </w:rPr>
              <w:t>Expected Impact</w:t>
            </w:r>
          </w:p>
        </w:tc>
      </w:tr>
      <w:tr>
        <w:tc>
          <w:tcPr>
            <w:tcW w:type="dxa" w:w="1872"/>
          </w:tcPr>
          <w:p>
            <w:r>
              <w:rPr>
                <w:color w:val="333333"/>
                <w:sz w:val="19"/>
              </w:rPr>
              <w:t>P0 — DONE (V5)</w:t>
            </w:r>
          </w:p>
        </w:tc>
        <w:tc>
          <w:tcPr>
            <w:tcW w:type="dxa" w:w="4320"/>
          </w:tcPr>
          <w:p>
            <w:r>
              <w:rPr>
                <w:color w:val="333333"/>
                <w:sz w:val="19"/>
              </w:rPr>
              <w:t>Delta table write</w:t>
            </w:r>
          </w:p>
        </w:tc>
        <w:tc>
          <w:tcPr>
            <w:tcW w:type="dxa" w:w="1152"/>
          </w:tcPr>
          <w:p>
            <w:r>
              <w:rPr>
                <w:color w:val="333333"/>
                <w:sz w:val="19"/>
              </w:rPr>
              <w:t>Completed</w:t>
            </w:r>
          </w:p>
        </w:tc>
        <w:tc>
          <w:tcPr>
            <w:tcW w:type="dxa" w:w="2736"/>
          </w:tcPr>
          <w:p>
            <w:r>
              <w:rPr>
                <w:color w:val="333333"/>
                <w:sz w:val="19"/>
              </w:rPr>
              <w:t>Production write pipeline</w:t>
            </w:r>
          </w:p>
        </w:tc>
      </w:tr>
      <w:tr>
        <w:tc>
          <w:tcPr>
            <w:tcW w:type="dxa" w:w="1872"/>
          </w:tcPr>
          <w:p>
            <w:r>
              <w:rPr>
                <w:color w:val="333333"/>
                <w:sz w:val="19"/>
              </w:rPr>
              <w:t>P0 — DONE (V5)</w:t>
            </w:r>
          </w:p>
        </w:tc>
        <w:tc>
          <w:tcPr>
            <w:tcW w:type="dxa" w:w="4320"/>
          </w:tcPr>
          <w:p>
            <w:r>
              <w:rPr>
                <w:color w:val="333333"/>
                <w:sz w:val="19"/>
              </w:rPr>
              <w:t>LGB quantile crossing guard</w:t>
            </w:r>
          </w:p>
        </w:tc>
        <w:tc>
          <w:tcPr>
            <w:tcW w:type="dxa" w:w="1152"/>
          </w:tcPr>
          <w:p>
            <w:r>
              <w:rPr>
                <w:color w:val="333333"/>
                <w:sz w:val="19"/>
              </w:rPr>
              <w:t>Completed</w:t>
            </w:r>
          </w:p>
        </w:tc>
        <w:tc>
          <w:tcPr>
            <w:tcW w:type="dxa" w:w="2736"/>
          </w:tcPr>
          <w:p>
            <w:r>
              <w:rPr>
                <w:color w:val="333333"/>
                <w:sz w:val="19"/>
              </w:rPr>
              <w:t>Interval correctness</w:t>
            </w:r>
          </w:p>
        </w:tc>
      </w:tr>
      <w:tr>
        <w:tc>
          <w:tcPr>
            <w:tcW w:type="dxa" w:w="1872"/>
          </w:tcPr>
          <w:p>
            <w:r>
              <w:rPr>
                <w:color w:val="333333"/>
                <w:sz w:val="19"/>
              </w:rPr>
              <w:t>P0 — DONE (V5)</w:t>
            </w:r>
          </w:p>
        </w:tc>
        <w:tc>
          <w:tcPr>
            <w:tcW w:type="dxa" w:w="4320"/>
          </w:tcPr>
          <w:p>
            <w:r>
              <w:rPr>
                <w:color w:val="333333"/>
                <w:sz w:val="19"/>
              </w:rPr>
              <w:t>Ensemble P10/P90 calibration</w:t>
            </w:r>
          </w:p>
        </w:tc>
        <w:tc>
          <w:tcPr>
            <w:tcW w:type="dxa" w:w="1152"/>
          </w:tcPr>
          <w:p>
            <w:r>
              <w:rPr>
                <w:color w:val="333333"/>
                <w:sz w:val="19"/>
              </w:rPr>
              <w:t>Completed</w:t>
            </w:r>
          </w:p>
        </w:tc>
        <w:tc>
          <w:tcPr>
            <w:tcW w:type="dxa" w:w="2736"/>
          </w:tcPr>
          <w:p>
            <w:r>
              <w:rPr>
                <w:color w:val="333333"/>
                <w:sz w:val="19"/>
              </w:rPr>
              <w:t>Exec-facing uncertainty bounds</w:t>
            </w:r>
          </w:p>
        </w:tc>
      </w:tr>
      <w:tr>
        <w:tc>
          <w:tcPr>
            <w:tcW w:type="dxa" w:w="1872"/>
          </w:tcPr>
          <w:p>
            <w:r>
              <w:rPr>
                <w:color w:val="333333"/>
                <w:sz w:val="19"/>
              </w:rPr>
              <w:t>P1 — DONE (V6)</w:t>
            </w:r>
          </w:p>
        </w:tc>
        <w:tc>
          <w:tcPr>
            <w:tcW w:type="dxa" w:w="4320"/>
          </w:tcPr>
          <w:p>
            <w:r>
              <w:rPr>
                <w:color w:val="333333"/>
                <w:sz w:val="19"/>
              </w:rPr>
              <w:t>PRODUCTION_OUTPUT_TABLE naming (ucc_forecast_v5)</w:t>
            </w:r>
          </w:p>
        </w:tc>
        <w:tc>
          <w:tcPr>
            <w:tcW w:type="dxa" w:w="1152"/>
          </w:tcPr>
          <w:p>
            <w:r>
              <w:rPr>
                <w:color w:val="333333"/>
                <w:sz w:val="19"/>
              </w:rPr>
              <w:t>Completed</w:t>
            </w:r>
          </w:p>
        </w:tc>
        <w:tc>
          <w:tcPr>
            <w:tcW w:type="dxa" w:w="2736"/>
          </w:tcPr>
          <w:p>
            <w:r>
              <w:rPr>
                <w:color w:val="333333"/>
                <w:sz w:val="19"/>
              </w:rPr>
              <w:t>Naming consistency + dual write</w:t>
            </w:r>
          </w:p>
        </w:tc>
      </w:tr>
      <w:tr>
        <w:tc>
          <w:tcPr>
            <w:tcW w:type="dxa" w:w="1872"/>
          </w:tcPr>
          <w:p>
            <w:r>
              <w:rPr>
                <w:color w:val="333333"/>
                <w:sz w:val="19"/>
              </w:rPr>
              <w:t>P1 — DONE (V6)</w:t>
            </w:r>
          </w:p>
        </w:tc>
        <w:tc>
          <w:tcPr>
            <w:tcW w:type="dxa" w:w="4320"/>
          </w:tcPr>
          <w:p>
            <w:r>
              <w:rPr>
                <w:color w:val="333333"/>
                <w:sz w:val="19"/>
              </w:rPr>
              <w:t>Authoritative mc_actuals join (datagroup.uc_forecast.actuals)</w:t>
            </w:r>
          </w:p>
        </w:tc>
        <w:tc>
          <w:tcPr>
            <w:tcW w:type="dxa" w:w="1152"/>
          </w:tcPr>
          <w:p>
            <w:r>
              <w:rPr>
                <w:color w:val="333333"/>
                <w:sz w:val="19"/>
              </w:rPr>
              <w:t>Completed</w:t>
            </w:r>
          </w:p>
        </w:tc>
        <w:tc>
          <w:tcPr>
            <w:tcW w:type="dxa" w:w="2736"/>
          </w:tcPr>
          <w:p>
            <w:r>
              <w:rPr>
                <w:color w:val="333333"/>
                <w:sz w:val="19"/>
              </w:rPr>
              <w:t>Eliminates systematic ARR discrepancy</w:t>
            </w:r>
          </w:p>
        </w:tc>
      </w:tr>
      <w:tr>
        <w:tc>
          <w:tcPr>
            <w:tcW w:type="dxa" w:w="1872"/>
          </w:tcPr>
          <w:p>
            <w:r>
              <w:rPr>
                <w:color w:val="333333"/>
                <w:sz w:val="19"/>
              </w:rPr>
              <w:t>P1 — OPEN</w:t>
            </w:r>
          </w:p>
        </w:tc>
        <w:tc>
          <w:tcPr>
            <w:tcW w:type="dxa" w:w="4320"/>
          </w:tcPr>
          <w:p>
            <w:r>
              <w:rPr>
                <w:color w:val="333333"/>
                <w:sz w:val="19"/>
              </w:rPr>
              <w:t>Persist monitoring_baseline to Delta table (ucc_forecast_monitoring_baseline)</w:t>
            </w:r>
          </w:p>
        </w:tc>
        <w:tc>
          <w:tcPr>
            <w:tcW w:type="dxa" w:w="1152"/>
          </w:tcPr>
          <w:p>
            <w:r>
              <w:rPr>
                <w:color w:val="333333"/>
                <w:sz w:val="19"/>
              </w:rPr>
              <w:t>0.5 days</w:t>
            </w:r>
          </w:p>
        </w:tc>
        <w:tc>
          <w:tcPr>
            <w:tcW w:type="dxa" w:w="2736"/>
          </w:tcPr>
          <w:p>
            <w:r>
              <w:rPr>
                <w:color w:val="333333"/>
                <w:sz w:val="19"/>
              </w:rPr>
              <w:t>Enables automated alerting</w:t>
            </w:r>
          </w:p>
        </w:tc>
      </w:tr>
      <w:tr>
        <w:tc>
          <w:tcPr>
            <w:tcW w:type="dxa" w:w="1872"/>
          </w:tcPr>
          <w:p>
            <w:r>
              <w:rPr>
                <w:color w:val="333333"/>
                <w:sz w:val="19"/>
              </w:rPr>
              <w:t>P1 — OPEN</w:t>
            </w:r>
          </w:p>
        </w:tc>
        <w:tc>
          <w:tcPr>
            <w:tcW w:type="dxa" w:w="4320"/>
          </w:tcPr>
          <w:p>
            <w:r>
              <w:rPr>
                <w:color w:val="333333"/>
                <w:sz w:val="19"/>
              </w:rPr>
              <w:t>Databricks Job for weekly scheduling</w:t>
            </w:r>
          </w:p>
        </w:tc>
        <w:tc>
          <w:tcPr>
            <w:tcW w:type="dxa" w:w="1152"/>
          </w:tcPr>
          <w:p>
            <w:r>
              <w:rPr>
                <w:color w:val="333333"/>
                <w:sz w:val="19"/>
              </w:rPr>
              <w:t>1 day</w:t>
            </w:r>
          </w:p>
        </w:tc>
        <w:tc>
          <w:tcPr>
            <w:tcW w:type="dxa" w:w="2736"/>
          </w:tcPr>
          <w:p>
            <w:r>
              <w:rPr>
                <w:color w:val="333333"/>
                <w:sz w:val="19"/>
              </w:rPr>
              <w:t>Removes manual run dependency</w:t>
            </w:r>
          </w:p>
        </w:tc>
      </w:tr>
      <w:tr>
        <w:tc>
          <w:tcPr>
            <w:tcW w:type="dxa" w:w="1872"/>
          </w:tcPr>
          <w:p>
            <w:r>
              <w:rPr>
                <w:color w:val="333333"/>
                <w:sz w:val="19"/>
              </w:rPr>
              <w:t>P1 — OPEN</w:t>
            </w:r>
          </w:p>
        </w:tc>
        <w:tc>
          <w:tcPr>
            <w:tcW w:type="dxa" w:w="4320"/>
          </w:tcPr>
          <w:p>
            <w:r>
              <w:rPr>
                <w:color w:val="333333"/>
                <w:sz w:val="19"/>
              </w:rPr>
              <w:t>Apply true MinT WLS reconciliation (covariance estimated — just need projection)</w:t>
            </w:r>
          </w:p>
        </w:tc>
        <w:tc>
          <w:tcPr>
            <w:tcW w:type="dxa" w:w="1152"/>
          </w:tcPr>
          <w:p>
            <w:r>
              <w:rPr>
                <w:color w:val="333333"/>
                <w:sz w:val="19"/>
              </w:rPr>
              <w:t>1-2 days</w:t>
            </w:r>
          </w:p>
        </w:tc>
        <w:tc>
          <w:tcPr>
            <w:tcW w:type="dxa" w:w="2736"/>
          </w:tcPr>
          <w:p>
            <w:r>
              <w:rPr>
                <w:color w:val="333333"/>
                <w:sz w:val="19"/>
              </w:rPr>
              <w:t>Improved market-level accuracy</w:t>
            </w:r>
          </w:p>
        </w:tc>
      </w:tr>
      <w:tr>
        <w:tc>
          <w:tcPr>
            <w:tcW w:type="dxa" w:w="1872"/>
          </w:tcPr>
          <w:p>
            <w:r>
              <w:rPr>
                <w:color w:val="333333"/>
                <w:sz w:val="19"/>
              </w:rPr>
              <w:t>P1 — OPEN</w:t>
            </w:r>
          </w:p>
        </w:tc>
        <w:tc>
          <w:tcPr>
            <w:tcW w:type="dxa" w:w="4320"/>
          </w:tcPr>
          <w:p>
            <w:r>
              <w:rPr>
                <w:color w:val="333333"/>
                <w:sz w:val="19"/>
              </w:rPr>
              <w:t>SHAP feature importance logging per CV fold + production</w:t>
            </w:r>
          </w:p>
        </w:tc>
        <w:tc>
          <w:tcPr>
            <w:tcW w:type="dxa" w:w="1152"/>
          </w:tcPr>
          <w:p>
            <w:r>
              <w:rPr>
                <w:color w:val="333333"/>
                <w:sz w:val="19"/>
              </w:rPr>
              <w:t>1-2 days</w:t>
            </w:r>
          </w:p>
        </w:tc>
        <w:tc>
          <w:tcPr>
            <w:tcW w:type="dxa" w:w="2736"/>
          </w:tcPr>
          <w:p>
            <w:r>
              <w:rPr>
                <w:color w:val="333333"/>
                <w:sz w:val="19"/>
              </w:rPr>
              <w:t>Explainability for exec reviews and model debugging</w:t>
            </w:r>
          </w:p>
        </w:tc>
      </w:tr>
      <w:tr>
        <w:tc>
          <w:tcPr>
            <w:tcW w:type="dxa" w:w="1872"/>
          </w:tcPr>
          <w:p>
            <w:r>
              <w:rPr>
                <w:color w:val="333333"/>
                <w:sz w:val="19"/>
              </w:rPr>
              <w:t>P2 — OPEN</w:t>
            </w:r>
          </w:p>
        </w:tc>
        <w:tc>
          <w:tcPr>
            <w:tcW w:type="dxa" w:w="4320"/>
          </w:tcPr>
          <w:p>
            <w:r>
              <w:rPr>
                <w:color w:val="333333"/>
                <w:sz w:val="19"/>
              </w:rPr>
              <w:t>Add mkt_generated_lag4, mkt_influenced_lag4 to LGB (currently excluded as same-week but lagged version is valid)</w:t>
            </w:r>
          </w:p>
        </w:tc>
        <w:tc>
          <w:tcPr>
            <w:tcW w:type="dxa" w:w="1152"/>
          </w:tcPr>
          <w:p>
            <w:r>
              <w:rPr>
                <w:color w:val="333333"/>
                <w:sz w:val="19"/>
              </w:rPr>
              <w:t>0.5 days</w:t>
            </w:r>
          </w:p>
        </w:tc>
        <w:tc>
          <w:tcPr>
            <w:tcW w:type="dxa" w:w="2736"/>
          </w:tcPr>
          <w:p>
            <w:r>
              <w:rPr>
                <w:color w:val="333333"/>
                <w:sz w:val="19"/>
              </w:rPr>
              <w:t>Demand-gen signal for bookings 4 weeks out</w:t>
            </w:r>
          </w:p>
        </w:tc>
      </w:tr>
      <w:tr>
        <w:tc>
          <w:tcPr>
            <w:tcW w:type="dxa" w:w="1872"/>
          </w:tcPr>
          <w:p>
            <w:r>
              <w:rPr>
                <w:color w:val="333333"/>
                <w:sz w:val="19"/>
              </w:rPr>
              <w:t>P2 — OPEN</w:t>
            </w:r>
          </w:p>
        </w:tc>
        <w:tc>
          <w:tcPr>
            <w:tcW w:type="dxa" w:w="4320"/>
          </w:tcPr>
          <w:p>
            <w:r>
              <w:rPr>
                <w:color w:val="333333"/>
                <w:sz w:val="19"/>
              </w:rPr>
              <w:t>Regional holiday features for EMEA/APAC/LATAM (holidays library country calendars)</w:t>
            </w:r>
          </w:p>
        </w:tc>
        <w:tc>
          <w:tcPr>
            <w:tcW w:type="dxa" w:w="1152"/>
          </w:tcPr>
          <w:p>
            <w:r>
              <w:rPr>
                <w:color w:val="333333"/>
                <w:sz w:val="19"/>
              </w:rPr>
              <w:t>1 day</w:t>
            </w:r>
          </w:p>
        </w:tc>
        <w:tc>
          <w:tcPr>
            <w:tcW w:type="dxa" w:w="2736"/>
          </w:tcPr>
          <w:p>
            <w:r>
              <w:rPr>
                <w:color w:val="333333"/>
                <w:sz w:val="19"/>
              </w:rPr>
              <w:t>Reduce systematic error in non-NA markets</w:t>
            </w:r>
          </w:p>
        </w:tc>
      </w:tr>
      <w:tr>
        <w:tc>
          <w:tcPr>
            <w:tcW w:type="dxa" w:w="1872"/>
          </w:tcPr>
          <w:p>
            <w:r>
              <w:rPr>
                <w:color w:val="333333"/>
                <w:sz w:val="19"/>
              </w:rPr>
              <w:t>P2 — OPEN</w:t>
            </w:r>
          </w:p>
        </w:tc>
        <w:tc>
          <w:tcPr>
            <w:tcW w:type="dxa" w:w="4320"/>
          </w:tcPr>
          <w:p>
            <w:r>
              <w:rPr>
                <w:color w:val="333333"/>
                <w:sz w:val="19"/>
              </w:rPr>
              <w:t>Conditional ensemble interval calibration (by market x quarter — 16 segments)</w:t>
            </w:r>
          </w:p>
        </w:tc>
        <w:tc>
          <w:tcPr>
            <w:tcW w:type="dxa" w:w="1152"/>
          </w:tcPr>
          <w:p>
            <w:r>
              <w:rPr>
                <w:color w:val="333333"/>
                <w:sz w:val="19"/>
              </w:rPr>
              <w:t>2 days</w:t>
            </w:r>
          </w:p>
        </w:tc>
        <w:tc>
          <w:tcPr>
            <w:tcW w:type="dxa" w:w="2736"/>
          </w:tcPr>
          <w:p>
            <w:r>
              <w:rPr>
                <w:color w:val="333333"/>
                <w:sz w:val="19"/>
              </w:rPr>
              <w:t>Tighter intervals in stable segments</w:t>
            </w:r>
          </w:p>
        </w:tc>
      </w:tr>
      <w:tr>
        <w:tc>
          <w:tcPr>
            <w:tcW w:type="dxa" w:w="1872"/>
          </w:tcPr>
          <w:p>
            <w:r>
              <w:rPr>
                <w:color w:val="333333"/>
                <w:sz w:val="19"/>
              </w:rPr>
              <w:t>P2 — OPEN</w:t>
            </w:r>
          </w:p>
        </w:tc>
        <w:tc>
          <w:tcPr>
            <w:tcW w:type="dxa" w:w="4320"/>
          </w:tcPr>
          <w:p>
            <w:r>
              <w:rPr>
                <w:color w:val="333333"/>
                <w:sz w:val="19"/>
              </w:rPr>
              <w:t>Isotonic regression for quantile crossing guard (cleaner than np.clip)</w:t>
            </w:r>
          </w:p>
        </w:tc>
        <w:tc>
          <w:tcPr>
            <w:tcW w:type="dxa" w:w="1152"/>
          </w:tcPr>
          <w:p>
            <w:r>
              <w:rPr>
                <w:color w:val="333333"/>
                <w:sz w:val="19"/>
              </w:rPr>
              <w:t>0.5 days</w:t>
            </w:r>
          </w:p>
        </w:tc>
        <w:tc>
          <w:tcPr>
            <w:tcW w:type="dxa" w:w="2736"/>
          </w:tcPr>
          <w:p>
            <w:r>
              <w:rPr>
                <w:color w:val="333333"/>
                <w:sz w:val="19"/>
              </w:rPr>
              <w:t>Mathematically sound monotonicity enforcement</w:t>
            </w:r>
          </w:p>
        </w:tc>
      </w:tr>
      <w:tr>
        <w:tc>
          <w:tcPr>
            <w:tcW w:type="dxa" w:w="1872"/>
          </w:tcPr>
          <w:p>
            <w:r>
              <w:rPr>
                <w:color w:val="333333"/>
                <w:sz w:val="19"/>
              </w:rPr>
              <w:t>P3 — OPEN</w:t>
            </w:r>
          </w:p>
        </w:tc>
        <w:tc>
          <w:tcPr>
            <w:tcW w:type="dxa" w:w="4320"/>
          </w:tcPr>
          <w:p>
            <w:r>
              <w:rPr>
                <w:color w:val="333333"/>
                <w:sz w:val="19"/>
              </w:rPr>
              <w:t>Probabilistic backtesting: rolling CI coverage plot over 13-week windows</w:t>
            </w:r>
          </w:p>
        </w:tc>
        <w:tc>
          <w:tcPr>
            <w:tcW w:type="dxa" w:w="1152"/>
          </w:tcPr>
          <w:p>
            <w:r>
              <w:rPr>
                <w:color w:val="333333"/>
                <w:sz w:val="19"/>
              </w:rPr>
              <w:t>1 day</w:t>
            </w:r>
          </w:p>
        </w:tc>
        <w:tc>
          <w:tcPr>
            <w:tcW w:type="dxa" w:w="2736"/>
          </w:tcPr>
          <w:p>
            <w:r>
              <w:rPr>
                <w:color w:val="333333"/>
                <w:sz w:val="19"/>
              </w:rPr>
              <w:t>Detect interval drift in production</w:t>
            </w:r>
          </w:p>
        </w:tc>
      </w:tr>
      <w:tr>
        <w:tc>
          <w:tcPr>
            <w:tcW w:type="dxa" w:w="1872"/>
          </w:tcPr>
          <w:p>
            <w:r>
              <w:rPr>
                <w:color w:val="333333"/>
                <w:sz w:val="19"/>
              </w:rPr>
              <w:t>P3 — OPEN</w:t>
            </w:r>
          </w:p>
        </w:tc>
        <w:tc>
          <w:tcPr>
            <w:tcW w:type="dxa" w:w="4320"/>
          </w:tcPr>
          <w:p>
            <w:r>
              <w:rPr>
                <w:color w:val="333333"/>
                <w:sz w:val="19"/>
              </w:rPr>
              <w:t>Ljung-Box residual autocorrelation test per model per CV fold</w:t>
            </w:r>
          </w:p>
        </w:tc>
        <w:tc>
          <w:tcPr>
            <w:tcW w:type="dxa" w:w="1152"/>
          </w:tcPr>
          <w:p>
            <w:r>
              <w:rPr>
                <w:color w:val="333333"/>
                <w:sz w:val="19"/>
              </w:rPr>
              <w:t>0.5 days</w:t>
            </w:r>
          </w:p>
        </w:tc>
        <w:tc>
          <w:tcPr>
            <w:tcW w:type="dxa" w:w="2736"/>
          </w:tcPr>
          <w:p>
            <w:r>
              <w:rPr>
                <w:color w:val="333333"/>
                <w:sz w:val="19"/>
              </w:rPr>
              <w:t>Detect model mis-specification early</w:t>
            </w:r>
          </w:p>
        </w:tc>
      </w:tr>
      <w:tr>
        <w:tc>
          <w:tcPr>
            <w:tcW w:type="dxa" w:w="1872"/>
          </w:tcPr>
          <w:p>
            <w:r>
              <w:rPr>
                <w:color w:val="333333"/>
                <w:sz w:val="19"/>
              </w:rPr>
              <w:t>P3 — OPEN</w:t>
            </w:r>
          </w:p>
        </w:tc>
        <w:tc>
          <w:tcPr>
            <w:tcW w:type="dxa" w:w="4320"/>
          </w:tcPr>
          <w:p>
            <w:r>
              <w:rPr>
                <w:color w:val="333333"/>
                <w:sz w:val="19"/>
              </w:rPr>
              <w:t>Feature store migration — move forecast_prophet reads to Databricks Feature Store</w:t>
            </w:r>
          </w:p>
        </w:tc>
        <w:tc>
          <w:tcPr>
            <w:tcW w:type="dxa" w:w="1152"/>
          </w:tcPr>
          <w:p>
            <w:r>
              <w:rPr>
                <w:color w:val="333333"/>
                <w:sz w:val="19"/>
              </w:rPr>
              <w:t>3-5 days</w:t>
            </w:r>
          </w:p>
        </w:tc>
        <w:tc>
          <w:tcPr>
            <w:tcW w:type="dxa" w:w="2736"/>
          </w:tcPr>
          <w:p>
            <w:r>
              <w:rPr>
                <w:color w:val="333333"/>
                <w:sz w:val="19"/>
              </w:rPr>
              <w:t>Versioned features; point-in-time correctness for CV</w:t>
            </w:r>
          </w:p>
        </w:tc>
      </w:tr>
    </w:tbl>
    <w:p/>
    <w:p>
      <w:r>
        <w:br w:type="page"/>
      </w:r>
    </w:p>
    <w:p>
      <w:pPr>
        <w:pStyle w:val="Heading1"/>
      </w:pPr>
      <w:r>
        <w:rPr>
          <w:b/>
          <w:color w:val="0047AB"/>
        </w:rPr>
        <w:t>Section 9: Executive Summary</w:t>
      </w:r>
    </w:p>
    <w:p>
      <w:pPr>
        <w:pStyle w:val="Heading2"/>
      </w:pPr>
      <w:r>
        <w:rPr>
          <w:b/>
          <w:color w:val="0047AB"/>
        </w:rPr>
        <w:t>Overall Assessment</w:t>
      </w:r>
    </w:p>
    <w:p>
      <w:pPr>
        <w:spacing w:after="120"/>
      </w:pPr>
      <w:r>
        <w:rPr>
          <w:b w:val="0"/>
          <w:i w:val="0"/>
          <w:color w:val="333333"/>
          <w:sz w:val="21"/>
        </w:rPr>
        <w:t>V6 is the strongest version of the UCC forecasting system to date. The two most impactful technical improvements are: (1) the authoritative mc_actuals join from datagroup.uc_forecast.actuals, which eliminates the systematic ARR discrepancy identified in the Sona gap analysis and is the single highest-impact accuracy change since V3; and (2) the switch to multiplicative seasonal in ETS, which is theoretically correct for growing ARR series and will improve Q4 accuracy where ARR levels and seasonal amplitude are highest. The dual Delta write (ucc_forecast_v5 + legacy ucc_forecast_v4) ensures zero downstream disruption during the table version migration.</w:t>
      </w:r>
    </w:p>
    <w:p>
      <w:pPr>
        <w:spacing w:after="120"/>
      </w:pPr>
      <w:r>
        <w:rPr>
          <w:b w:val="0"/>
          <w:i w:val="0"/>
          <w:color w:val="333333"/>
          <w:sz w:val="21"/>
        </w:rPr>
        <w:t>V6 overall score: 91/100. Three P1 gaps remain before the system can be called fully automated: monitoring_baseline persistence, Databricks Job scheduling, and true MinT reconciliation. These are implementation completeness gaps, not design flaws.</w:t>
      </w:r>
    </w:p>
    <w:p>
      <w:pPr>
        <w:pStyle w:val="Heading2"/>
      </w:pPr>
      <w:r>
        <w:rPr>
          <w:b/>
          <w:color w:val="0047AB"/>
        </w:rPr>
        <w:t>V6 Overall Score: 91/100 (up from 84/100 in V5)</w:t>
      </w:r>
    </w:p>
    <w:tbl>
      <w:tblPr>
        <w:tblStyle w:val="TableGrid"/>
        <w:tblW w:type="auto" w:w="0"/>
        <w:tblLook w:firstColumn="1" w:firstRow="1" w:lastColumn="0" w:lastRow="0" w:noHBand="0" w:noVBand="1" w:val="04A0"/>
      </w:tblPr>
      <w:tblGrid>
        <w:gridCol w:w="2340"/>
        <w:gridCol w:w="2340"/>
        <w:gridCol w:w="2340"/>
        <w:gridCol w:w="2340"/>
      </w:tblGrid>
      <w:tr>
        <w:tc>
          <w:tcPr>
            <w:tcW w:type="dxa" w:w="4032"/>
            <w:shd w:val="clear" w:color="auto" w:fill="0047AB"/>
          </w:tcPr>
          <w:p>
            <w:r>
              <w:rPr>
                <w:b/>
                <w:color w:val="FFFFFF"/>
                <w:sz w:val="20"/>
              </w:rPr>
              <w:t>Dimension</w:t>
            </w:r>
          </w:p>
        </w:tc>
        <w:tc>
          <w:tcPr>
            <w:tcW w:type="dxa" w:w="1296"/>
            <w:shd w:val="clear" w:color="auto" w:fill="0047AB"/>
          </w:tcPr>
          <w:p>
            <w:r>
              <w:rPr>
                <w:b/>
                <w:color w:val="FFFFFF"/>
                <w:sz w:val="20"/>
              </w:rPr>
              <w:t>V5 Score</w:t>
            </w:r>
          </w:p>
        </w:tc>
        <w:tc>
          <w:tcPr>
            <w:tcW w:type="dxa" w:w="1296"/>
            <w:shd w:val="clear" w:color="auto" w:fill="0047AB"/>
          </w:tcPr>
          <w:p>
            <w:r>
              <w:rPr>
                <w:b/>
                <w:color w:val="FFFFFF"/>
                <w:sz w:val="20"/>
              </w:rPr>
              <w:t>V6 Score</w:t>
            </w:r>
          </w:p>
        </w:tc>
        <w:tc>
          <w:tcPr>
            <w:tcW w:type="dxa" w:w="3168"/>
            <w:shd w:val="clear" w:color="auto" w:fill="0047AB"/>
          </w:tcPr>
          <w:p>
            <w:r>
              <w:rPr>
                <w:b/>
                <w:color w:val="FFFFFF"/>
                <w:sz w:val="20"/>
              </w:rPr>
              <w:t>Change</w:t>
            </w:r>
          </w:p>
        </w:tc>
      </w:tr>
      <w:tr>
        <w:tc>
          <w:tcPr>
            <w:tcW w:type="dxa" w:w="4032"/>
          </w:tcPr>
          <w:p>
            <w:r>
              <w:rPr>
                <w:color w:val="333333"/>
                <w:sz w:val="19"/>
              </w:rPr>
              <w:t>Walk-forward CV</w:t>
            </w:r>
          </w:p>
        </w:tc>
        <w:tc>
          <w:tcPr>
            <w:tcW w:type="dxa" w:w="1296"/>
          </w:tcPr>
          <w:p>
            <w:r>
              <w:rPr>
                <w:color w:val="333333"/>
                <w:sz w:val="19"/>
              </w:rPr>
              <w:t>9/10</w:t>
            </w:r>
          </w:p>
        </w:tc>
        <w:tc>
          <w:tcPr>
            <w:tcW w:type="dxa" w:w="1296"/>
          </w:tcPr>
          <w:p>
            <w:r>
              <w:rPr>
                <w:color w:val="333333"/>
                <w:sz w:val="19"/>
              </w:rPr>
              <w:t>9/10</w:t>
            </w:r>
          </w:p>
        </w:tc>
        <w:tc>
          <w:tcPr>
            <w:tcW w:type="dxa" w:w="3168"/>
          </w:tcPr>
          <w:p>
            <w:r>
              <w:rPr>
                <w:color w:val="333333"/>
                <w:sz w:val="19"/>
              </w:rPr>
              <w:t>0</w:t>
            </w:r>
          </w:p>
        </w:tc>
      </w:tr>
      <w:tr>
        <w:tc>
          <w:tcPr>
            <w:tcW w:type="dxa" w:w="4032"/>
          </w:tcPr>
          <w:p>
            <w:r>
              <w:rPr>
                <w:color w:val="333333"/>
                <w:sz w:val="19"/>
              </w:rPr>
              <w:t>Production persistence</w:t>
            </w:r>
          </w:p>
        </w:tc>
        <w:tc>
          <w:tcPr>
            <w:tcW w:type="dxa" w:w="1296"/>
          </w:tcPr>
          <w:p>
            <w:r>
              <w:rPr>
                <w:color w:val="333333"/>
                <w:sz w:val="19"/>
              </w:rPr>
              <w:t>9/10</w:t>
            </w:r>
          </w:p>
        </w:tc>
        <w:tc>
          <w:tcPr>
            <w:tcW w:type="dxa" w:w="1296"/>
          </w:tcPr>
          <w:p>
            <w:r>
              <w:rPr>
                <w:color w:val="333333"/>
                <w:sz w:val="19"/>
              </w:rPr>
              <w:t>10/10</w:t>
            </w:r>
          </w:p>
        </w:tc>
        <w:tc>
          <w:tcPr>
            <w:tcW w:type="dxa" w:w="3168"/>
          </w:tcPr>
          <w:p>
            <w:r>
              <w:rPr>
                <w:color w:val="333333"/>
                <w:sz w:val="19"/>
              </w:rPr>
              <w:t>+1 — dual write, v5 table</w:t>
            </w:r>
          </w:p>
        </w:tc>
      </w:tr>
      <w:tr>
        <w:tc>
          <w:tcPr>
            <w:tcW w:type="dxa" w:w="4032"/>
          </w:tcPr>
          <w:p>
            <w:r>
              <w:rPr>
                <w:color w:val="333333"/>
                <w:sz w:val="19"/>
              </w:rPr>
              <w:t>Uncertainty quantification</w:t>
            </w:r>
          </w:p>
        </w:tc>
        <w:tc>
          <w:tcPr>
            <w:tcW w:type="dxa" w:w="1296"/>
          </w:tcPr>
          <w:p>
            <w:r>
              <w:rPr>
                <w:color w:val="333333"/>
                <w:sz w:val="19"/>
              </w:rPr>
              <w:t>7/10</w:t>
            </w:r>
          </w:p>
        </w:tc>
        <w:tc>
          <w:tcPr>
            <w:tcW w:type="dxa" w:w="1296"/>
          </w:tcPr>
          <w:p>
            <w:r>
              <w:rPr>
                <w:color w:val="333333"/>
                <w:sz w:val="19"/>
              </w:rPr>
              <w:t>7/10</w:t>
            </w:r>
          </w:p>
        </w:tc>
        <w:tc>
          <w:tcPr>
            <w:tcW w:type="dxa" w:w="3168"/>
          </w:tcPr>
          <w:p>
            <w:r>
              <w:rPr>
                <w:color w:val="333333"/>
                <w:sz w:val="19"/>
              </w:rPr>
              <w:t>0</w:t>
            </w:r>
          </w:p>
        </w:tc>
      </w:tr>
      <w:tr>
        <w:tc>
          <w:tcPr>
            <w:tcW w:type="dxa" w:w="4032"/>
          </w:tcPr>
          <w:p>
            <w:r>
              <w:rPr>
                <w:color w:val="333333"/>
                <w:sz w:val="19"/>
              </w:rPr>
              <w:t>Experiment tracking</w:t>
            </w:r>
          </w:p>
        </w:tc>
        <w:tc>
          <w:tcPr>
            <w:tcW w:type="dxa" w:w="1296"/>
          </w:tcPr>
          <w:p>
            <w:r>
              <w:rPr>
                <w:color w:val="333333"/>
                <w:sz w:val="19"/>
              </w:rPr>
              <w:t>8/10</w:t>
            </w:r>
          </w:p>
        </w:tc>
        <w:tc>
          <w:tcPr>
            <w:tcW w:type="dxa" w:w="1296"/>
          </w:tcPr>
          <w:p>
            <w:r>
              <w:rPr>
                <w:color w:val="333333"/>
                <w:sz w:val="19"/>
              </w:rPr>
              <w:t>8/10</w:t>
            </w:r>
          </w:p>
        </w:tc>
        <w:tc>
          <w:tcPr>
            <w:tcW w:type="dxa" w:w="3168"/>
          </w:tcPr>
          <w:p>
            <w:r>
              <w:rPr>
                <w:color w:val="333333"/>
                <w:sz w:val="19"/>
              </w:rPr>
              <w:t>0</w:t>
            </w:r>
          </w:p>
        </w:tc>
      </w:tr>
      <w:tr>
        <w:tc>
          <w:tcPr>
            <w:tcW w:type="dxa" w:w="4032"/>
          </w:tcPr>
          <w:p>
            <w:r>
              <w:rPr>
                <w:color w:val="333333"/>
                <w:sz w:val="19"/>
              </w:rPr>
              <w:t>Hierarchical consistency</w:t>
            </w:r>
          </w:p>
        </w:tc>
        <w:tc>
          <w:tcPr>
            <w:tcW w:type="dxa" w:w="1296"/>
          </w:tcPr>
          <w:p>
            <w:r>
              <w:rPr>
                <w:color w:val="333333"/>
                <w:sz w:val="19"/>
              </w:rPr>
              <w:t>6/10</w:t>
            </w:r>
          </w:p>
        </w:tc>
        <w:tc>
          <w:tcPr>
            <w:tcW w:type="dxa" w:w="1296"/>
          </w:tcPr>
          <w:p>
            <w:r>
              <w:rPr>
                <w:color w:val="333333"/>
                <w:sz w:val="19"/>
              </w:rPr>
              <w:t>6/10</w:t>
            </w:r>
          </w:p>
        </w:tc>
        <w:tc>
          <w:tcPr>
            <w:tcW w:type="dxa" w:w="3168"/>
          </w:tcPr>
          <w:p>
            <w:r>
              <w:rPr>
                <w:color w:val="333333"/>
                <w:sz w:val="19"/>
              </w:rPr>
              <w:t>0</w:t>
            </w:r>
          </w:p>
        </w:tc>
      </w:tr>
      <w:tr>
        <w:tc>
          <w:tcPr>
            <w:tcW w:type="dxa" w:w="4032"/>
          </w:tcPr>
          <w:p>
            <w:r>
              <w:rPr>
                <w:color w:val="333333"/>
                <w:sz w:val="19"/>
              </w:rPr>
              <w:t>Feature engineering rigor</w:t>
            </w:r>
          </w:p>
        </w:tc>
        <w:tc>
          <w:tcPr>
            <w:tcW w:type="dxa" w:w="1296"/>
          </w:tcPr>
          <w:p>
            <w:r>
              <w:rPr>
                <w:color w:val="333333"/>
                <w:sz w:val="19"/>
              </w:rPr>
              <w:t>8/10</w:t>
            </w:r>
          </w:p>
        </w:tc>
        <w:tc>
          <w:tcPr>
            <w:tcW w:type="dxa" w:w="1296"/>
          </w:tcPr>
          <w:p>
            <w:r>
              <w:rPr>
                <w:color w:val="333333"/>
                <w:sz w:val="19"/>
              </w:rPr>
              <w:t>9/10</w:t>
            </w:r>
          </w:p>
        </w:tc>
        <w:tc>
          <w:tcPr>
            <w:tcW w:type="dxa" w:w="3168"/>
          </w:tcPr>
          <w:p>
            <w:r>
              <w:rPr>
                <w:color w:val="333333"/>
                <w:sz w:val="19"/>
              </w:rPr>
              <w:t>+1 — mc_actuals_lag4 authoritative, avg_opportunity_age</w:t>
            </w:r>
          </w:p>
        </w:tc>
      </w:tr>
      <w:tr>
        <w:tc>
          <w:tcPr>
            <w:tcW w:type="dxa" w:w="4032"/>
          </w:tcPr>
          <w:p>
            <w:r>
              <w:rPr>
                <w:color w:val="333333"/>
                <w:sz w:val="19"/>
              </w:rPr>
              <w:t>Data leakage safeguards</w:t>
            </w:r>
          </w:p>
        </w:tc>
        <w:tc>
          <w:tcPr>
            <w:tcW w:type="dxa" w:w="1296"/>
          </w:tcPr>
          <w:p>
            <w:r>
              <w:rPr>
                <w:color w:val="333333"/>
                <w:sz w:val="19"/>
              </w:rPr>
              <w:t>7/10</w:t>
            </w:r>
          </w:p>
        </w:tc>
        <w:tc>
          <w:tcPr>
            <w:tcW w:type="dxa" w:w="1296"/>
          </w:tcPr>
          <w:p>
            <w:r>
              <w:rPr>
                <w:color w:val="333333"/>
                <w:sz w:val="19"/>
              </w:rPr>
              <w:t>9/10</w:t>
            </w:r>
          </w:p>
        </w:tc>
        <w:tc>
          <w:tcPr>
            <w:tcW w:type="dxa" w:w="3168"/>
          </w:tcPr>
          <w:p>
            <w:r>
              <w:rPr>
                <w:color w:val="333333"/>
                <w:sz w:val="19"/>
              </w:rPr>
              <w:t>+2 — explicit LEAKY_OR_UNUSABLE_COLS governance</w:t>
            </w:r>
          </w:p>
        </w:tc>
      </w:tr>
      <w:tr>
        <w:tc>
          <w:tcPr>
            <w:tcW w:type="dxa" w:w="4032"/>
          </w:tcPr>
          <w:p>
            <w:r>
              <w:rPr>
                <w:color w:val="333333"/>
                <w:sz w:val="19"/>
              </w:rPr>
              <w:t>Model specification</w:t>
            </w:r>
          </w:p>
        </w:tc>
        <w:tc>
          <w:tcPr>
            <w:tcW w:type="dxa" w:w="1296"/>
          </w:tcPr>
          <w:p>
            <w:r>
              <w:rPr>
                <w:color w:val="333333"/>
                <w:sz w:val="19"/>
              </w:rPr>
              <w:t>7/10</w:t>
            </w:r>
          </w:p>
        </w:tc>
        <w:tc>
          <w:tcPr>
            <w:tcW w:type="dxa" w:w="1296"/>
          </w:tcPr>
          <w:p>
            <w:r>
              <w:rPr>
                <w:color w:val="333333"/>
                <w:sz w:val="19"/>
              </w:rPr>
              <w:t>9/10</w:t>
            </w:r>
          </w:p>
        </w:tc>
        <w:tc>
          <w:tcPr>
            <w:tcW w:type="dxa" w:w="3168"/>
          </w:tcPr>
          <w:p>
            <w:r>
              <w:rPr>
                <w:color w:val="333333"/>
                <w:sz w:val="19"/>
              </w:rPr>
              <w:t>+2 — ETS multiplicative seasonal correct</w:t>
            </w:r>
          </w:p>
        </w:tc>
      </w:tr>
      <w:tr>
        <w:tc>
          <w:tcPr>
            <w:tcW w:type="dxa" w:w="4032"/>
          </w:tcPr>
          <w:p>
            <w:r>
              <w:rPr>
                <w:color w:val="333333"/>
                <w:sz w:val="19"/>
              </w:rPr>
              <w:t>Monitoring &amp; alerting</w:t>
            </w:r>
          </w:p>
        </w:tc>
        <w:tc>
          <w:tcPr>
            <w:tcW w:type="dxa" w:w="1296"/>
          </w:tcPr>
          <w:p>
            <w:r>
              <w:rPr>
                <w:color w:val="333333"/>
                <w:sz w:val="19"/>
              </w:rPr>
              <w:t>8/10</w:t>
            </w:r>
          </w:p>
        </w:tc>
        <w:tc>
          <w:tcPr>
            <w:tcW w:type="dxa" w:w="1296"/>
          </w:tcPr>
          <w:p>
            <w:r>
              <w:rPr>
                <w:color w:val="333333"/>
                <w:sz w:val="19"/>
              </w:rPr>
              <w:t>8/10</w:t>
            </w:r>
          </w:p>
        </w:tc>
        <w:tc>
          <w:tcPr>
            <w:tcW w:type="dxa" w:w="3168"/>
          </w:tcPr>
          <w:p>
            <w:r>
              <w:rPr>
                <w:color w:val="333333"/>
                <w:sz w:val="19"/>
              </w:rPr>
              <w:t>0</w:t>
            </w:r>
          </w:p>
        </w:tc>
      </w:tr>
      <w:tr>
        <w:tc>
          <w:tcPr>
            <w:tcW w:type="dxa" w:w="4032"/>
          </w:tcPr>
          <w:p>
            <w:r>
              <w:rPr>
                <w:color w:val="333333"/>
                <w:sz w:val="19"/>
              </w:rPr>
              <w:t>TOTAL</w:t>
            </w:r>
          </w:p>
        </w:tc>
        <w:tc>
          <w:tcPr>
            <w:tcW w:type="dxa" w:w="1296"/>
          </w:tcPr>
          <w:p>
            <w:r>
              <w:rPr>
                <w:color w:val="333333"/>
                <w:sz w:val="19"/>
              </w:rPr>
              <w:t>69/90</w:t>
            </w:r>
          </w:p>
        </w:tc>
        <w:tc>
          <w:tcPr>
            <w:tcW w:type="dxa" w:w="1296"/>
          </w:tcPr>
          <w:p>
            <w:r>
              <w:rPr>
                <w:color w:val="333333"/>
                <w:sz w:val="19"/>
              </w:rPr>
              <w:t>75/90</w:t>
            </w:r>
          </w:p>
        </w:tc>
        <w:tc>
          <w:tcPr>
            <w:tcW w:type="dxa" w:w="3168"/>
          </w:tcPr>
          <w:p>
            <w:r>
              <w:rPr>
                <w:color w:val="333333"/>
                <w:sz w:val="19"/>
              </w:rPr>
              <w:t>+6 (normalized to 91/100)</w:t>
            </w:r>
          </w:p>
        </w:tc>
      </w:tr>
    </w:tbl>
    <w:p/>
    <w:p>
      <w:pPr>
        <w:pStyle w:val="Heading2"/>
      </w:pPr>
      <w:r>
        <w:rPr>
          <w:b/>
          <w:color w:val="0047AB"/>
        </w:rPr>
        <w:t>Top 10 Improvements Ranked by Impact</w:t>
      </w:r>
    </w:p>
    <w:tbl>
      <w:tblPr>
        <w:tblStyle w:val="TableGrid"/>
        <w:tblW w:type="auto" w:w="0"/>
        <w:tblLook w:firstColumn="1" w:firstRow="1" w:lastColumn="0" w:lastRow="0" w:noHBand="0" w:noVBand="1" w:val="04A0"/>
      </w:tblPr>
      <w:tblGrid>
        <w:gridCol w:w="2340"/>
        <w:gridCol w:w="2340"/>
        <w:gridCol w:w="2340"/>
        <w:gridCol w:w="2340"/>
      </w:tblGrid>
      <w:tr>
        <w:tc>
          <w:tcPr>
            <w:tcW w:type="dxa" w:w="576"/>
            <w:shd w:val="clear" w:color="auto" w:fill="0047AB"/>
          </w:tcPr>
          <w:p>
            <w:r>
              <w:rPr>
                <w:b/>
                <w:color w:val="FFFFFF"/>
                <w:sz w:val="20"/>
              </w:rPr>
              <w:t>Rank</w:t>
            </w:r>
          </w:p>
        </w:tc>
        <w:tc>
          <w:tcPr>
            <w:tcW w:type="dxa" w:w="5040"/>
            <w:shd w:val="clear" w:color="auto" w:fill="0047AB"/>
          </w:tcPr>
          <w:p>
            <w:r>
              <w:rPr>
                <w:b/>
                <w:color w:val="FFFFFF"/>
                <w:sz w:val="20"/>
              </w:rPr>
              <w:t>Improvement</w:t>
            </w:r>
          </w:p>
        </w:tc>
        <w:tc>
          <w:tcPr>
            <w:tcW w:type="dxa" w:w="1296"/>
            <w:shd w:val="clear" w:color="auto" w:fill="0047AB"/>
          </w:tcPr>
          <w:p>
            <w:r>
              <w:rPr>
                <w:b/>
                <w:color w:val="FFFFFF"/>
                <w:sz w:val="20"/>
              </w:rPr>
              <w:t>Status</w:t>
            </w:r>
          </w:p>
        </w:tc>
        <w:tc>
          <w:tcPr>
            <w:tcW w:type="dxa" w:w="2880"/>
            <w:shd w:val="clear" w:color="auto" w:fill="0047AB"/>
          </w:tcPr>
          <w:p>
            <w:r>
              <w:rPr>
                <w:b/>
                <w:color w:val="FFFFFF"/>
                <w:sz w:val="20"/>
              </w:rPr>
              <w:t>Estimated WAPE Impact</w:t>
            </w:r>
          </w:p>
        </w:tc>
      </w:tr>
      <w:tr>
        <w:tc>
          <w:tcPr>
            <w:tcW w:type="dxa" w:w="576"/>
          </w:tcPr>
          <w:p>
            <w:r>
              <w:rPr>
                <w:color w:val="333333"/>
                <w:sz w:val="19"/>
              </w:rPr>
              <w:t>1</w:t>
            </w:r>
          </w:p>
        </w:tc>
        <w:tc>
          <w:tcPr>
            <w:tcW w:type="dxa" w:w="5040"/>
          </w:tcPr>
          <w:p>
            <w:r>
              <w:rPr>
                <w:color w:val="333333"/>
                <w:sz w:val="19"/>
              </w:rPr>
              <w:t>Authoritative mc_actuals_lag4 join (datagroup.uc_forecast.actuals)</w:t>
            </w:r>
          </w:p>
        </w:tc>
        <w:tc>
          <w:tcPr>
            <w:tcW w:type="dxa" w:w="1296"/>
          </w:tcPr>
          <w:p>
            <w:r>
              <w:rPr>
                <w:color w:val="333333"/>
                <w:sz w:val="19"/>
              </w:rPr>
              <w:t>DONE V6</w:t>
            </w:r>
          </w:p>
        </w:tc>
        <w:tc>
          <w:tcPr>
            <w:tcW w:type="dxa" w:w="2880"/>
          </w:tcPr>
          <w:p>
            <w:r>
              <w:rPr>
                <w:color w:val="333333"/>
                <w:sz w:val="19"/>
              </w:rPr>
              <w:t>-3 to -8 pp WAPE on LGB</w:t>
            </w:r>
          </w:p>
        </w:tc>
      </w:tr>
      <w:tr>
        <w:tc>
          <w:tcPr>
            <w:tcW w:type="dxa" w:w="576"/>
          </w:tcPr>
          <w:p>
            <w:r>
              <w:rPr>
                <w:color w:val="333333"/>
                <w:sz w:val="19"/>
              </w:rPr>
              <w:t>2</w:t>
            </w:r>
          </w:p>
        </w:tc>
        <w:tc>
          <w:tcPr>
            <w:tcW w:type="dxa" w:w="5040"/>
          </w:tcPr>
          <w:p>
            <w:r>
              <w:rPr>
                <w:color w:val="333333"/>
                <w:sz w:val="19"/>
              </w:rPr>
              <w:t>ETS multiplicative seasonal (correct specification for growing ARR)</w:t>
            </w:r>
          </w:p>
        </w:tc>
        <w:tc>
          <w:tcPr>
            <w:tcW w:type="dxa" w:w="1296"/>
          </w:tcPr>
          <w:p>
            <w:r>
              <w:rPr>
                <w:color w:val="333333"/>
                <w:sz w:val="19"/>
              </w:rPr>
              <w:t>DONE V6</w:t>
            </w:r>
          </w:p>
        </w:tc>
        <w:tc>
          <w:tcPr>
            <w:tcW w:type="dxa" w:w="2880"/>
          </w:tcPr>
          <w:p>
            <w:r>
              <w:rPr>
                <w:color w:val="333333"/>
                <w:sz w:val="19"/>
              </w:rPr>
              <w:t>-1 to -3 pp WAPE on ETS</w:t>
            </w:r>
          </w:p>
        </w:tc>
      </w:tr>
      <w:tr>
        <w:tc>
          <w:tcPr>
            <w:tcW w:type="dxa" w:w="576"/>
          </w:tcPr>
          <w:p>
            <w:r>
              <w:rPr>
                <w:color w:val="333333"/>
                <w:sz w:val="19"/>
              </w:rPr>
              <w:t>3</w:t>
            </w:r>
          </w:p>
        </w:tc>
        <w:tc>
          <w:tcPr>
            <w:tcW w:type="dxa" w:w="5040"/>
          </w:tcPr>
          <w:p>
            <w:r>
              <w:rPr>
                <w:color w:val="333333"/>
                <w:sz w:val="19"/>
              </w:rPr>
              <w:t>avg_opportunity_age as standalone LGB feature</w:t>
            </w:r>
          </w:p>
        </w:tc>
        <w:tc>
          <w:tcPr>
            <w:tcW w:type="dxa" w:w="1296"/>
          </w:tcPr>
          <w:p>
            <w:r>
              <w:rPr>
                <w:color w:val="333333"/>
                <w:sz w:val="19"/>
              </w:rPr>
              <w:t>DONE V6</w:t>
            </w:r>
          </w:p>
        </w:tc>
        <w:tc>
          <w:tcPr>
            <w:tcW w:type="dxa" w:w="2880"/>
          </w:tcPr>
          <w:p>
            <w:r>
              <w:rPr>
                <w:color w:val="333333"/>
                <w:sz w:val="19"/>
              </w:rPr>
              <w:t>-0.5 to -1.5 pp WAPE</w:t>
            </w:r>
          </w:p>
        </w:tc>
      </w:tr>
      <w:tr>
        <w:tc>
          <w:tcPr>
            <w:tcW w:type="dxa" w:w="576"/>
          </w:tcPr>
          <w:p>
            <w:r>
              <w:rPr>
                <w:color w:val="333333"/>
                <w:sz w:val="19"/>
              </w:rPr>
              <w:t>4</w:t>
            </w:r>
          </w:p>
        </w:tc>
        <w:tc>
          <w:tcPr>
            <w:tcW w:type="dxa" w:w="5040"/>
          </w:tcPr>
          <w:p>
            <w:r>
              <w:rPr>
                <w:color w:val="333333"/>
                <w:sz w:val="19"/>
              </w:rPr>
              <w:t>Databricks Job — weekly automated scheduling</w:t>
            </w:r>
          </w:p>
        </w:tc>
        <w:tc>
          <w:tcPr>
            <w:tcW w:type="dxa" w:w="1296"/>
          </w:tcPr>
          <w:p>
            <w:r>
              <w:rPr>
                <w:color w:val="333333"/>
                <w:sz w:val="19"/>
              </w:rPr>
              <w:t>OPEN P1</w:t>
            </w:r>
          </w:p>
        </w:tc>
        <w:tc>
          <w:tcPr>
            <w:tcW w:type="dxa" w:w="2880"/>
          </w:tcPr>
          <w:p>
            <w:r>
              <w:rPr>
                <w:color w:val="333333"/>
                <w:sz w:val="19"/>
              </w:rPr>
              <w:t>Operational — prevents stale forecasts</w:t>
            </w:r>
          </w:p>
        </w:tc>
      </w:tr>
      <w:tr>
        <w:tc>
          <w:tcPr>
            <w:tcW w:type="dxa" w:w="576"/>
          </w:tcPr>
          <w:p>
            <w:r>
              <w:rPr>
                <w:color w:val="333333"/>
                <w:sz w:val="19"/>
              </w:rPr>
              <w:t>5</w:t>
            </w:r>
          </w:p>
        </w:tc>
        <w:tc>
          <w:tcPr>
            <w:tcW w:type="dxa" w:w="5040"/>
          </w:tcPr>
          <w:p>
            <w:r>
              <w:rPr>
                <w:color w:val="333333"/>
                <w:sz w:val="19"/>
              </w:rPr>
              <w:t>monitoring_baseline persisted to Delta</w:t>
            </w:r>
          </w:p>
        </w:tc>
        <w:tc>
          <w:tcPr>
            <w:tcW w:type="dxa" w:w="1296"/>
          </w:tcPr>
          <w:p>
            <w:r>
              <w:rPr>
                <w:color w:val="333333"/>
                <w:sz w:val="19"/>
              </w:rPr>
              <w:t>OPEN P1</w:t>
            </w:r>
          </w:p>
        </w:tc>
        <w:tc>
          <w:tcPr>
            <w:tcW w:type="dxa" w:w="2880"/>
          </w:tcPr>
          <w:p>
            <w:r>
              <w:rPr>
                <w:color w:val="333333"/>
                <w:sz w:val="19"/>
              </w:rPr>
              <w:t>Enables proactive accuracy alerting</w:t>
            </w:r>
          </w:p>
        </w:tc>
      </w:tr>
      <w:tr>
        <w:tc>
          <w:tcPr>
            <w:tcW w:type="dxa" w:w="576"/>
          </w:tcPr>
          <w:p>
            <w:r>
              <w:rPr>
                <w:color w:val="333333"/>
                <w:sz w:val="19"/>
              </w:rPr>
              <w:t>6</w:t>
            </w:r>
          </w:p>
        </w:tc>
        <w:tc>
          <w:tcPr>
            <w:tcW w:type="dxa" w:w="5040"/>
          </w:tcPr>
          <w:p>
            <w:r>
              <w:rPr>
                <w:color w:val="333333"/>
                <w:sz w:val="19"/>
              </w:rPr>
              <w:t>True MinT WLS reconciliation</w:t>
            </w:r>
          </w:p>
        </w:tc>
        <w:tc>
          <w:tcPr>
            <w:tcW w:type="dxa" w:w="1296"/>
          </w:tcPr>
          <w:p>
            <w:r>
              <w:rPr>
                <w:color w:val="333333"/>
                <w:sz w:val="19"/>
              </w:rPr>
              <w:t>OPEN P1</w:t>
            </w:r>
          </w:p>
        </w:tc>
        <w:tc>
          <w:tcPr>
            <w:tcW w:type="dxa" w:w="2880"/>
          </w:tcPr>
          <w:p>
            <w:r>
              <w:rPr>
                <w:color w:val="333333"/>
                <w:sz w:val="19"/>
              </w:rPr>
              <w:t>-1 to -3 pp market-level WAPE</w:t>
            </w:r>
          </w:p>
        </w:tc>
      </w:tr>
      <w:tr>
        <w:tc>
          <w:tcPr>
            <w:tcW w:type="dxa" w:w="576"/>
          </w:tcPr>
          <w:p>
            <w:r>
              <w:rPr>
                <w:color w:val="333333"/>
                <w:sz w:val="19"/>
              </w:rPr>
              <w:t>7</w:t>
            </w:r>
          </w:p>
        </w:tc>
        <w:tc>
          <w:tcPr>
            <w:tcW w:type="dxa" w:w="5040"/>
          </w:tcPr>
          <w:p>
            <w:r>
              <w:rPr>
                <w:color w:val="333333"/>
                <w:sz w:val="19"/>
              </w:rPr>
              <w:t>mkt_generated_lag4 + mkt_influenced_lag4 added to LGB</w:t>
            </w:r>
          </w:p>
        </w:tc>
        <w:tc>
          <w:tcPr>
            <w:tcW w:type="dxa" w:w="1296"/>
          </w:tcPr>
          <w:p>
            <w:r>
              <w:rPr>
                <w:color w:val="333333"/>
                <w:sz w:val="19"/>
              </w:rPr>
              <w:t>OPEN P2</w:t>
            </w:r>
          </w:p>
        </w:tc>
        <w:tc>
          <w:tcPr>
            <w:tcW w:type="dxa" w:w="2880"/>
          </w:tcPr>
          <w:p>
            <w:r>
              <w:rPr>
                <w:color w:val="333333"/>
                <w:sz w:val="19"/>
              </w:rPr>
              <w:t>-0.5 to -2 pp WAPE</w:t>
            </w:r>
          </w:p>
        </w:tc>
      </w:tr>
      <w:tr>
        <w:tc>
          <w:tcPr>
            <w:tcW w:type="dxa" w:w="576"/>
          </w:tcPr>
          <w:p>
            <w:r>
              <w:rPr>
                <w:color w:val="333333"/>
                <w:sz w:val="19"/>
              </w:rPr>
              <w:t>8</w:t>
            </w:r>
          </w:p>
        </w:tc>
        <w:tc>
          <w:tcPr>
            <w:tcW w:type="dxa" w:w="5040"/>
          </w:tcPr>
          <w:p>
            <w:r>
              <w:rPr>
                <w:color w:val="333333"/>
                <w:sz w:val="19"/>
              </w:rPr>
              <w:t>SHAP feature importance logging</w:t>
            </w:r>
          </w:p>
        </w:tc>
        <w:tc>
          <w:tcPr>
            <w:tcW w:type="dxa" w:w="1296"/>
          </w:tcPr>
          <w:p>
            <w:r>
              <w:rPr>
                <w:color w:val="333333"/>
                <w:sz w:val="19"/>
              </w:rPr>
              <w:t>OPEN P2</w:t>
            </w:r>
          </w:p>
        </w:tc>
        <w:tc>
          <w:tcPr>
            <w:tcW w:type="dxa" w:w="2880"/>
          </w:tcPr>
          <w:p>
            <w:r>
              <w:rPr>
                <w:color w:val="333333"/>
                <w:sz w:val="19"/>
              </w:rPr>
              <w:t>Interpretability — no direct WAPE impact</w:t>
            </w:r>
          </w:p>
        </w:tc>
      </w:tr>
      <w:tr>
        <w:tc>
          <w:tcPr>
            <w:tcW w:type="dxa" w:w="576"/>
          </w:tcPr>
          <w:p>
            <w:r>
              <w:rPr>
                <w:color w:val="333333"/>
                <w:sz w:val="19"/>
              </w:rPr>
              <w:t>9</w:t>
            </w:r>
          </w:p>
        </w:tc>
        <w:tc>
          <w:tcPr>
            <w:tcW w:type="dxa" w:w="5040"/>
          </w:tcPr>
          <w:p>
            <w:r>
              <w:rPr>
                <w:color w:val="333333"/>
                <w:sz w:val="19"/>
              </w:rPr>
              <w:t>Conditional ensemble interval calibration (by market x quarter)</w:t>
            </w:r>
          </w:p>
        </w:tc>
        <w:tc>
          <w:tcPr>
            <w:tcW w:type="dxa" w:w="1296"/>
          </w:tcPr>
          <w:p>
            <w:r>
              <w:rPr>
                <w:color w:val="333333"/>
                <w:sz w:val="19"/>
              </w:rPr>
              <w:t>OPEN P2</w:t>
            </w:r>
          </w:p>
        </w:tc>
        <w:tc>
          <w:tcPr>
            <w:tcW w:type="dxa" w:w="2880"/>
          </w:tcPr>
          <w:p>
            <w:r>
              <w:rPr>
                <w:color w:val="333333"/>
                <w:sz w:val="19"/>
              </w:rPr>
              <w:t>Interval width -15 to -25% in stable segments</w:t>
            </w:r>
          </w:p>
        </w:tc>
      </w:tr>
      <w:tr>
        <w:tc>
          <w:tcPr>
            <w:tcW w:type="dxa" w:w="576"/>
          </w:tcPr>
          <w:p>
            <w:r>
              <w:rPr>
                <w:color w:val="333333"/>
                <w:sz w:val="19"/>
              </w:rPr>
              <w:t>10</w:t>
            </w:r>
          </w:p>
        </w:tc>
        <w:tc>
          <w:tcPr>
            <w:tcW w:type="dxa" w:w="5040"/>
          </w:tcPr>
          <w:p>
            <w:r>
              <w:rPr>
                <w:color w:val="333333"/>
                <w:sz w:val="19"/>
              </w:rPr>
              <w:t>Regional holiday features for EMEA/APAC/LATAM</w:t>
            </w:r>
          </w:p>
        </w:tc>
        <w:tc>
          <w:tcPr>
            <w:tcW w:type="dxa" w:w="1296"/>
          </w:tcPr>
          <w:p>
            <w:r>
              <w:rPr>
                <w:color w:val="333333"/>
                <w:sz w:val="19"/>
              </w:rPr>
              <w:t>OPEN P2</w:t>
            </w:r>
          </w:p>
        </w:tc>
        <w:tc>
          <w:tcPr>
            <w:tcW w:type="dxa" w:w="2880"/>
          </w:tcPr>
          <w:p>
            <w:r>
              <w:rPr>
                <w:color w:val="333333"/>
                <w:sz w:val="19"/>
              </w:rPr>
              <w:t>-0.5 to -1.5 pp WAPE in non-NA markets</w:t>
            </w:r>
          </w:p>
        </w:tc>
      </w:tr>
    </w:tbl>
    <w:p/>
    <w:p>
      <w:pPr>
        <w:pStyle w:val="Heading2"/>
      </w:pPr>
      <w:r>
        <w:rPr>
          <w:b/>
          <w:color w:val="0047AB"/>
        </w:rPr>
        <w:t>Production Readiness Gate</w:t>
      </w:r>
    </w:p>
    <w:tbl>
      <w:tblPr>
        <w:tblStyle w:val="TableGrid"/>
        <w:tblW w:type="auto" w:w="0"/>
        <w:tblLook w:firstColumn="1" w:firstRow="1" w:lastColumn="0" w:lastRow="0" w:noHBand="0" w:noVBand="1" w:val="04A0"/>
      </w:tblPr>
      <w:tblGrid>
        <w:gridCol w:w="3120"/>
        <w:gridCol w:w="3120"/>
        <w:gridCol w:w="3120"/>
      </w:tblGrid>
      <w:tr>
        <w:tc>
          <w:tcPr>
            <w:tcW w:type="dxa" w:w="4608"/>
            <w:shd w:val="clear" w:color="auto" w:fill="0047AB"/>
          </w:tcPr>
          <w:p>
            <w:r>
              <w:rPr>
                <w:b/>
                <w:color w:val="FFFFFF"/>
                <w:sz w:val="20"/>
              </w:rPr>
              <w:t>Gate</w:t>
            </w:r>
          </w:p>
        </w:tc>
        <w:tc>
          <w:tcPr>
            <w:tcW w:type="dxa" w:w="1152"/>
            <w:shd w:val="clear" w:color="auto" w:fill="0047AB"/>
          </w:tcPr>
          <w:p>
            <w:r>
              <w:rPr>
                <w:b/>
                <w:color w:val="FFFFFF"/>
                <w:sz w:val="20"/>
              </w:rPr>
              <w:t>Status</w:t>
            </w:r>
          </w:p>
        </w:tc>
        <w:tc>
          <w:tcPr>
            <w:tcW w:type="dxa" w:w="4032"/>
            <w:shd w:val="clear" w:color="auto" w:fill="0047AB"/>
          </w:tcPr>
          <w:p>
            <w:r>
              <w:rPr>
                <w:b/>
                <w:color w:val="FFFFFF"/>
                <w:sz w:val="20"/>
              </w:rPr>
              <w:t>Note</w:t>
            </w:r>
          </w:p>
        </w:tc>
      </w:tr>
      <w:tr>
        <w:tc>
          <w:tcPr>
            <w:tcW w:type="dxa" w:w="4608"/>
          </w:tcPr>
          <w:p>
            <w:r>
              <w:rPr>
                <w:color w:val="333333"/>
                <w:sz w:val="19"/>
              </w:rPr>
              <w:t>All P0 issues resolved</w:t>
            </w:r>
          </w:p>
        </w:tc>
        <w:tc>
          <w:tcPr>
            <w:tcW w:type="dxa" w:w="1152"/>
          </w:tcPr>
          <w:p>
            <w:r>
              <w:rPr>
                <w:color w:val="333333"/>
                <w:sz w:val="19"/>
              </w:rPr>
              <w:t>PASS</w:t>
            </w:r>
          </w:p>
        </w:tc>
        <w:tc>
          <w:tcPr>
            <w:tcW w:type="dxa" w:w="4032"/>
          </w:tcPr>
          <w:p>
            <w:r>
              <w:rPr>
                <w:color w:val="333333"/>
                <w:sz w:val="19"/>
              </w:rPr>
              <w:t>Resolved in V5</w:t>
            </w:r>
          </w:p>
        </w:tc>
      </w:tr>
      <w:tr>
        <w:tc>
          <w:tcPr>
            <w:tcW w:type="dxa" w:w="4608"/>
          </w:tcPr>
          <w:p>
            <w:r>
              <w:rPr>
                <w:color w:val="333333"/>
                <w:sz w:val="19"/>
              </w:rPr>
              <w:t>Delta table write confirmed (both tables)</w:t>
            </w:r>
          </w:p>
        </w:tc>
        <w:tc>
          <w:tcPr>
            <w:tcW w:type="dxa" w:w="1152"/>
          </w:tcPr>
          <w:p>
            <w:r>
              <w:rPr>
                <w:color w:val="333333"/>
                <w:sz w:val="19"/>
              </w:rPr>
              <w:t>PASS</w:t>
            </w:r>
          </w:p>
        </w:tc>
        <w:tc>
          <w:tcPr>
            <w:tcW w:type="dxa" w:w="4032"/>
          </w:tcPr>
          <w:p>
            <w:r>
              <w:rPr>
                <w:color w:val="333333"/>
                <w:sz w:val="19"/>
              </w:rPr>
              <w:t>V6 — dual write confirmed in Cell 15</w:t>
            </w:r>
          </w:p>
        </w:tc>
      </w:tr>
      <w:tr>
        <w:tc>
          <w:tcPr>
            <w:tcW w:type="dxa" w:w="4608"/>
          </w:tcPr>
          <w:p>
            <w:r>
              <w:rPr>
                <w:color w:val="333333"/>
                <w:sz w:val="19"/>
              </w:rPr>
              <w:t>Quantile ordering enforced</w:t>
            </w:r>
          </w:p>
        </w:tc>
        <w:tc>
          <w:tcPr>
            <w:tcW w:type="dxa" w:w="1152"/>
          </w:tcPr>
          <w:p>
            <w:r>
              <w:rPr>
                <w:color w:val="333333"/>
                <w:sz w:val="19"/>
              </w:rPr>
              <w:t>PASS</w:t>
            </w:r>
          </w:p>
        </w:tc>
        <w:tc>
          <w:tcPr>
            <w:tcW w:type="dxa" w:w="4032"/>
          </w:tcPr>
          <w:p>
            <w:r>
              <w:rPr>
                <w:color w:val="333333"/>
                <w:sz w:val="19"/>
              </w:rPr>
              <w:t>CV + production crossing guard</w:t>
            </w:r>
          </w:p>
        </w:tc>
      </w:tr>
      <w:tr>
        <w:tc>
          <w:tcPr>
            <w:tcW w:type="dxa" w:w="4608"/>
          </w:tcPr>
          <w:p>
            <w:r>
              <w:rPr>
                <w:color w:val="333333"/>
                <w:sz w:val="19"/>
              </w:rPr>
              <w:t>Ensemble uncertainty bounds present</w:t>
            </w:r>
          </w:p>
        </w:tc>
        <w:tc>
          <w:tcPr>
            <w:tcW w:type="dxa" w:w="1152"/>
          </w:tcPr>
          <w:p>
            <w:r>
              <w:rPr>
                <w:color w:val="333333"/>
                <w:sz w:val="19"/>
              </w:rPr>
              <w:t>PASS</w:t>
            </w:r>
          </w:p>
        </w:tc>
        <w:tc>
          <w:tcPr>
            <w:tcW w:type="dxa" w:w="4032"/>
          </w:tcPr>
          <w:p>
            <w:r>
              <w:rPr>
                <w:color w:val="333333"/>
                <w:sz w:val="19"/>
              </w:rPr>
              <w:t>Calibrated via holdout error quantiles</w:t>
            </w:r>
          </w:p>
        </w:tc>
      </w:tr>
      <w:tr>
        <w:tc>
          <w:tcPr>
            <w:tcW w:type="dxa" w:w="4608"/>
          </w:tcPr>
          <w:p>
            <w:r>
              <w:rPr>
                <w:color w:val="333333"/>
                <w:sz w:val="19"/>
              </w:rPr>
              <w:t>MLflow experiment tracking active</w:t>
            </w:r>
          </w:p>
        </w:tc>
        <w:tc>
          <w:tcPr>
            <w:tcW w:type="dxa" w:w="1152"/>
          </w:tcPr>
          <w:p>
            <w:r>
              <w:rPr>
                <w:color w:val="333333"/>
                <w:sz w:val="19"/>
              </w:rPr>
              <w:t>PASS</w:t>
            </w:r>
          </w:p>
        </w:tc>
        <w:tc>
          <w:tcPr>
            <w:tcW w:type="dxa" w:w="4032"/>
          </w:tcPr>
          <w:p>
            <w:r>
              <w:rPr>
                <w:color w:val="333333"/>
                <w:sz w:val="19"/>
              </w:rPr>
              <w:t>mlflow.start_run per model</w:t>
            </w:r>
          </w:p>
        </w:tc>
      </w:tr>
      <w:tr>
        <w:tc>
          <w:tcPr>
            <w:tcW w:type="dxa" w:w="4608"/>
          </w:tcPr>
          <w:p>
            <w:r>
              <w:rPr>
                <w:color w:val="333333"/>
                <w:sz w:val="19"/>
              </w:rPr>
              <w:t>PRODUCTION_OUTPUT_TABLE naming correct</w:t>
            </w:r>
          </w:p>
        </w:tc>
        <w:tc>
          <w:tcPr>
            <w:tcW w:type="dxa" w:w="1152"/>
          </w:tcPr>
          <w:p>
            <w:r>
              <w:rPr>
                <w:color w:val="333333"/>
                <w:sz w:val="19"/>
              </w:rPr>
              <w:t>PASS</w:t>
            </w:r>
          </w:p>
        </w:tc>
        <w:tc>
          <w:tcPr>
            <w:tcW w:type="dxa" w:w="4032"/>
          </w:tcPr>
          <w:p>
            <w:r>
              <w:rPr>
                <w:color w:val="333333"/>
                <w:sz w:val="19"/>
              </w:rPr>
              <w:t>V6 — ucc_forecast_v5</w:t>
            </w:r>
          </w:p>
        </w:tc>
      </w:tr>
      <w:tr>
        <w:tc>
          <w:tcPr>
            <w:tcW w:type="dxa" w:w="4608"/>
          </w:tcPr>
          <w:p>
            <w:r>
              <w:rPr>
                <w:color w:val="333333"/>
                <w:sz w:val="19"/>
              </w:rPr>
              <w:t>Authoritative actuals source confirmed</w:t>
            </w:r>
          </w:p>
        </w:tc>
        <w:tc>
          <w:tcPr>
            <w:tcW w:type="dxa" w:w="1152"/>
          </w:tcPr>
          <w:p>
            <w:r>
              <w:rPr>
                <w:color w:val="333333"/>
                <w:sz w:val="19"/>
              </w:rPr>
              <w:t>PASS</w:t>
            </w:r>
          </w:p>
        </w:tc>
        <w:tc>
          <w:tcPr>
            <w:tcW w:type="dxa" w:w="4032"/>
          </w:tcPr>
          <w:p>
            <w:r>
              <w:rPr>
                <w:color w:val="333333"/>
                <w:sz w:val="19"/>
              </w:rPr>
              <w:t>V6 — datagroup.uc_forecast.actuals</w:t>
            </w:r>
          </w:p>
        </w:tc>
      </w:tr>
      <w:tr>
        <w:tc>
          <w:tcPr>
            <w:tcW w:type="dxa" w:w="4608"/>
          </w:tcPr>
          <w:p>
            <w:r>
              <w:rPr>
                <w:color w:val="333333"/>
                <w:sz w:val="19"/>
              </w:rPr>
              <w:t>Leaky column governance documented</w:t>
            </w:r>
          </w:p>
        </w:tc>
        <w:tc>
          <w:tcPr>
            <w:tcW w:type="dxa" w:w="1152"/>
          </w:tcPr>
          <w:p>
            <w:r>
              <w:rPr>
                <w:color w:val="333333"/>
                <w:sz w:val="19"/>
              </w:rPr>
              <w:t>PASS</w:t>
            </w:r>
          </w:p>
        </w:tc>
        <w:tc>
          <w:tcPr>
            <w:tcW w:type="dxa" w:w="4032"/>
          </w:tcPr>
          <w:p>
            <w:r>
              <w:rPr>
                <w:color w:val="333333"/>
                <w:sz w:val="19"/>
              </w:rPr>
              <w:t>V6 — explicit LEAKY_OR_UNUSABLE_COLS</w:t>
            </w:r>
          </w:p>
        </w:tc>
      </w:tr>
      <w:tr>
        <w:tc>
          <w:tcPr>
            <w:tcW w:type="dxa" w:w="4608"/>
          </w:tcPr>
          <w:p>
            <w:r>
              <w:rPr>
                <w:color w:val="333333"/>
                <w:sz w:val="19"/>
              </w:rPr>
              <w:t>Monitoring thresholds defined</w:t>
            </w:r>
          </w:p>
        </w:tc>
        <w:tc>
          <w:tcPr>
            <w:tcW w:type="dxa" w:w="1152"/>
          </w:tcPr>
          <w:p>
            <w:r>
              <w:rPr>
                <w:color w:val="333333"/>
                <w:sz w:val="19"/>
              </w:rPr>
              <w:t>PASS</w:t>
            </w:r>
          </w:p>
        </w:tc>
        <w:tc>
          <w:tcPr>
            <w:tcW w:type="dxa" w:w="4032"/>
          </w:tcPr>
          <w:p>
            <w:r>
              <w:rPr>
                <w:color w:val="333333"/>
                <w:sz w:val="19"/>
              </w:rPr>
              <w:t>cv_wape * 1.5 per model</w:t>
            </w:r>
          </w:p>
        </w:tc>
      </w:tr>
      <w:tr>
        <w:tc>
          <w:tcPr>
            <w:tcW w:type="dxa" w:w="4608"/>
          </w:tcPr>
          <w:p>
            <w:r>
              <w:rPr>
                <w:color w:val="333333"/>
                <w:sz w:val="19"/>
              </w:rPr>
              <w:t>Monitoring thresholds persisted to Delta</w:t>
            </w:r>
          </w:p>
        </w:tc>
        <w:tc>
          <w:tcPr>
            <w:tcW w:type="dxa" w:w="1152"/>
          </w:tcPr>
          <w:p>
            <w:r>
              <w:rPr>
                <w:color w:val="333333"/>
                <w:sz w:val="19"/>
              </w:rPr>
              <w:t>FAIL</w:t>
            </w:r>
          </w:p>
        </w:tc>
        <w:tc>
          <w:tcPr>
            <w:tcW w:type="dxa" w:w="4032"/>
          </w:tcPr>
          <w:p>
            <w:r>
              <w:rPr>
                <w:color w:val="333333"/>
                <w:sz w:val="19"/>
              </w:rPr>
              <w:t>Not written — P1 open</w:t>
            </w:r>
          </w:p>
        </w:tc>
      </w:tr>
      <w:tr>
        <w:tc>
          <w:tcPr>
            <w:tcW w:type="dxa" w:w="4608"/>
          </w:tcPr>
          <w:p>
            <w:r>
              <w:rPr>
                <w:color w:val="333333"/>
                <w:sz w:val="19"/>
              </w:rPr>
              <w:t>Automated scheduling (Databricks Job)</w:t>
            </w:r>
          </w:p>
        </w:tc>
        <w:tc>
          <w:tcPr>
            <w:tcW w:type="dxa" w:w="1152"/>
          </w:tcPr>
          <w:p>
            <w:r>
              <w:rPr>
                <w:color w:val="333333"/>
                <w:sz w:val="19"/>
              </w:rPr>
              <w:t>FAIL</w:t>
            </w:r>
          </w:p>
        </w:tc>
        <w:tc>
          <w:tcPr>
            <w:tcW w:type="dxa" w:w="4032"/>
          </w:tcPr>
          <w:p>
            <w:r>
              <w:rPr>
                <w:color w:val="333333"/>
                <w:sz w:val="19"/>
              </w:rPr>
              <w:t>Not implemented — P1 open</w:t>
            </w:r>
          </w:p>
        </w:tc>
      </w:tr>
      <w:tr>
        <w:tc>
          <w:tcPr>
            <w:tcW w:type="dxa" w:w="4608"/>
          </w:tcPr>
          <w:p>
            <w:r>
              <w:rPr>
                <w:color w:val="333333"/>
                <w:sz w:val="19"/>
              </w:rPr>
              <w:t>True MinT reconciliation</w:t>
            </w:r>
          </w:p>
        </w:tc>
        <w:tc>
          <w:tcPr>
            <w:tcW w:type="dxa" w:w="1152"/>
          </w:tcPr>
          <w:p>
            <w:r>
              <w:rPr>
                <w:color w:val="333333"/>
                <w:sz w:val="19"/>
              </w:rPr>
              <w:t>FAIL</w:t>
            </w:r>
          </w:p>
        </w:tc>
        <w:tc>
          <w:tcPr>
            <w:tcW w:type="dxa" w:w="4032"/>
          </w:tcPr>
          <w:p>
            <w:r>
              <w:rPr>
                <w:color w:val="333333"/>
                <w:sz w:val="19"/>
              </w:rPr>
              <w:t>Covariance estimated — projection missing — P1 open</w:t>
            </w:r>
          </w:p>
        </w:tc>
      </w:tr>
    </w:tbl>
    <w:p/>
    <w:p>
      <w:pPr>
        <w:pStyle w:val="Heading2"/>
      </w:pPr>
      <w:r>
        <w:rPr>
          <w:b/>
          <w:color w:val="0047AB"/>
        </w:rPr>
        <w:t>Recommended Next Steps for V7</w:t>
      </w:r>
    </w:p>
    <w:p>
      <w:pPr>
        <w:pStyle w:val="ListBullet"/>
        <w:ind w:left="504"/>
      </w:pPr>
      <w:r>
        <w:rPr>
          <w:color w:val="333333"/>
          <w:sz w:val="20"/>
        </w:rPr>
        <w:t>MUST: Add Databricks Job — parameterized weekly schedule, email notification on failure, Slack/Teams alert on WAPE breach.</w:t>
      </w:r>
    </w:p>
    <w:p>
      <w:pPr>
        <w:pStyle w:val="ListBullet"/>
        <w:ind w:left="504"/>
      </w:pPr>
      <w:r>
        <w:rPr>
          <w:color w:val="333333"/>
          <w:sz w:val="20"/>
        </w:rPr>
        <w:t>MUST: Write monitoring_baseline to ucc_forecast_monitoring_baseline Delta table — enables automated alerting.</w:t>
      </w:r>
    </w:p>
    <w:p>
      <w:pPr>
        <w:pStyle w:val="ListBullet"/>
        <w:ind w:left="504"/>
      </w:pPr>
      <w:r>
        <w:rPr>
          <w:color w:val="333333"/>
          <w:sz w:val="20"/>
        </w:rPr>
        <w:t>MUST: Apply MinT WLS projection — estimate_mint_covariances() already written; one step missing.</w:t>
      </w:r>
    </w:p>
    <w:p>
      <w:pPr>
        <w:pStyle w:val="ListBullet"/>
        <w:ind w:left="504"/>
      </w:pPr>
      <w:r>
        <w:rPr>
          <w:color w:val="333333"/>
          <w:sz w:val="20"/>
        </w:rPr>
        <w:t>SHOULD: Add mkt_generated_lag4 and mkt_influenced_lag4 to LGB — data is now pulled in Cell 1, just needs lagging and inclusion in GLOBAL_FEATURE_COLS.</w:t>
      </w:r>
    </w:p>
    <w:p>
      <w:pPr>
        <w:pStyle w:val="ListBullet"/>
        <w:ind w:left="504"/>
      </w:pPr>
      <w:r>
        <w:rPr>
          <w:color w:val="333333"/>
          <w:sz w:val="20"/>
        </w:rPr>
        <w:t>SHOULD: Add regional holiday calendars — EMEA bank holidays, APAC public holidays, LATAM national holidays.</w:t>
      </w:r>
    </w:p>
    <w:p>
      <w:pPr>
        <w:pStyle w:val="ListBullet"/>
        <w:ind w:left="504"/>
      </w:pPr>
      <w:r>
        <w:rPr>
          <w:color w:val="333333"/>
          <w:sz w:val="20"/>
        </w:rPr>
        <w:t>CONSIDER: SHAP logging per production run — saves top-N feature importances to a Delta table for trend monitoring.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