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F497D"/>
          <w:sz w:val="48"/>
        </w:rPr>
        <w:t>UCC FORECAST FOUNDATION V9</w:t>
      </w:r>
    </w:p>
    <w:p>
      <w:pPr>
        <w:jc w:val="center"/>
      </w:pPr>
      <w:r>
        <w:rPr>
          <w:rFonts w:ascii="Calibri" w:hAnsi="Calibri"/>
          <w:b w:val="0"/>
          <w:i w:val="0"/>
          <w:color w:val="2E75B6"/>
          <w:sz w:val="32"/>
        </w:rPr>
        <w:t>Expert Forecasting Review</w:t>
      </w:r>
    </w:p>
    <w:p>
      <w:pPr>
        <w:jc w:val="center"/>
      </w:pPr>
      <w:r>
        <w:rPr>
          <w:rFonts w:ascii="Calibri" w:hAnsi="Calibri"/>
          <w:b w:val="0"/>
          <w:i/>
          <w:color w:val="595959"/>
          <w:sz w:val="24"/>
        </w:rPr>
        <w:t>GoTo Technologies — UCC Growth ARR Forecasting System</w:t>
      </w:r>
    </w:p>
    <w:p/>
    <w:p>
      <w:pPr>
        <w:spacing w:before="120" w:after="120"/>
        <w:jc w:val="center"/>
      </w:pPr>
      <w:r>
        <w:rPr>
          <w:rFonts w:ascii="Calibri" w:hAnsi="Calibri"/>
          <w:b/>
          <w:i w:val="0"/>
          <w:color w:val="378645"/>
          <w:sz w:val="56"/>
        </w:rPr>
        <w:t xml:space="preserve">  97/100  </w:t>
      </w:r>
      <w:r>
        <w:rPr>
          <w:rFonts w:ascii="Calibri" w:hAnsi="Calibri"/>
          <w:b/>
          <w:i w:val="0"/>
          <w:color w:val="2E75B6"/>
          <w:sz w:val="28"/>
        </w:rPr>
        <w:t xml:space="preserve">  |  PRODUCTION-GRADE  |  ELITE-APPROACHING</w:t>
      </w:r>
    </w:p>
    <w:p>
      <w:pPr>
        <w:jc w:val="center"/>
      </w:pPr>
      <w:r>
        <w:rPr>
          <w:rFonts w:ascii="Calibri" w:hAnsi="Calibri"/>
          <w:b/>
          <w:i w:val="0"/>
          <w:color w:val="2E75B6"/>
          <w:sz w:val="22"/>
        </w:rPr>
        <w:t>Score Progression: V5(84) → V6(91) → V7(83/93) → V8(95) → V9(97)</w:t>
      </w:r>
    </w:p>
    <w:p/>
    <w:p>
      <w:pPr>
        <w:jc w:val="center"/>
      </w:pPr>
      <w:r>
        <w:rPr>
          <w:rFonts w:ascii="Calibri" w:hAnsi="Calibri"/>
          <w:b w:val="0"/>
          <w:i/>
          <w:color w:val="595959"/>
          <w:sz w:val="20"/>
        </w:rPr>
        <w:t>Review Date: July 2026   |   Reviewer: Expert Forecasting Consultant</w:t>
      </w:r>
    </w:p>
    <w:p>
      <w:r>
        <w:br w:type="page"/>
      </w:r>
    </w:p>
    <w:p>
      <w:pPr>
        <w:spacing w:before="360" w:after="120"/>
        <w:pBdr>
          <w:bottom w:val="single" w:sz="6" w:space="1" w:color="1F497D"/>
        </w:pBdr>
      </w:pPr>
      <w:r>
        <w:rPr>
          <w:rFonts w:ascii="Calibri" w:hAnsi="Calibri"/>
          <w:b/>
          <w:i w:val="0"/>
          <w:color w:val="1F497D"/>
          <w:sz w:val="30"/>
        </w:rPr>
        <w:t>Section 0: Executive Summary</w:t>
      </w:r>
    </w:p>
    <w:p>
      <w:pPr>
        <w:spacing w:before="120" w:after="120"/>
        <w:jc w:val="center"/>
      </w:pPr>
      <w:r>
        <w:rPr>
          <w:rFonts w:ascii="Calibri" w:hAnsi="Calibri"/>
          <w:b/>
          <w:i w:val="0"/>
          <w:color w:val="378645"/>
          <w:sz w:val="56"/>
        </w:rPr>
        <w:t xml:space="preserve">  97/100  </w:t>
      </w:r>
      <w:r>
        <w:rPr>
          <w:rFonts w:ascii="Calibri" w:hAnsi="Calibri"/>
          <w:b/>
          <w:i w:val="0"/>
          <w:color w:val="2E75B6"/>
          <w:sz w:val="28"/>
        </w:rPr>
        <w:t xml:space="preserve">  |  PRODUCTION-GRADE — ELITE-APPROACHING</w:t>
      </w:r>
    </w:p>
    <w:p>
      <w:pPr>
        <w:spacing w:after="120"/>
      </w:pPr>
      <w:r>
        <w:rPr>
          <w:rFonts w:ascii="Calibri" w:hAnsi="Calibri"/>
          <w:b w:val="0"/>
          <w:i w:val="0"/>
          <w:sz w:val="21"/>
        </w:rPr>
        <w:t>UCC Forecast Foundation V9 is a landmark release. Building on the already-strong 95/100 score earned in V8, V9 introduces seven substantive modeling and engineering improvements that collectively address the last major gaps between an enterprise production forecast and an elite ML forecasting system. The notebook now rivals commercial forecasting platforms in its use of external signals, probabilistic calibration, and hierarchical reconciliation — all implemented correctly with proper leakage prevention.</w:t>
      </w:r>
    </w:p>
    <w:p>
      <w:pPr>
        <w:spacing w:after="120"/>
      </w:pPr>
      <w:r>
        <w:rPr>
          <w:rFonts w:ascii="Calibri" w:hAnsi="Calibri"/>
          <w:b w:val="0"/>
          <w:i w:val="0"/>
          <w:sz w:val="21"/>
        </w:rPr>
        <w:t>At 97/100, V9 earns Production-Grade, Elite-Approaching status. The two remaining points require infrastructure work (Databricks Job definition, MLflow Model Registry) that is deliberately outside the notebook scope. The forecasting logic itself is essentially complete.</w:t>
      </w:r>
    </w:p>
    <w:tbl>
      <w:tblPr>
        <w:tblStyle w:val="TableGrid"/>
        <w:tblW w:type="auto" w:w="0"/>
        <w:tblLook w:firstColumn="1" w:firstRow="1" w:lastColumn="0" w:lastRow="0" w:noHBand="0" w:noVBand="1" w:val="04A0"/>
      </w:tblPr>
      <w:tblGrid>
        <w:gridCol w:w="3024"/>
        <w:gridCol w:w="3024"/>
        <w:gridCol w:w="3024"/>
      </w:tblGrid>
      <w:tr>
        <w:tc>
          <w:tcPr>
            <w:tcW w:type="dxa" w:w="1440"/>
            <w:shd w:val="clear" w:color="auto" w:fill="1F497D"/>
          </w:tcPr>
          <w:p>
            <w:pPr>
              <w:jc w:val="center"/>
            </w:pPr>
            <w:r>
              <w:rPr>
                <w:rFonts w:ascii="Calibri" w:hAnsi="Calibri"/>
                <w:b/>
                <w:i w:val="0"/>
                <w:color w:val="FFFFFF"/>
                <w:sz w:val="20"/>
              </w:rPr>
              <w:t>Version</w:t>
            </w:r>
          </w:p>
        </w:tc>
        <w:tc>
          <w:tcPr>
            <w:tcW w:type="dxa" w:w="1440"/>
            <w:shd w:val="clear" w:color="auto" w:fill="1F497D"/>
          </w:tcPr>
          <w:p>
            <w:pPr>
              <w:jc w:val="center"/>
            </w:pPr>
            <w:r>
              <w:rPr>
                <w:rFonts w:ascii="Calibri" w:hAnsi="Calibri"/>
                <w:b/>
                <w:i w:val="0"/>
                <w:color w:val="FFFFFF"/>
                <w:sz w:val="20"/>
              </w:rPr>
              <w:t>Score</w:t>
            </w:r>
          </w:p>
        </w:tc>
        <w:tc>
          <w:tcPr>
            <w:tcW w:type="dxa" w:w="6912"/>
            <w:shd w:val="clear" w:color="auto" w:fill="1F497D"/>
          </w:tcPr>
          <w:p>
            <w:pPr>
              <w:jc w:val="center"/>
            </w:pPr>
            <w:r>
              <w:rPr>
                <w:rFonts w:ascii="Calibri" w:hAnsi="Calibri"/>
                <w:b/>
                <w:i w:val="0"/>
                <w:color w:val="FFFFFF"/>
                <w:sz w:val="20"/>
              </w:rPr>
              <w:t>Key Advancement</w:t>
            </w:r>
          </w:p>
        </w:tc>
      </w:tr>
      <w:tr>
        <w:tc>
          <w:tcPr>
            <w:tcW w:type="dxa" w:w="1440"/>
            <w:shd w:val="clear" w:color="auto" w:fill="F0F5FA"/>
          </w:tcPr>
          <w:p>
            <w:r>
              <w:rPr>
                <w:rFonts w:ascii="Calibri" w:hAnsi="Calibri"/>
                <w:b w:val="0"/>
                <w:i w:val="0"/>
                <w:sz w:val="20"/>
              </w:rPr>
              <w:t>V5</w:t>
            </w:r>
          </w:p>
        </w:tc>
        <w:tc>
          <w:tcPr>
            <w:tcW w:type="dxa" w:w="1440"/>
            <w:shd w:val="clear" w:color="auto" w:fill="F0F5FA"/>
          </w:tcPr>
          <w:p>
            <w:r>
              <w:rPr>
                <w:rFonts w:ascii="Calibri" w:hAnsi="Calibri"/>
                <w:b w:val="0"/>
                <w:i w:val="0"/>
                <w:sz w:val="20"/>
              </w:rPr>
              <w:t>84/100</w:t>
            </w:r>
          </w:p>
        </w:tc>
        <w:tc>
          <w:tcPr>
            <w:tcW w:type="dxa" w:w="6912"/>
            <w:shd w:val="clear" w:color="auto" w:fill="F0F5FA"/>
          </w:tcPr>
          <w:p>
            <w:r>
              <w:rPr>
                <w:rFonts w:ascii="Calibri" w:hAnsi="Calibri"/>
                <w:b w:val="0"/>
                <w:i w:val="0"/>
                <w:sz w:val="20"/>
              </w:rPr>
              <w:t>Walk-forward CV, 5-model ensemble, MSTL + ETS + Prophet + DHR + LGB</w:t>
            </w:r>
          </w:p>
        </w:tc>
      </w:tr>
      <w:tr>
        <w:tc>
          <w:tcPr>
            <w:tcW w:type="dxa" w:w="1440"/>
            <w:shd w:val="clear" w:color="auto" w:fill="FFFFFF"/>
          </w:tcPr>
          <w:p>
            <w:r>
              <w:rPr>
                <w:rFonts w:ascii="Calibri" w:hAnsi="Calibri"/>
                <w:b w:val="0"/>
                <w:i w:val="0"/>
                <w:sz w:val="20"/>
              </w:rPr>
              <w:t>V6</w:t>
            </w:r>
          </w:p>
        </w:tc>
        <w:tc>
          <w:tcPr>
            <w:tcW w:type="dxa" w:w="1440"/>
            <w:shd w:val="clear" w:color="auto" w:fill="FFFFFF"/>
          </w:tcPr>
          <w:p>
            <w:r>
              <w:rPr>
                <w:rFonts w:ascii="Calibri" w:hAnsi="Calibri"/>
                <w:b w:val="0"/>
                <w:i w:val="0"/>
                <w:sz w:val="20"/>
              </w:rPr>
              <w:t>91/100</w:t>
            </w:r>
          </w:p>
        </w:tc>
        <w:tc>
          <w:tcPr>
            <w:tcW w:type="dxa" w:w="6912"/>
            <w:shd w:val="clear" w:color="auto" w:fill="FFFFFF"/>
          </w:tcPr>
          <w:p>
            <w:r>
              <w:rPr>
                <w:rFonts w:ascii="Calibri" w:hAnsi="Calibri"/>
                <w:b w:val="0"/>
                <w:i w:val="0"/>
                <w:sz w:val="20"/>
              </w:rPr>
              <w:t>MinT reconciliation, GR ensemble, marketing features</w:t>
            </w:r>
          </w:p>
        </w:tc>
      </w:tr>
      <w:tr>
        <w:tc>
          <w:tcPr>
            <w:tcW w:type="dxa" w:w="1440"/>
            <w:shd w:val="clear" w:color="auto" w:fill="F0F5FA"/>
          </w:tcPr>
          <w:p>
            <w:r>
              <w:rPr>
                <w:rFonts w:ascii="Calibri" w:hAnsi="Calibri"/>
                <w:b w:val="0"/>
                <w:i w:val="0"/>
                <w:sz w:val="20"/>
              </w:rPr>
              <w:t>V7</w:t>
            </w:r>
          </w:p>
        </w:tc>
        <w:tc>
          <w:tcPr>
            <w:tcW w:type="dxa" w:w="1440"/>
            <w:shd w:val="clear" w:color="auto" w:fill="F0F5FA"/>
          </w:tcPr>
          <w:p>
            <w:r>
              <w:rPr>
                <w:rFonts w:ascii="Calibri" w:hAnsi="Calibri"/>
                <w:b w:val="0"/>
                <w:i w:val="0"/>
                <w:sz w:val="20"/>
              </w:rPr>
              <w:t>83/100 (as-is) / 93 (post-fix)</w:t>
            </w:r>
          </w:p>
        </w:tc>
        <w:tc>
          <w:tcPr>
            <w:tcW w:type="dxa" w:w="6912"/>
            <w:shd w:val="clear" w:color="auto" w:fill="F0F5FA"/>
          </w:tcPr>
          <w:p>
            <w:r>
              <w:rPr>
                <w:rFonts w:ascii="Calibri" w:hAnsi="Calibri"/>
                <w:b w:val="0"/>
                <w:i w:val="0"/>
                <w:sz w:val="20"/>
              </w:rPr>
              <w:t>Feature cliff bug (marketing 0s) — fixed in V8</w:t>
            </w:r>
          </w:p>
        </w:tc>
      </w:tr>
      <w:tr>
        <w:tc>
          <w:tcPr>
            <w:tcW w:type="dxa" w:w="1440"/>
            <w:shd w:val="clear" w:color="auto" w:fill="FFFFFF"/>
          </w:tcPr>
          <w:p>
            <w:r>
              <w:rPr>
                <w:rFonts w:ascii="Calibri" w:hAnsi="Calibri"/>
                <w:b w:val="0"/>
                <w:i w:val="0"/>
                <w:sz w:val="20"/>
              </w:rPr>
              <w:t>V8</w:t>
            </w:r>
          </w:p>
        </w:tc>
        <w:tc>
          <w:tcPr>
            <w:tcW w:type="dxa" w:w="1440"/>
            <w:shd w:val="clear" w:color="auto" w:fill="FFFFFF"/>
          </w:tcPr>
          <w:p>
            <w:r>
              <w:rPr>
                <w:rFonts w:ascii="Calibri" w:hAnsi="Calibri"/>
                <w:b w:val="0"/>
                <w:i w:val="0"/>
                <w:sz w:val="20"/>
              </w:rPr>
              <w:t>95/100</w:t>
            </w:r>
          </w:p>
        </w:tc>
        <w:tc>
          <w:tcPr>
            <w:tcW w:type="dxa" w:w="6912"/>
            <w:shd w:val="clear" w:color="auto" w:fill="FFFFFF"/>
          </w:tcPr>
          <w:p>
            <w:r>
              <w:rPr>
                <w:rFonts w:ascii="Calibri" w:hAnsi="Calibri"/>
                <w:b w:val="0"/>
                <w:i w:val="0"/>
                <w:sz w:val="20"/>
              </w:rPr>
              <w:t>win_rate_by_woq in DHR, marketing cliff fixed, early stopping in LGB, CI coverage</w:t>
            </w:r>
          </w:p>
        </w:tc>
      </w:tr>
      <w:tr>
        <w:tc>
          <w:tcPr>
            <w:tcW w:type="dxa" w:w="1440"/>
            <w:shd w:val="clear" w:color="auto" w:fill="F0F5FA"/>
          </w:tcPr>
          <w:p>
            <w:r>
              <w:rPr>
                <w:rFonts w:ascii="Calibri" w:hAnsi="Calibri"/>
                <w:b w:val="0"/>
                <w:i w:val="0"/>
                <w:sz w:val="20"/>
              </w:rPr>
              <w:t>V9</w:t>
            </w:r>
          </w:p>
        </w:tc>
        <w:tc>
          <w:tcPr>
            <w:tcW w:type="dxa" w:w="1440"/>
            <w:shd w:val="clear" w:color="auto" w:fill="F0F5FA"/>
          </w:tcPr>
          <w:p>
            <w:r>
              <w:rPr>
                <w:rFonts w:ascii="Calibri" w:hAnsi="Calibri"/>
                <w:b w:val="0"/>
                <w:i w:val="0"/>
                <w:sz w:val="20"/>
              </w:rPr>
              <w:t>97/100</w:t>
            </w:r>
          </w:p>
        </w:tc>
        <w:tc>
          <w:tcPr>
            <w:tcW w:type="dxa" w:w="6912"/>
            <w:shd w:val="clear" w:color="auto" w:fill="F0F5FA"/>
          </w:tcPr>
          <w:p>
            <w:r>
              <w:rPr>
                <w:rFonts w:ascii="Calibri" w:hAnsi="Calibri"/>
                <w:b w:val="0"/>
                <w:i w:val="0"/>
                <w:sz w:val="20"/>
              </w:rPr>
              <w:t>MC calibration, sales_rep_ramp_ratio, region_holiday, phase-stable Fourier, plan_gap</w:t>
            </w:r>
          </w:p>
        </w:tc>
      </w:tr>
    </w:tbl>
    <w:p/>
    <w:p>
      <w:pPr>
        <w:spacing w:before="240" w:after="80"/>
      </w:pPr>
      <w:r>
        <w:rPr>
          <w:rFonts w:ascii="Calibri" w:hAnsi="Calibri"/>
          <w:b/>
          <w:i w:val="0"/>
          <w:color w:val="2E75B6"/>
          <w:sz w:val="24"/>
        </w:rPr>
        <w:t>V9 Seven Core Improvements at a Glance</w:t>
      </w:r>
    </w:p>
    <w:p>
      <w:pPr>
        <w:pStyle w:val="ListBullet"/>
        <w:spacing w:after="40"/>
        <w:ind w:left="360"/>
      </w:pPr>
      <w:r>
        <w:rPr>
          <w:rFonts w:ascii="Calibri" w:hAnsi="Calibri"/>
          <w:b/>
          <w:i w:val="0"/>
          <w:color w:val="378645"/>
          <w:sz w:val="21"/>
        </w:rPr>
        <w:t xml:space="preserve">1. Magna Carta Calibration Layer: </w:t>
      </w:r>
      <w:r>
        <w:rPr>
          <w:rFonts w:ascii="Calibri" w:hAnsi="Calibri"/>
          <w:b w:val="0"/>
          <w:i w:val="0"/>
          <w:sz w:val="21"/>
        </w:rPr>
        <w:t>add_monthly_mc_scale() computes month-level MC-actuals / Prophet ratio, eliminating systematic Prophet bias by segment.</w:t>
      </w:r>
    </w:p>
    <w:p>
      <w:pPr>
        <w:pStyle w:val="ListBullet"/>
        <w:spacing w:after="40"/>
        <w:ind w:left="360"/>
      </w:pPr>
      <w:r>
        <w:rPr>
          <w:rFonts w:ascii="Calibri" w:hAnsi="Calibri"/>
          <w:b/>
          <w:i w:val="0"/>
          <w:color w:val="378645"/>
          <w:sz w:val="21"/>
        </w:rPr>
        <w:t xml:space="preserve">2. Sales Rep Ramp Ratio: </w:t>
      </w:r>
      <w:r>
        <w:rPr>
          <w:rFonts w:ascii="Calibri" w:hAnsi="Calibri"/>
          <w:b w:val="0"/>
          <w:i w:val="0"/>
          <w:sz w:val="21"/>
        </w:rPr>
        <w:t>sales_rep_ramp_ratio captures net headcount velocity relative to base — a leading indicator of revenue productivity.</w:t>
      </w:r>
    </w:p>
    <w:p>
      <w:pPr>
        <w:pStyle w:val="ListBullet"/>
        <w:spacing w:after="40"/>
        <w:ind w:left="360"/>
      </w:pPr>
      <w:r>
        <w:rPr>
          <w:rFonts w:ascii="Calibri" w:hAnsi="Calibri"/>
          <w:b/>
          <w:i w:val="0"/>
          <w:color w:val="378645"/>
          <w:sz w:val="21"/>
        </w:rPr>
        <w:t xml:space="preserve">3. Market-Aware Holiday Feature: </w:t>
      </w:r>
      <w:r>
        <w:rPr>
          <w:rFonts w:ascii="Calibri" w:hAnsi="Calibri"/>
          <w:b w:val="0"/>
          <w:i w:val="0"/>
          <w:sz w:val="21"/>
        </w:rPr>
        <w:t>region_holiday uses UK+Germany / India / Brazil / US calendars per sales_market instead of a single US binary.</w:t>
      </w:r>
    </w:p>
    <w:p>
      <w:pPr>
        <w:pStyle w:val="ListBullet"/>
        <w:spacing w:after="40"/>
        <w:ind w:left="360"/>
      </w:pPr>
      <w:r>
        <w:rPr>
          <w:rFonts w:ascii="Calibri" w:hAnsi="Calibri"/>
          <w:b/>
          <w:i w:val="0"/>
          <w:color w:val="378645"/>
          <w:sz w:val="21"/>
        </w:rPr>
        <w:t xml:space="preserve">4. Phase-Stable Fourier Terms: </w:t>
      </w:r>
      <w:r>
        <w:rPr>
          <w:rFonts w:ascii="Calibri" w:hAnsi="Calibri"/>
          <w:b w:val="0"/>
          <w:i w:val="0"/>
          <w:sz w:val="21"/>
        </w:rPr>
        <w:t>DHR Fourier terms now computed from calendar indices (week_of_qtr, ISO week_of_year) so phase is identical across every CV fold.</w:t>
      </w:r>
    </w:p>
    <w:p>
      <w:pPr>
        <w:pStyle w:val="ListBullet"/>
        <w:spacing w:after="40"/>
        <w:ind w:left="360"/>
      </w:pPr>
      <w:r>
        <w:rPr>
          <w:rFonts w:ascii="Calibri" w:hAnsi="Calibri"/>
          <w:b/>
          <w:i w:val="0"/>
          <w:color w:val="378645"/>
          <w:sz w:val="21"/>
        </w:rPr>
        <w:t xml:space="preserve">5. Plan Attainment Gap Signal: </w:t>
      </w:r>
      <w:r>
        <w:rPr>
          <w:rFonts w:ascii="Calibri" w:hAnsi="Calibri"/>
          <w:b w:val="0"/>
          <w:i w:val="0"/>
          <w:sz w:val="21"/>
        </w:rPr>
        <w:t>plan_gap_lag1 = (mc_actuals - miradore_plan) lagged 1 week feeds the LGB model the attainment momentum signal.</w:t>
      </w:r>
    </w:p>
    <w:p>
      <w:pPr>
        <w:pStyle w:val="ListBullet"/>
        <w:spacing w:after="40"/>
        <w:ind w:left="360"/>
      </w:pPr>
      <w:r>
        <w:rPr>
          <w:rFonts w:ascii="Calibri" w:hAnsi="Calibri"/>
          <w:b/>
          <w:i w:val="0"/>
          <w:color w:val="378645"/>
          <w:sz w:val="21"/>
        </w:rPr>
        <w:t xml:space="preserve">6. Miradore + MC Authoritative Actuals Lags: </w:t>
      </w:r>
      <w:r>
        <w:rPr>
          <w:rFonts w:ascii="Calibri" w:hAnsi="Calibri"/>
          <w:b w:val="0"/>
          <w:i w:val="0"/>
          <w:sz w:val="21"/>
        </w:rPr>
        <w:t>miradore_lag4 and mc_actuals_lag4 bring plan-reference and authoritative actuals into the LGB feature set.</w:t>
      </w:r>
    </w:p>
    <w:p>
      <w:pPr>
        <w:pStyle w:val="ListBullet"/>
        <w:spacing w:after="40"/>
        <w:ind w:left="360"/>
      </w:pPr>
      <w:r>
        <w:rPr>
          <w:rFonts w:ascii="Calibri" w:hAnsi="Calibri"/>
          <w:b/>
          <w:i w:val="0"/>
          <w:color w:val="378645"/>
          <w:sz w:val="21"/>
        </w:rPr>
        <w:t xml:space="preserve">7. Profile-Based Future Imputation: </w:t>
      </w:r>
      <w:r>
        <w:rPr>
          <w:rFonts w:ascii="Calibri" w:hAnsi="Calibri"/>
          <w:b w:val="0"/>
          <w:i w:val="0"/>
          <w:sz w:val="21"/>
        </w:rPr>
        <w:t>build_profile_lookup() fills all future panel features from week-of-quarter medians instead of global means.</w:t>
      </w:r>
    </w:p>
    <w:p>
      <w:r>
        <w:br w:type="page"/>
      </w:r>
    </w:p>
    <w:p>
      <w:pPr>
        <w:spacing w:before="360" w:after="120"/>
        <w:pBdr>
          <w:bottom w:val="single" w:sz="6" w:space="1" w:color="1F497D"/>
        </w:pBdr>
      </w:pPr>
      <w:r>
        <w:rPr>
          <w:rFonts w:ascii="Calibri" w:hAnsi="Calibri"/>
          <w:b/>
          <w:i w:val="0"/>
          <w:color w:val="1F497D"/>
          <w:sz w:val="30"/>
        </w:rPr>
        <w:t>Section 1: Overall Forecasting Architecture</w:t>
      </w:r>
    </w:p>
    <w:p>
      <w:pPr>
        <w:spacing w:before="240" w:after="80"/>
      </w:pPr>
      <w:r>
        <w:rPr>
          <w:rFonts w:ascii="Calibri" w:hAnsi="Calibri"/>
          <w:b/>
          <w:i w:val="0"/>
          <w:color w:val="2E75B6"/>
          <w:sz w:val="24"/>
        </w:rPr>
        <w:t>1.1 Workflow Summary</w:t>
      </w:r>
    </w:p>
    <w:p>
      <w:pPr>
        <w:spacing w:after="80"/>
      </w:pPr>
      <w:r>
        <w:rPr>
          <w:rFonts w:ascii="Calibri" w:hAnsi="Calibri"/>
          <w:b w:val="0"/>
          <w:i w:val="0"/>
          <w:sz w:val="21"/>
        </w:rPr>
        <w:t>V9 follows a rigorous 16-step workflow that now represents best practice for weekly B2B revenue forecasting:</w:t>
      </w:r>
    </w:p>
    <w:tbl>
      <w:tblPr>
        <w:tblStyle w:val="TableGrid"/>
        <w:tblW w:type="auto" w:w="0"/>
        <w:tblLook w:firstColumn="1" w:firstRow="1" w:lastColumn="0" w:lastRow="0" w:noHBand="0" w:noVBand="1" w:val="04A0"/>
      </w:tblPr>
      <w:tblGrid>
        <w:gridCol w:w="3024"/>
        <w:gridCol w:w="3024"/>
        <w:gridCol w:w="3024"/>
      </w:tblGrid>
      <w:tr>
        <w:tc>
          <w:tcPr>
            <w:tcW w:type="dxa" w:w="1152"/>
            <w:shd w:val="clear" w:color="auto" w:fill="1F497D"/>
          </w:tcPr>
          <w:p>
            <w:pPr>
              <w:jc w:val="center"/>
            </w:pPr>
            <w:r>
              <w:rPr>
                <w:rFonts w:ascii="Calibri" w:hAnsi="Calibri"/>
                <w:b/>
                <w:i w:val="0"/>
                <w:color w:val="FFFFFF"/>
                <w:sz w:val="20"/>
              </w:rPr>
              <w:t>Step</w:t>
            </w:r>
          </w:p>
        </w:tc>
        <w:tc>
          <w:tcPr>
            <w:tcW w:type="dxa" w:w="2160"/>
            <w:shd w:val="clear" w:color="auto" w:fill="1F497D"/>
          </w:tcPr>
          <w:p>
            <w:pPr>
              <w:jc w:val="center"/>
            </w:pPr>
            <w:r>
              <w:rPr>
                <w:rFonts w:ascii="Calibri" w:hAnsi="Calibri"/>
                <w:b/>
                <w:i w:val="0"/>
                <w:color w:val="FFFFFF"/>
                <w:sz w:val="20"/>
              </w:rPr>
              <w:t>Module</w:t>
            </w:r>
          </w:p>
        </w:tc>
        <w:tc>
          <w:tcPr>
            <w:tcW w:type="dxa" w:w="6480"/>
            <w:shd w:val="clear" w:color="auto" w:fill="1F497D"/>
          </w:tcPr>
          <w:p>
            <w:pPr>
              <w:jc w:val="center"/>
            </w:pPr>
            <w:r>
              <w:rPr>
                <w:rFonts w:ascii="Calibri" w:hAnsi="Calibri"/>
                <w:b/>
                <w:i w:val="0"/>
                <w:color w:val="FFFFFF"/>
                <w:sz w:val="20"/>
              </w:rPr>
              <w:t>Description</w:t>
            </w:r>
          </w:p>
        </w:tc>
      </w:tr>
      <w:tr>
        <w:tc>
          <w:tcPr>
            <w:tcW w:type="dxa" w:w="1152"/>
            <w:shd w:val="clear" w:color="auto" w:fill="F0F5FA"/>
          </w:tcPr>
          <w:p>
            <w:r>
              <w:rPr>
                <w:rFonts w:ascii="Calibri" w:hAnsi="Calibri"/>
                <w:b w:val="0"/>
                <w:i w:val="0"/>
                <w:sz w:val="20"/>
              </w:rPr>
              <w:t>Step 1</w:t>
            </w:r>
          </w:p>
        </w:tc>
        <w:tc>
          <w:tcPr>
            <w:tcW w:type="dxa" w:w="2160"/>
            <w:shd w:val="clear" w:color="auto" w:fill="F0F5FA"/>
          </w:tcPr>
          <w:p>
            <w:r>
              <w:rPr>
                <w:rFonts w:ascii="Calibri" w:hAnsi="Calibri"/>
                <w:b w:val="0"/>
                <w:i w:val="0"/>
                <w:sz w:val="20"/>
              </w:rPr>
              <w:t>Data Ingestion</w:t>
            </w:r>
          </w:p>
        </w:tc>
        <w:tc>
          <w:tcPr>
            <w:tcW w:type="dxa" w:w="6480"/>
            <w:shd w:val="clear" w:color="auto" w:fill="F0F5FA"/>
          </w:tcPr>
          <w:p>
            <w:r>
              <w:rPr>
                <w:rFonts w:ascii="Calibri" w:hAnsi="Calibri"/>
                <w:b w:val="0"/>
                <w:i w:val="0"/>
                <w:sz w:val="20"/>
              </w:rPr>
              <w:t>SFDC closed-won UCC Growth ARR with full feature pull (pipeline, headcount, marketing, partner pipeline)</w:t>
            </w:r>
          </w:p>
        </w:tc>
      </w:tr>
      <w:tr>
        <w:tc>
          <w:tcPr>
            <w:tcW w:type="dxa" w:w="1152"/>
            <w:shd w:val="clear" w:color="auto" w:fill="FFFFFF"/>
          </w:tcPr>
          <w:p>
            <w:r>
              <w:rPr>
                <w:rFonts w:ascii="Calibri" w:hAnsi="Calibri"/>
                <w:b w:val="0"/>
                <w:i w:val="0"/>
                <w:sz w:val="20"/>
              </w:rPr>
              <w:t>Step 2</w:t>
            </w:r>
          </w:p>
        </w:tc>
        <w:tc>
          <w:tcPr>
            <w:tcW w:type="dxa" w:w="2160"/>
            <w:shd w:val="clear" w:color="auto" w:fill="FFFFFF"/>
          </w:tcPr>
          <w:p>
            <w:r>
              <w:rPr>
                <w:rFonts w:ascii="Calibri" w:hAnsi="Calibri"/>
                <w:b w:val="0"/>
                <w:i w:val="0"/>
                <w:sz w:val="20"/>
              </w:rPr>
              <w:t>EDA</w:t>
            </w:r>
          </w:p>
        </w:tc>
        <w:tc>
          <w:tcPr>
            <w:tcW w:type="dxa" w:w="6480"/>
            <w:shd w:val="clear" w:color="auto" w:fill="FFFFFF"/>
          </w:tcPr>
          <w:p>
            <w:r>
              <w:rPr>
                <w:rFonts w:ascii="Calibri" w:hAnsi="Calibri"/>
                <w:b w:val="0"/>
                <w:i w:val="0"/>
                <w:sz w:val="20"/>
              </w:rPr>
              <w:t>Trend decomposition, market-level breakdowns, family-level (UCaaS) splits</w:t>
            </w:r>
          </w:p>
        </w:tc>
      </w:tr>
      <w:tr>
        <w:tc>
          <w:tcPr>
            <w:tcW w:type="dxa" w:w="1152"/>
            <w:shd w:val="clear" w:color="auto" w:fill="F0F5FA"/>
          </w:tcPr>
          <w:p>
            <w:r>
              <w:rPr>
                <w:rFonts w:ascii="Calibri" w:hAnsi="Calibri"/>
                <w:b w:val="0"/>
                <w:i w:val="0"/>
                <w:sz w:val="20"/>
              </w:rPr>
              <w:t>Step 3</w:t>
            </w:r>
          </w:p>
        </w:tc>
        <w:tc>
          <w:tcPr>
            <w:tcW w:type="dxa" w:w="2160"/>
            <w:shd w:val="clear" w:color="auto" w:fill="F0F5FA"/>
          </w:tcPr>
          <w:p>
            <w:r>
              <w:rPr>
                <w:rFonts w:ascii="Calibri" w:hAnsi="Calibri"/>
                <w:b w:val="0"/>
                <w:i w:val="0"/>
                <w:sz w:val="20"/>
              </w:rPr>
              <w:t>Guardrails</w:t>
            </w:r>
          </w:p>
        </w:tc>
        <w:tc>
          <w:tcPr>
            <w:tcW w:type="dxa" w:w="6480"/>
            <w:shd w:val="clear" w:color="auto" w:fill="F0F5FA"/>
          </w:tcPr>
          <w:p>
            <w:r>
              <w:rPr>
                <w:rFonts w:ascii="Calibri" w:hAnsi="Calibri"/>
                <w:b w:val="0"/>
                <w:i w:val="0"/>
                <w:sz w:val="20"/>
              </w:rPr>
              <w:t>Leakage audit, BACKTEST_START fixed at Q1-2026, train/test split</w:t>
            </w:r>
          </w:p>
        </w:tc>
      </w:tr>
      <w:tr>
        <w:tc>
          <w:tcPr>
            <w:tcW w:type="dxa" w:w="1152"/>
            <w:shd w:val="clear" w:color="auto" w:fill="FFFFFF"/>
          </w:tcPr>
          <w:p>
            <w:r>
              <w:rPr>
                <w:rFonts w:ascii="Calibri" w:hAnsi="Calibri"/>
                <w:b w:val="0"/>
                <w:i w:val="0"/>
                <w:sz w:val="20"/>
              </w:rPr>
              <w:t>Step 4</w:t>
            </w:r>
          </w:p>
        </w:tc>
        <w:tc>
          <w:tcPr>
            <w:tcW w:type="dxa" w:w="2160"/>
            <w:shd w:val="clear" w:color="auto" w:fill="FFFFFF"/>
          </w:tcPr>
          <w:p>
            <w:r>
              <w:rPr>
                <w:rFonts w:ascii="Calibri" w:hAnsi="Calibri"/>
                <w:b w:val="0"/>
                <w:i w:val="0"/>
                <w:sz w:val="20"/>
              </w:rPr>
              <w:t>CV Framework</w:t>
            </w:r>
          </w:p>
        </w:tc>
        <w:tc>
          <w:tcPr>
            <w:tcW w:type="dxa" w:w="6480"/>
            <w:shd w:val="clear" w:color="auto" w:fill="FFFFFF"/>
          </w:tcPr>
          <w:p>
            <w:r>
              <w:rPr>
                <w:rFonts w:ascii="Calibri" w:hAnsi="Calibri"/>
                <w:b w:val="0"/>
                <w:i w:val="0"/>
                <w:sz w:val="20"/>
              </w:rPr>
              <w:t>8-fold × 13-week walk-forward with ci_coverage, WAPE, MAPE, SMAPE, RMSE</w:t>
            </w:r>
          </w:p>
        </w:tc>
      </w:tr>
      <w:tr>
        <w:tc>
          <w:tcPr>
            <w:tcW w:type="dxa" w:w="1152"/>
            <w:shd w:val="clear" w:color="auto" w:fill="F0F5FA"/>
          </w:tcPr>
          <w:p>
            <w:r>
              <w:rPr>
                <w:rFonts w:ascii="Calibri" w:hAnsi="Calibri"/>
                <w:b w:val="0"/>
                <w:i w:val="0"/>
                <w:sz w:val="20"/>
              </w:rPr>
              <w:t>Step 5</w:t>
            </w:r>
          </w:p>
        </w:tc>
        <w:tc>
          <w:tcPr>
            <w:tcW w:type="dxa" w:w="2160"/>
            <w:shd w:val="clear" w:color="auto" w:fill="F0F5FA"/>
          </w:tcPr>
          <w:p>
            <w:r>
              <w:rPr>
                <w:rFonts w:ascii="Calibri" w:hAnsi="Calibri"/>
                <w:b w:val="0"/>
                <w:i w:val="0"/>
                <w:sz w:val="20"/>
              </w:rPr>
              <w:t>Benchmark Models</w:t>
            </w:r>
          </w:p>
        </w:tc>
        <w:tc>
          <w:tcPr>
            <w:tcW w:type="dxa" w:w="6480"/>
            <w:shd w:val="clear" w:color="auto" w:fill="F0F5FA"/>
          </w:tcPr>
          <w:p>
            <w:r>
              <w:rPr>
                <w:rFonts w:ascii="Calibri" w:hAnsi="Calibri"/>
                <w:b w:val="0"/>
                <w:i w:val="0"/>
                <w:sz w:val="20"/>
              </w:rPr>
              <w:t>MSTL v2, ETS (mul/52), Prophet + WoQ profile — all MLflow-logged</w:t>
            </w:r>
          </w:p>
        </w:tc>
      </w:tr>
      <w:tr>
        <w:tc>
          <w:tcPr>
            <w:tcW w:type="dxa" w:w="1152"/>
            <w:shd w:val="clear" w:color="auto" w:fill="FFFFFF"/>
          </w:tcPr>
          <w:p>
            <w:r>
              <w:rPr>
                <w:rFonts w:ascii="Calibri" w:hAnsi="Calibri"/>
                <w:b w:val="0"/>
                <w:i w:val="0"/>
                <w:sz w:val="20"/>
              </w:rPr>
              <w:t>Step 9</w:t>
            </w:r>
          </w:p>
        </w:tc>
        <w:tc>
          <w:tcPr>
            <w:tcW w:type="dxa" w:w="2160"/>
            <w:shd w:val="clear" w:color="auto" w:fill="FFFFFF"/>
          </w:tcPr>
          <w:p>
            <w:r>
              <w:rPr>
                <w:rFonts w:ascii="Calibri" w:hAnsi="Calibri"/>
                <w:b w:val="0"/>
                <w:i w:val="0"/>
                <w:sz w:val="20"/>
              </w:rPr>
              <w:t>DHR-ARIMA</w:t>
            </w:r>
          </w:p>
        </w:tc>
        <w:tc>
          <w:tcPr>
            <w:tcW w:type="dxa" w:w="6480"/>
            <w:shd w:val="clear" w:color="auto" w:fill="FFFFFF"/>
          </w:tcPr>
          <w:p>
            <w:r>
              <w:rPr>
                <w:rFonts w:ascii="Calibri" w:hAnsi="Calibri"/>
                <w:b w:val="0"/>
                <w:i w:val="0"/>
                <w:sz w:val="20"/>
              </w:rPr>
              <w:t>Per-market ARIMA with phase-stable Fourier regressors + 6 exogenous signals</w:t>
            </w:r>
          </w:p>
        </w:tc>
      </w:tr>
      <w:tr>
        <w:tc>
          <w:tcPr>
            <w:tcW w:type="dxa" w:w="1152"/>
            <w:shd w:val="clear" w:color="auto" w:fill="F0F5FA"/>
          </w:tcPr>
          <w:p>
            <w:r>
              <w:rPr>
                <w:rFonts w:ascii="Calibri" w:hAnsi="Calibri"/>
                <w:b w:val="0"/>
                <w:i w:val="0"/>
                <w:sz w:val="20"/>
              </w:rPr>
              <w:t>Step 10B</w:t>
            </w:r>
          </w:p>
        </w:tc>
        <w:tc>
          <w:tcPr>
            <w:tcW w:type="dxa" w:w="2160"/>
            <w:shd w:val="clear" w:color="auto" w:fill="F0F5FA"/>
          </w:tcPr>
          <w:p>
            <w:r>
              <w:rPr>
                <w:rFonts w:ascii="Calibri" w:hAnsi="Calibri"/>
                <w:b w:val="0"/>
                <w:i w:val="0"/>
                <w:sz w:val="20"/>
              </w:rPr>
              <w:t>Global LGB Quantile</w:t>
            </w:r>
          </w:p>
        </w:tc>
        <w:tc>
          <w:tcPr>
            <w:tcW w:type="dxa" w:w="6480"/>
            <w:shd w:val="clear" w:color="auto" w:fill="F0F5FA"/>
          </w:tcPr>
          <w:p>
            <w:r>
              <w:rPr>
                <w:rFonts w:ascii="Calibri" w:hAnsi="Calibri"/>
                <w:b w:val="0"/>
                <w:i w:val="0"/>
                <w:sz w:val="20"/>
              </w:rPr>
              <w:t>36-feature global-by-market quantile model with early stopping, SHAP explainability</w:t>
            </w:r>
          </w:p>
        </w:tc>
      </w:tr>
      <w:tr>
        <w:tc>
          <w:tcPr>
            <w:tcW w:type="dxa" w:w="1152"/>
            <w:shd w:val="clear" w:color="auto" w:fill="FFFFFF"/>
          </w:tcPr>
          <w:p>
            <w:r>
              <w:rPr>
                <w:rFonts w:ascii="Calibri" w:hAnsi="Calibri"/>
                <w:b w:val="0"/>
                <w:i w:val="0"/>
                <w:sz w:val="20"/>
              </w:rPr>
              <w:t>Step 13</w:t>
            </w:r>
          </w:p>
        </w:tc>
        <w:tc>
          <w:tcPr>
            <w:tcW w:type="dxa" w:w="2160"/>
            <w:shd w:val="clear" w:color="auto" w:fill="FFFFFF"/>
          </w:tcPr>
          <w:p>
            <w:r>
              <w:rPr>
                <w:rFonts w:ascii="Calibri" w:hAnsi="Calibri"/>
                <w:b w:val="0"/>
                <w:i w:val="0"/>
                <w:sz w:val="20"/>
              </w:rPr>
              <w:t>MinT + GR Ensemble</w:t>
            </w:r>
          </w:p>
        </w:tc>
        <w:tc>
          <w:tcPr>
            <w:tcW w:type="dxa" w:w="6480"/>
            <w:shd w:val="clear" w:color="auto" w:fill="FFFFFF"/>
          </w:tcPr>
          <w:p>
            <w:r>
              <w:rPr>
                <w:rFonts w:ascii="Calibri" w:hAnsi="Calibri"/>
                <w:b w:val="0"/>
                <w:i w:val="0"/>
                <w:sz w:val="20"/>
              </w:rPr>
              <w:t>Granger-Ramanathan optimal ensemble with MinT hierarchical reconciliation</w:t>
            </w:r>
          </w:p>
        </w:tc>
      </w:tr>
      <w:tr>
        <w:tc>
          <w:tcPr>
            <w:tcW w:type="dxa" w:w="1152"/>
            <w:shd w:val="clear" w:color="auto" w:fill="F0F5FA"/>
          </w:tcPr>
          <w:p>
            <w:r>
              <w:rPr>
                <w:rFonts w:ascii="Calibri" w:hAnsi="Calibri"/>
                <w:b w:val="0"/>
                <w:i w:val="0"/>
                <w:sz w:val="20"/>
              </w:rPr>
              <w:t>Step 14</w:t>
            </w:r>
          </w:p>
        </w:tc>
        <w:tc>
          <w:tcPr>
            <w:tcW w:type="dxa" w:w="2160"/>
            <w:shd w:val="clear" w:color="auto" w:fill="F0F5FA"/>
          </w:tcPr>
          <w:p>
            <w:r>
              <w:rPr>
                <w:rFonts w:ascii="Calibri" w:hAnsi="Calibri"/>
                <w:b w:val="0"/>
                <w:i w:val="0"/>
                <w:sz w:val="20"/>
              </w:rPr>
              <w:t>Production Forecast</w:t>
            </w:r>
          </w:p>
        </w:tc>
        <w:tc>
          <w:tcPr>
            <w:tcW w:type="dxa" w:w="6480"/>
            <w:shd w:val="clear" w:color="auto" w:fill="F0F5FA"/>
          </w:tcPr>
          <w:p>
            <w:r>
              <w:rPr>
                <w:rFonts w:ascii="Calibri" w:hAnsi="Calibri"/>
                <w:b w:val="0"/>
                <w:i w:val="0"/>
                <w:sz w:val="20"/>
              </w:rPr>
              <w:t>27-week forward forecast (Q3+Q4 2026) written to ucc_forecast_v5 + v4</w:t>
            </w:r>
          </w:p>
        </w:tc>
      </w:tr>
      <w:tr>
        <w:tc>
          <w:tcPr>
            <w:tcW w:type="dxa" w:w="1152"/>
            <w:shd w:val="clear" w:color="auto" w:fill="FFFFFF"/>
          </w:tcPr>
          <w:p>
            <w:r>
              <w:rPr>
                <w:rFonts w:ascii="Calibri" w:hAnsi="Calibri"/>
                <w:b w:val="0"/>
                <w:i w:val="0"/>
                <w:sz w:val="20"/>
              </w:rPr>
              <w:t>Step 15</w:t>
            </w:r>
          </w:p>
        </w:tc>
        <w:tc>
          <w:tcPr>
            <w:tcW w:type="dxa" w:w="2160"/>
            <w:shd w:val="clear" w:color="auto" w:fill="FFFFFF"/>
          </w:tcPr>
          <w:p>
            <w:r>
              <w:rPr>
                <w:rFonts w:ascii="Calibri" w:hAnsi="Calibri"/>
                <w:b w:val="0"/>
                <w:i w:val="0"/>
                <w:sz w:val="20"/>
              </w:rPr>
              <w:t>Executive Summary</w:t>
            </w:r>
          </w:p>
        </w:tc>
        <w:tc>
          <w:tcPr>
            <w:tcW w:type="dxa" w:w="6480"/>
            <w:shd w:val="clear" w:color="auto" w:fill="FFFFFF"/>
          </w:tcPr>
          <w:p>
            <w:r>
              <w:rPr>
                <w:rFonts w:ascii="Calibri" w:hAnsi="Calibri"/>
                <w:b w:val="0"/>
                <w:i w:val="0"/>
                <w:sz w:val="20"/>
              </w:rPr>
              <w:t>Model ranking, retained-model shortlist, FY2026 quarterly view</w:t>
            </w:r>
          </w:p>
        </w:tc>
      </w:tr>
      <w:tr>
        <w:tc>
          <w:tcPr>
            <w:tcW w:type="dxa" w:w="1152"/>
            <w:shd w:val="clear" w:color="auto" w:fill="F0F5FA"/>
          </w:tcPr>
          <w:p>
            <w:r>
              <w:rPr>
                <w:rFonts w:ascii="Calibri" w:hAnsi="Calibri"/>
                <w:b w:val="0"/>
                <w:i w:val="0"/>
                <w:sz w:val="20"/>
              </w:rPr>
              <w:t>Step 16</w:t>
            </w:r>
          </w:p>
        </w:tc>
        <w:tc>
          <w:tcPr>
            <w:tcW w:type="dxa" w:w="2160"/>
            <w:shd w:val="clear" w:color="auto" w:fill="F0F5FA"/>
          </w:tcPr>
          <w:p>
            <w:r>
              <w:rPr>
                <w:rFonts w:ascii="Calibri" w:hAnsi="Calibri"/>
                <w:b w:val="0"/>
                <w:i w:val="0"/>
                <w:sz w:val="20"/>
              </w:rPr>
              <w:t>Monitoring Baseline</w:t>
            </w:r>
          </w:p>
        </w:tc>
        <w:tc>
          <w:tcPr>
            <w:tcW w:type="dxa" w:w="6480"/>
            <w:shd w:val="clear" w:color="auto" w:fill="F0F5FA"/>
          </w:tcPr>
          <w:p>
            <w:r>
              <w:rPr>
                <w:rFonts w:ascii="Calibri" w:hAnsi="Calibri"/>
                <w:b w:val="0"/>
                <w:i w:val="0"/>
                <w:sz w:val="20"/>
              </w:rPr>
              <w:t>Holdout WAPE thresholds written to ucc_forecast_monitoring_baseline</w:t>
            </w:r>
          </w:p>
        </w:tc>
      </w:tr>
    </w:tbl>
    <w:p/>
    <w:p>
      <w:pPr>
        <w:spacing w:before="240" w:after="80"/>
      </w:pPr>
      <w:r>
        <w:rPr>
          <w:rFonts w:ascii="Calibri" w:hAnsi="Calibri"/>
          <w:b/>
          <w:i w:val="0"/>
          <w:color w:val="2E75B6"/>
          <w:sz w:val="24"/>
        </w:rPr>
        <w:t>1.2 Architecture Strengths</w:t>
      </w:r>
    </w:p>
    <w:p>
      <w:pPr>
        <w:pStyle w:val="ListBullet"/>
        <w:spacing w:after="40"/>
        <w:ind w:left="360"/>
      </w:pPr>
      <w:r>
        <w:rPr>
          <w:rFonts w:ascii="Calibri" w:hAnsi="Calibri"/>
          <w:b/>
          <w:i w:val="0"/>
          <w:color w:val="2E75B6"/>
          <w:sz w:val="21"/>
        </w:rPr>
        <w:t xml:space="preserve">Hierarchical coherence: </w:t>
      </w:r>
      <w:r>
        <w:rPr>
          <w:rFonts w:ascii="Calibri" w:hAnsi="Calibri"/>
          <w:b w:val="0"/>
          <w:i w:val="0"/>
          <w:sz w:val="21"/>
        </w:rPr>
        <w:t>MinT reconciliation on total → market ensures bottom-up market forecasts sum exactly to top-level — a production necessity.</w:t>
      </w:r>
    </w:p>
    <w:p>
      <w:pPr>
        <w:pStyle w:val="ListBullet"/>
        <w:spacing w:after="40"/>
        <w:ind w:left="360"/>
      </w:pPr>
      <w:r>
        <w:rPr>
          <w:rFonts w:ascii="Calibri" w:hAnsi="Calibri"/>
          <w:b/>
          <w:i w:val="0"/>
          <w:color w:val="2E75B6"/>
          <w:sz w:val="21"/>
        </w:rPr>
        <w:t xml:space="preserve">Optimal ensemble: </w:t>
      </w:r>
      <w:r>
        <w:rPr>
          <w:rFonts w:ascii="Calibri" w:hAnsi="Calibri"/>
          <w:b w:val="0"/>
          <w:i w:val="0"/>
          <w:sz w:val="21"/>
        </w:rPr>
        <w:t>Granger-Ramanathan covariance-optimal combining with regularized matrix inverse — eliminates naive equal-weight averaging that ignores model correlation.</w:t>
      </w:r>
    </w:p>
    <w:p>
      <w:pPr>
        <w:pStyle w:val="ListBullet"/>
        <w:spacing w:after="40"/>
        <w:ind w:left="360"/>
      </w:pPr>
      <w:r>
        <w:rPr>
          <w:rFonts w:ascii="Calibri" w:hAnsi="Calibri"/>
          <w:b/>
          <w:i w:val="0"/>
          <w:color w:val="2E75B6"/>
          <w:sz w:val="21"/>
        </w:rPr>
        <w:t xml:space="preserve">Leakage control: </w:t>
      </w:r>
      <w:r>
        <w:rPr>
          <w:rFonts w:ascii="Calibri" w:hAnsi="Calibri"/>
          <w:b w:val="0"/>
          <w:i w:val="0"/>
          <w:sz w:val="21"/>
        </w:rPr>
        <w:t>LEAKY_OR_UNUSABLE_COLS is documented with rationale. All external features use safe lag offsets (4w+).</w:t>
      </w:r>
    </w:p>
    <w:p>
      <w:pPr>
        <w:pStyle w:val="ListBullet"/>
        <w:spacing w:after="40"/>
        <w:ind w:left="360"/>
      </w:pPr>
      <w:r>
        <w:rPr>
          <w:rFonts w:ascii="Calibri" w:hAnsi="Calibri"/>
          <w:b/>
          <w:i w:val="0"/>
          <w:color w:val="2E75B6"/>
          <w:sz w:val="21"/>
        </w:rPr>
        <w:t xml:space="preserve">Auto-regressive rollout: </w:t>
      </w:r>
      <w:r>
        <w:rPr>
          <w:rFonts w:ascii="Calibri" w:hAnsi="Calibri"/>
          <w:b w:val="0"/>
          <w:i w:val="0"/>
          <w:sz w:val="21"/>
        </w:rPr>
        <w:t>predict_future_quantiles() updates history_y after each forecast step so lag features are computed correctly for multi-step-ahead horizons.</w:t>
      </w:r>
    </w:p>
    <w:p>
      <w:pPr>
        <w:pStyle w:val="ListBullet"/>
        <w:spacing w:after="40"/>
        <w:ind w:left="360"/>
      </w:pPr>
      <w:r>
        <w:rPr>
          <w:rFonts w:ascii="Calibri" w:hAnsi="Calibri"/>
          <w:b/>
          <w:i w:val="0"/>
          <w:color w:val="2E75B6"/>
          <w:sz w:val="21"/>
        </w:rPr>
        <w:t xml:space="preserve">Phase-stable Fourier (NEW V9): </w:t>
      </w:r>
      <w:r>
        <w:rPr>
          <w:rFonts w:ascii="Calibri" w:hAnsi="Calibri"/>
          <w:b w:val="0"/>
          <w:i w:val="0"/>
          <w:sz w:val="21"/>
        </w:rPr>
        <w:t>Calendar-indexed Fourier terms guarantee identical seasonal phase across CV folds — eliminates the subtle train/test misalignment present in elapsed-time indexing.</w:t>
      </w:r>
    </w:p>
    <w:p>
      <w:pPr>
        <w:pStyle w:val="ListBullet"/>
        <w:spacing w:after="40"/>
        <w:ind w:left="360"/>
      </w:pPr>
      <w:r>
        <w:rPr>
          <w:rFonts w:ascii="Calibri" w:hAnsi="Calibri"/>
          <w:b/>
          <w:i w:val="0"/>
          <w:color w:val="2E75B6"/>
          <w:sz w:val="21"/>
        </w:rPr>
        <w:t xml:space="preserve">Marketing cliff fix: </w:t>
      </w:r>
      <w:r>
        <w:rPr>
          <w:rFonts w:ascii="Calibri" w:hAnsi="Calibri"/>
          <w:b w:val="0"/>
          <w:i w:val="0"/>
          <w:sz w:val="21"/>
        </w:rPr>
        <w:t>ffill().fillna(0) per slice_id eliminates the feature cliff bug from V7 where marketing columns were 0 for all future production weeks.</w:t>
      </w:r>
    </w:p>
    <w:p>
      <w:pPr>
        <w:spacing w:before="240" w:after="80"/>
      </w:pPr>
      <w:r>
        <w:rPr>
          <w:rFonts w:ascii="Calibri" w:hAnsi="Calibri"/>
          <w:b/>
          <w:i w:val="0"/>
          <w:color w:val="2E75B6"/>
          <w:sz w:val="24"/>
        </w:rPr>
        <w:t>1.3 Remaining Architecture Gaps (P2 Only)</w:t>
      </w:r>
    </w:p>
    <w:p>
      <w:pPr>
        <w:pStyle w:val="ListBullet"/>
        <w:spacing w:after="40"/>
        <w:ind w:left="360"/>
      </w:pPr>
      <w:r>
        <w:rPr>
          <w:rFonts w:ascii="Calibri" w:hAnsi="Calibri"/>
          <w:b/>
          <w:i w:val="0"/>
          <w:color w:val="2E75B6"/>
          <w:sz w:val="21"/>
        </w:rPr>
        <w:t xml:space="preserve">Databricks Job: </w:t>
      </w:r>
      <w:r>
        <w:rPr>
          <w:rFonts w:ascii="Calibri" w:hAnsi="Calibri"/>
          <w:b w:val="0"/>
          <w:i w:val="0"/>
          <w:sz w:val="21"/>
        </w:rPr>
        <w:t>No Cluster Policy / Job definition. The notebook cannot be triggered automatically. Add a workflow YAML or use Databricks Jobs UI to schedule weekly runs post-close.</w:t>
      </w:r>
    </w:p>
    <w:p>
      <w:pPr>
        <w:pStyle w:val="ListBullet"/>
        <w:spacing w:after="40"/>
        <w:ind w:left="360"/>
      </w:pPr>
      <w:r>
        <w:rPr>
          <w:rFonts w:ascii="Calibri" w:hAnsi="Calibri"/>
          <w:b/>
          <w:i w:val="0"/>
          <w:color w:val="2E75B6"/>
          <w:sz w:val="21"/>
        </w:rPr>
        <w:t xml:space="preserve">MLflow Model Registry: </w:t>
      </w:r>
      <w:r>
        <w:rPr>
          <w:rFonts w:ascii="Calibri" w:hAnsi="Calibri"/>
          <w:b w:val="0"/>
          <w:i w:val="0"/>
          <w:sz w:val="21"/>
        </w:rPr>
        <w:t>Individual model runs are logged but not registered. Adding mlflow.register_model() enables Champion/Challenger governance and rollback.</w:t>
      </w:r>
    </w:p>
    <w:p>
      <w:pPr>
        <w:pStyle w:val="ListBullet"/>
        <w:spacing w:after="40"/>
        <w:ind w:left="360"/>
      </w:pPr>
      <w:r>
        <w:rPr>
          <w:rFonts w:ascii="Calibri" w:hAnsi="Calibri"/>
          <w:b/>
          <w:i w:val="0"/>
          <w:color w:val="2E75B6"/>
          <w:sz w:val="21"/>
        </w:rPr>
        <w:t xml:space="preserve">notebook_version = 'V8': </w:t>
      </w:r>
      <w:r>
        <w:rPr>
          <w:rFonts w:ascii="Calibri" w:hAnsi="Calibri"/>
          <w:b w:val="0"/>
          <w:i w:val="0"/>
          <w:sz w:val="21"/>
        </w:rPr>
        <w:t>Cell 16 monitoring step still tags runs with 'V8'. Should be 'V9'. Minor but creates confusion in the monitoring table.</w:t>
      </w:r>
    </w:p>
    <w:p>
      <w:pPr>
        <w:pStyle w:val="ListBullet"/>
        <w:spacing w:after="40"/>
        <w:ind w:left="360"/>
      </w:pPr>
      <w:r>
        <w:rPr>
          <w:rFonts w:ascii="Calibri" w:hAnsi="Calibri"/>
          <w:b/>
          <w:i w:val="0"/>
          <w:color w:val="2E75B6"/>
          <w:sz w:val="21"/>
        </w:rPr>
        <w:t xml:space="preserve">No feature drift monitoring: </w:t>
      </w:r>
      <w:r>
        <w:rPr>
          <w:rFonts w:ascii="Calibri" w:hAnsi="Calibri"/>
          <w:b w:val="0"/>
          <w:i w:val="0"/>
          <w:sz w:val="21"/>
        </w:rPr>
        <w:t>Monitoring baseline captures WAPE thresholds but not feature distribution drift (e.g., headcount spike, marketing column going zero). Add PSI/KL checks.</w:t>
      </w:r>
    </w:p>
    <w:p>
      <w:r>
        <w:br w:type="page"/>
      </w:r>
    </w:p>
    <w:p>
      <w:pPr>
        <w:spacing w:before="360" w:after="120"/>
        <w:pBdr>
          <w:bottom w:val="single" w:sz="6" w:space="1" w:color="1F497D"/>
        </w:pBdr>
      </w:pPr>
      <w:r>
        <w:rPr>
          <w:rFonts w:ascii="Calibri" w:hAnsi="Calibri"/>
          <w:b/>
          <w:i w:val="0"/>
          <w:color w:val="1F497D"/>
          <w:sz w:val="30"/>
        </w:rPr>
        <w:t>Section 2: Model-by-Model Review</w:t>
      </w:r>
    </w:p>
    <w:p>
      <w:pPr>
        <w:spacing w:before="240" w:after="80"/>
      </w:pPr>
      <w:r>
        <w:rPr>
          <w:rFonts w:ascii="Calibri" w:hAnsi="Calibri"/>
          <w:b/>
          <w:i w:val="0"/>
          <w:color w:val="2E75B6"/>
          <w:sz w:val="24"/>
        </w:rPr>
        <w:t>2.1 MSTL v2 — Multi-Seasonal Trend Decomposition</w:t>
      </w:r>
    </w:p>
    <w:p>
      <w:pPr>
        <w:spacing w:after="80"/>
      </w:pPr>
      <w:r>
        <w:rPr>
          <w:rFonts w:ascii="Calibri" w:hAnsi="Calibri"/>
          <w:b w:val="0"/>
          <w:i w:val="0"/>
          <w:sz w:val="21"/>
        </w:rPr>
        <w:t>Configuration: MSTL(season_length=[4, 13, 52], trend_forecaster=AutoETS(model='ZZN'))</w:t>
      </w:r>
    </w:p>
    <w:p>
      <w:pPr>
        <w:pStyle w:val="ListBullet"/>
        <w:spacing w:after="40"/>
        <w:ind w:left="360"/>
      </w:pPr>
      <w:r>
        <w:rPr>
          <w:rFonts w:ascii="Calibri" w:hAnsi="Calibri"/>
          <w:b/>
          <w:i w:val="0"/>
          <w:color w:val="2E75B6"/>
          <w:sz w:val="21"/>
        </w:rPr>
        <w:t xml:space="preserve">What it does: </w:t>
      </w:r>
      <w:r>
        <w:rPr>
          <w:rFonts w:ascii="Calibri" w:hAnsi="Calibri"/>
          <w:b w:val="0"/>
          <w:i w:val="0"/>
          <w:sz w:val="21"/>
        </w:rPr>
        <w:t>Decomposes the weekly ARR series into 4-week (monthly), 13-week (quarterly), and 52-week (annual) seasonal components using LOESS smoothing, then extrapolates with an ETS trend model.</w:t>
      </w:r>
    </w:p>
    <w:p>
      <w:pPr>
        <w:pStyle w:val="ListBullet"/>
        <w:spacing w:after="40"/>
        <w:ind w:left="360"/>
      </w:pPr>
      <w:r>
        <w:rPr>
          <w:rFonts w:ascii="Calibri" w:hAnsi="Calibri"/>
          <w:b/>
          <w:i w:val="0"/>
          <w:color w:val="2E75B6"/>
          <w:sz w:val="21"/>
        </w:rPr>
        <w:t xml:space="preserve">Why appropriate: </w:t>
      </w:r>
      <w:r>
        <w:rPr>
          <w:rFonts w:ascii="Calibri" w:hAnsi="Calibri"/>
          <w:b w:val="0"/>
          <w:i w:val="0"/>
          <w:sz w:val="21"/>
        </w:rPr>
        <w:t>UCC ARR exhibits clear quarterly surge patterns (Q-end ramp) and annual seasonality. MSTL captures all three simultaneously without parameter tuning.</w:t>
      </w:r>
    </w:p>
    <w:p>
      <w:pPr>
        <w:pStyle w:val="ListBullet"/>
        <w:spacing w:after="40"/>
        <w:ind w:left="360"/>
      </w:pPr>
      <w:r>
        <w:rPr>
          <w:rFonts w:ascii="Calibri" w:hAnsi="Calibri"/>
          <w:b/>
          <w:i w:val="0"/>
          <w:color w:val="2E75B6"/>
          <w:sz w:val="21"/>
        </w:rPr>
        <w:t xml:space="preserve">Strengths: </w:t>
      </w:r>
      <w:r>
        <w:rPr>
          <w:rFonts w:ascii="Calibri" w:hAnsi="Calibri"/>
          <w:b w:val="0"/>
          <w:i w:val="0"/>
          <w:sz w:val="21"/>
        </w:rPr>
        <w:t>Fast, non-parametric, interpretable. The ZZN AutoETS trend forecaster adapts to additive or multiplicative trend automatically. No feature engineering required.</w:t>
      </w:r>
    </w:p>
    <w:p>
      <w:pPr>
        <w:pStyle w:val="ListBullet"/>
        <w:spacing w:after="40"/>
        <w:ind w:left="360"/>
      </w:pPr>
      <w:r>
        <w:rPr>
          <w:rFonts w:ascii="Calibri" w:hAnsi="Calibri"/>
          <w:b/>
          <w:i w:val="0"/>
          <w:color w:val="2E75B6"/>
          <w:sz w:val="21"/>
        </w:rPr>
        <w:t xml:space="preserve">Limitations: </w:t>
      </w:r>
      <w:r>
        <w:rPr>
          <w:rFonts w:ascii="Calibri" w:hAnsi="Calibri"/>
          <w:b w:val="0"/>
          <w:i w:val="0"/>
          <w:sz w:val="21"/>
        </w:rPr>
        <w:t>Cannot incorporate external regressors (headcount, pipeline). Purely extrapolative — ignores business drivers. Best used as a strong statistical baseline, not standalone.</w:t>
      </w:r>
    </w:p>
    <w:p>
      <w:pPr>
        <w:pStyle w:val="ListBullet"/>
        <w:spacing w:after="40"/>
        <w:ind w:left="360"/>
      </w:pPr>
      <w:r>
        <w:rPr>
          <w:rFonts w:ascii="Calibri" w:hAnsi="Calibri"/>
          <w:b/>
          <w:i w:val="0"/>
          <w:color w:val="2E75B6"/>
          <w:sz w:val="21"/>
        </w:rPr>
        <w:t xml:space="preserve">Verdict: </w:t>
      </w:r>
      <w:r>
        <w:rPr>
          <w:rFonts w:ascii="Calibri" w:hAnsi="Calibri"/>
          <w:b w:val="0"/>
          <w:i w:val="0"/>
          <w:sz w:val="21"/>
        </w:rPr>
        <w:t>KEEP. Excellent fast baseline. WAPE typically 14–18% in CV. Essential as ensemble component.</w:t>
      </w:r>
    </w:p>
    <w:p>
      <w:pPr>
        <w:spacing w:before="240" w:after="80"/>
      </w:pPr>
      <w:r>
        <w:rPr>
          <w:rFonts w:ascii="Calibri" w:hAnsi="Calibri"/>
          <w:b/>
          <w:i w:val="0"/>
          <w:color w:val="2E75B6"/>
          <w:sz w:val="24"/>
        </w:rPr>
        <w:t>2.2 ETS — Exponential Smoothing</w:t>
      </w:r>
    </w:p>
    <w:p>
      <w:pPr>
        <w:spacing w:after="80"/>
      </w:pPr>
      <w:r>
        <w:rPr>
          <w:rFonts w:ascii="Calibri" w:hAnsi="Calibri"/>
          <w:b w:val="0"/>
          <w:i w:val="0"/>
          <w:sz w:val="21"/>
        </w:rPr>
        <w:t>Configuration: ExponentialSmoothing(trend='add', damped_trend=True, seasonal='mul', seasonal_periods=52 if &gt;=104wks else 13)</w:t>
      </w:r>
    </w:p>
    <w:p>
      <w:pPr>
        <w:pStyle w:val="ListBullet"/>
        <w:spacing w:after="40"/>
        <w:ind w:left="360"/>
      </w:pPr>
      <w:r>
        <w:rPr>
          <w:rFonts w:ascii="Calibri" w:hAnsi="Calibri"/>
          <w:b/>
          <w:i w:val="0"/>
          <w:color w:val="2E75B6"/>
          <w:sz w:val="21"/>
        </w:rPr>
        <w:t xml:space="preserve">What it does: </w:t>
      </w:r>
      <w:r>
        <w:rPr>
          <w:rFonts w:ascii="Calibri" w:hAnsi="Calibri"/>
          <w:b w:val="0"/>
          <w:i w:val="0"/>
          <w:sz w:val="21"/>
        </w:rPr>
        <w:t>Damped additive trend with multiplicative 52-week seasonality. Uses last 104 weeks of data to prevent stale history contaminating the seasonal estimate.</w:t>
      </w:r>
    </w:p>
    <w:p>
      <w:pPr>
        <w:pStyle w:val="ListBullet"/>
        <w:spacing w:after="40"/>
        <w:ind w:left="360"/>
      </w:pPr>
      <w:r>
        <w:rPr>
          <w:rFonts w:ascii="Calibri" w:hAnsi="Calibri"/>
          <w:b/>
          <w:i w:val="0"/>
          <w:color w:val="2E75B6"/>
          <w:sz w:val="21"/>
        </w:rPr>
        <w:t xml:space="preserve">Why appropriate: </w:t>
      </w:r>
      <w:r>
        <w:rPr>
          <w:rFonts w:ascii="Calibri" w:hAnsi="Calibri"/>
          <w:b w:val="0"/>
          <w:i w:val="0"/>
          <w:sz w:val="21"/>
        </w:rPr>
        <w:t>Multiplicative seasonal mode is correct for ARR which has proportional quarter-end surges (the surge is ~20% of trend, not a fixed dollar amount). Damped trend is appropriate for revenue which mean-reverts to plan rather than trending indefinitely.</w:t>
      </w:r>
    </w:p>
    <w:p>
      <w:pPr>
        <w:pStyle w:val="ListBullet"/>
        <w:spacing w:after="40"/>
        <w:ind w:left="360"/>
      </w:pPr>
      <w:r>
        <w:rPr>
          <w:rFonts w:ascii="Calibri" w:hAnsi="Calibri"/>
          <w:b/>
          <w:i w:val="0"/>
          <w:color w:val="2E75B6"/>
          <w:sz w:val="21"/>
        </w:rPr>
        <w:t xml:space="preserve">V8/V9 correctness: </w:t>
      </w:r>
      <w:r>
        <w:rPr>
          <w:rFonts w:ascii="Calibri" w:hAnsi="Calibri"/>
          <w:b w:val="0"/>
          <w:i w:val="0"/>
          <w:sz w:val="21"/>
        </w:rPr>
        <w:t>V5 had additive seasonal — a known bug. V8 fixed to multiplicative. V9 carries this fix forward correctly.</w:t>
      </w:r>
    </w:p>
    <w:p>
      <w:pPr>
        <w:pStyle w:val="ListBullet"/>
        <w:spacing w:after="40"/>
        <w:ind w:left="360"/>
      </w:pPr>
      <w:r>
        <w:rPr>
          <w:rFonts w:ascii="Calibri" w:hAnsi="Calibri"/>
          <w:b/>
          <w:i w:val="0"/>
          <w:color w:val="2E75B6"/>
          <w:sz w:val="21"/>
        </w:rPr>
        <w:t xml:space="preserve">Strengths: </w:t>
      </w:r>
      <w:r>
        <w:rPr>
          <w:rFonts w:ascii="Calibri" w:hAnsi="Calibri"/>
          <w:b w:val="0"/>
          <w:i w:val="0"/>
          <w:sz w:val="21"/>
        </w:rPr>
        <w:t>State space model — provides prediction intervals natively. Fast, robust, interpretable. Well-suited for series with &lt;3 years of history.</w:t>
      </w:r>
    </w:p>
    <w:p>
      <w:pPr>
        <w:pStyle w:val="ListBullet"/>
        <w:spacing w:after="40"/>
        <w:ind w:left="360"/>
      </w:pPr>
      <w:r>
        <w:rPr>
          <w:rFonts w:ascii="Calibri" w:hAnsi="Calibri"/>
          <w:b/>
          <w:i w:val="0"/>
          <w:color w:val="2E75B6"/>
          <w:sz w:val="21"/>
        </w:rPr>
        <w:t xml:space="preserve">Limitations: </w:t>
      </w:r>
      <w:r>
        <w:rPr>
          <w:rFonts w:ascii="Calibri" w:hAnsi="Calibri"/>
          <w:b w:val="0"/>
          <w:i w:val="0"/>
          <w:sz w:val="21"/>
        </w:rPr>
        <w:t>No external regressors. Cannot model structural breaks or market-level heterogeneity.</w:t>
      </w:r>
    </w:p>
    <w:p>
      <w:pPr>
        <w:pStyle w:val="ListBullet"/>
        <w:spacing w:after="40"/>
        <w:ind w:left="360"/>
      </w:pPr>
      <w:r>
        <w:rPr>
          <w:rFonts w:ascii="Calibri" w:hAnsi="Calibri"/>
          <w:b/>
          <w:i w:val="0"/>
          <w:color w:val="2E75B6"/>
          <w:sz w:val="21"/>
        </w:rPr>
        <w:t xml:space="preserve">Verdict: </w:t>
      </w:r>
      <w:r>
        <w:rPr>
          <w:rFonts w:ascii="Calibri" w:hAnsi="Calibri"/>
          <w:b w:val="0"/>
          <w:i w:val="0"/>
          <w:sz w:val="21"/>
        </w:rPr>
        <w:t>KEEP. Core ensemble member. Typically 15–20% WAPE.</w:t>
      </w:r>
    </w:p>
    <w:p>
      <w:pPr>
        <w:spacing w:before="240" w:after="80"/>
      </w:pPr>
      <w:r>
        <w:rPr>
          <w:rFonts w:ascii="Calibri" w:hAnsi="Calibri"/>
          <w:b/>
          <w:i w:val="0"/>
          <w:color w:val="2E75B6"/>
          <w:sz w:val="24"/>
        </w:rPr>
        <w:t>2.3 Prophet + WoQ Seasonal Profile</w:t>
      </w:r>
    </w:p>
    <w:p>
      <w:pPr>
        <w:spacing w:after="80"/>
      </w:pPr>
      <w:r>
        <w:rPr>
          <w:rFonts w:ascii="Calibri" w:hAnsi="Calibri"/>
          <w:b w:val="0"/>
          <w:i w:val="0"/>
          <w:sz w:val="21"/>
        </w:rPr>
        <w:t>Configuration: Prophet(changepoint_prior_scale=0.08, changepoint_range=0.85, n_changepoints=min(8, N//20), seasonality_mode='additive') with empirical week-of-quarter multiplier overlay.</w:t>
      </w:r>
    </w:p>
    <w:p>
      <w:pPr>
        <w:pStyle w:val="ListBullet"/>
        <w:spacing w:after="40"/>
        <w:ind w:left="360"/>
      </w:pPr>
      <w:r>
        <w:rPr>
          <w:rFonts w:ascii="Calibri" w:hAnsi="Calibri"/>
          <w:b/>
          <w:i w:val="0"/>
          <w:color w:val="2E75B6"/>
          <w:sz w:val="21"/>
        </w:rPr>
        <w:t xml:space="preserve">What it does: </w:t>
      </w:r>
      <w:r>
        <w:rPr>
          <w:rFonts w:ascii="Calibri" w:hAnsi="Calibri"/>
          <w:b w:val="0"/>
          <w:i w:val="0"/>
          <w:sz w:val="21"/>
        </w:rPr>
        <w:t>Fits a Bayesian structural trend model (trend + changepoints) then multiplies the raw yhat by an empirical week-of-quarter seasonal factor derived from recent training history.</w:t>
      </w:r>
    </w:p>
    <w:p>
      <w:pPr>
        <w:pStyle w:val="ListBullet"/>
        <w:spacing w:after="40"/>
        <w:ind w:left="360"/>
      </w:pPr>
      <w:r>
        <w:rPr>
          <w:rFonts w:ascii="Calibri" w:hAnsi="Calibri"/>
          <w:b/>
          <w:i w:val="0"/>
          <w:color w:val="2E75B6"/>
          <w:sz w:val="21"/>
        </w:rPr>
        <w:t xml:space="preserve">Design rationale: </w:t>
      </w:r>
      <w:r>
        <w:rPr>
          <w:rFonts w:ascii="Calibri" w:hAnsi="Calibri"/>
          <w:b w:val="0"/>
          <w:i w:val="0"/>
          <w:sz w:val="21"/>
        </w:rPr>
        <w:t>Prophet's built-in Fourier seasonality is problematic for 13-week quarter-end surge patterns — it smooths them excessively. The WoQ overlay preserves the exact business cadence while keeping Prophet conservative on trend.</w:t>
      </w:r>
    </w:p>
    <w:p>
      <w:pPr>
        <w:pStyle w:val="ListBullet"/>
        <w:spacing w:after="40"/>
        <w:ind w:left="360"/>
      </w:pPr>
      <w:r>
        <w:rPr>
          <w:rFonts w:ascii="Calibri" w:hAnsi="Calibri"/>
          <w:b/>
          <w:i w:val="0"/>
          <w:color w:val="2E75B6"/>
          <w:sz w:val="21"/>
        </w:rPr>
        <w:t xml:space="preserve">V9 correctness: </w:t>
      </w:r>
      <w:r>
        <w:rPr>
          <w:rFonts w:ascii="Calibri" w:hAnsi="Calibri"/>
          <w:b w:val="0"/>
          <w:i w:val="0"/>
          <w:sz w:val="21"/>
        </w:rPr>
        <w:t>The WoQ profile is computed inside run_walkforward_cv from training-only data (compute_woq_seasonal_profile), so there is zero leakage from future periods into the seasonal factor.</w:t>
      </w:r>
    </w:p>
    <w:p>
      <w:pPr>
        <w:pStyle w:val="ListBullet"/>
        <w:spacing w:after="40"/>
        <w:ind w:left="360"/>
      </w:pPr>
      <w:r>
        <w:rPr>
          <w:rFonts w:ascii="Calibri" w:hAnsi="Calibri"/>
          <w:b/>
          <w:i w:val="0"/>
          <w:color w:val="2E75B6"/>
          <w:sz w:val="21"/>
        </w:rPr>
        <w:t xml:space="preserve">Strengths: </w:t>
      </w:r>
      <w:r>
        <w:rPr>
          <w:rFonts w:ascii="Calibri" w:hAnsi="Calibri"/>
          <w:b w:val="0"/>
          <w:i w:val="0"/>
          <w:sz w:val="21"/>
        </w:rPr>
        <w:t>Handles trend changepoints gracefully (useful if UCC had a pricing event). Robust to missing weeks. Interpretable components.</w:t>
      </w:r>
    </w:p>
    <w:p>
      <w:pPr>
        <w:pStyle w:val="ListBullet"/>
        <w:spacing w:after="40"/>
        <w:ind w:left="360"/>
      </w:pPr>
      <w:r>
        <w:rPr>
          <w:rFonts w:ascii="Calibri" w:hAnsi="Calibri"/>
          <w:b/>
          <w:i w:val="0"/>
          <w:color w:val="2E75B6"/>
          <w:sz w:val="21"/>
        </w:rPr>
        <w:t xml:space="preserve">Limitations: </w:t>
      </w:r>
      <w:r>
        <w:rPr>
          <w:rFonts w:ascii="Calibri" w:hAnsi="Calibri"/>
          <w:b w:val="0"/>
          <w:i w:val="0"/>
          <w:sz w:val="21"/>
        </w:rPr>
        <w:t>Trend is purely auto-regressive — no external regressors. Changepoint prior 0.08 is moderately flexible; could overfit on short history.</w:t>
      </w:r>
    </w:p>
    <w:p>
      <w:pPr>
        <w:pStyle w:val="ListBullet"/>
        <w:spacing w:after="40"/>
        <w:ind w:left="360"/>
      </w:pPr>
      <w:r>
        <w:rPr>
          <w:rFonts w:ascii="Calibri" w:hAnsi="Calibri"/>
          <w:b/>
          <w:i w:val="0"/>
          <w:color w:val="2E75B6"/>
          <w:sz w:val="21"/>
        </w:rPr>
        <w:t xml:space="preserve">Verdict: </w:t>
      </w:r>
      <w:r>
        <w:rPr>
          <w:rFonts w:ascii="Calibri" w:hAnsi="Calibri"/>
          <w:b w:val="0"/>
          <w:i w:val="0"/>
          <w:sz w:val="21"/>
        </w:rPr>
        <w:t>KEEP. Adds trend change sensitivity that ETS/MSTL lack. Ensemble diversity contributor.</w:t>
      </w:r>
    </w:p>
    <w:p>
      <w:pPr>
        <w:spacing w:before="240" w:after="80"/>
      </w:pPr>
      <w:r>
        <w:rPr>
          <w:rFonts w:ascii="Calibri" w:hAnsi="Calibri"/>
          <w:b/>
          <w:i w:val="0"/>
          <w:color w:val="2E75B6"/>
          <w:sz w:val="24"/>
        </w:rPr>
        <w:t>2.4 DHR-ARIMA — Dynamic Harmonic Regression with ARIMA Errors</w:t>
      </w:r>
    </w:p>
    <w:p>
      <w:pPr>
        <w:spacing w:after="80"/>
      </w:pPr>
      <w:r>
        <w:rPr>
          <w:rFonts w:ascii="Calibri" w:hAnsi="Calibri"/>
          <w:b w:val="0"/>
          <w:i w:val="0"/>
          <w:sz w:val="21"/>
        </w:rPr>
        <w:t>Configuration: AutoARIMA per market with 6 exogenous regressors + calendar-based Fourier terms (q13: 2 harmonics, y52: 2 harmonics).</w:t>
      </w:r>
    </w:p>
    <w:p>
      <w:pPr>
        <w:spacing w:before="160" w:after="40"/>
      </w:pPr>
      <w:r>
        <w:rPr>
          <w:rFonts w:ascii="Calibri" w:hAnsi="Calibri"/>
          <w:b/>
          <w:i/>
          <w:color w:val="000000"/>
          <w:sz w:val="22"/>
        </w:rPr>
        <w:t>V9 Key Change: Phase-Stable Fourier Terms</w:t>
      </w:r>
    </w:p>
    <w:p>
      <w:pPr>
        <w:spacing w:after="80"/>
        <w:ind w:left="360"/>
      </w:pPr>
      <w:r>
        <w:rPr>
          <w:rFonts w:ascii="Calibri" w:hAnsi="Calibri"/>
          <w:b w:val="0"/>
          <w:i w:val="0"/>
          <w:sz w:val="21"/>
        </w:rPr>
        <w:t>V8 computed Fourier terms using an elapsed-week index starting from the training window, meaning each CV fold had a different phase offset. V9 switches to calendar-anchored indices — week_of_qtr (1–13) for q13 and ISO week_of_year (1–52) for y52. This eliminates phase drift and makes the seasonal basis vectors identical across train folds and production — a critical correctness fix.</w:t>
      </w:r>
    </w:p>
    <w:p>
      <w:pPr>
        <w:pStyle w:val="ListBullet"/>
        <w:spacing w:after="40"/>
        <w:ind w:left="360"/>
      </w:pPr>
      <w:r>
        <w:rPr>
          <w:rFonts w:ascii="Calibri" w:hAnsi="Calibri"/>
          <w:b/>
          <w:i w:val="0"/>
          <w:color w:val="2E75B6"/>
          <w:sz w:val="21"/>
        </w:rPr>
        <w:t xml:space="preserve">DHR_XREG_COLS: </w:t>
      </w:r>
      <w:r>
        <w:rPr>
          <w:rFonts w:ascii="Calibri" w:hAnsi="Calibri"/>
          <w:b w:val="0"/>
          <w:i w:val="0"/>
          <w:sz w:val="21"/>
        </w:rPr>
        <w:t>q13/y52 Fourier pairs + created_lag4, headcount_lag4, win_rate_by_woq, pipeline_velocity_lag4, quarter_end_flag, us_holiday_binary</w:t>
      </w:r>
    </w:p>
    <w:p>
      <w:pPr>
        <w:pStyle w:val="ListBullet"/>
        <w:spacing w:after="40"/>
        <w:ind w:left="360"/>
      </w:pPr>
      <w:r>
        <w:rPr>
          <w:rFonts w:ascii="Calibri" w:hAnsi="Calibri"/>
          <w:b/>
          <w:i w:val="0"/>
          <w:color w:val="2E75B6"/>
          <w:sz w:val="21"/>
        </w:rPr>
        <w:t xml:space="preserve">Per-market modeling: </w:t>
      </w:r>
      <w:r>
        <w:rPr>
          <w:rFonts w:ascii="Calibri" w:hAnsi="Calibri"/>
          <w:b w:val="0"/>
          <w:i w:val="0"/>
          <w:sz w:val="21"/>
        </w:rPr>
        <w:t>AutoARIMA fits independently for each of APAC/EMEA/LATAM/NA/Unknown — captures market heterogeneity in trend and autocorrelation structure.</w:t>
      </w:r>
    </w:p>
    <w:p>
      <w:pPr>
        <w:pStyle w:val="ListBullet"/>
        <w:spacing w:after="40"/>
        <w:ind w:left="360"/>
      </w:pPr>
      <w:r>
        <w:rPr>
          <w:rFonts w:ascii="Calibri" w:hAnsi="Calibri"/>
          <w:b/>
          <w:i w:val="0"/>
          <w:color w:val="2E75B6"/>
          <w:sz w:val="21"/>
        </w:rPr>
        <w:t xml:space="preserve">win_rate_by_woq (added V8): </w:t>
      </w:r>
      <w:r>
        <w:rPr>
          <w:rFonts w:ascii="Calibri" w:hAnsi="Calibri"/>
          <w:b w:val="0"/>
          <w:i w:val="0"/>
          <w:sz w:val="21"/>
        </w:rPr>
        <w:t>Historically observed win rate at each week-of-quarter position — strong leading indicator of close velocity.</w:t>
      </w:r>
    </w:p>
    <w:p>
      <w:pPr>
        <w:pStyle w:val="ListBullet"/>
        <w:spacing w:after="40"/>
        <w:ind w:left="360"/>
      </w:pPr>
      <w:r>
        <w:rPr>
          <w:rFonts w:ascii="Calibri" w:hAnsi="Calibri"/>
          <w:b/>
          <w:i w:val="0"/>
          <w:color w:val="2E75B6"/>
          <w:sz w:val="21"/>
        </w:rPr>
        <w:t xml:space="preserve">Strengths: </w:t>
      </w:r>
      <w:r>
        <w:rPr>
          <w:rFonts w:ascii="Calibri" w:hAnsi="Calibri"/>
          <w:b w:val="0"/>
          <w:i w:val="0"/>
          <w:sz w:val="21"/>
        </w:rPr>
        <w:t>Captures residual autocorrelation after removing seasonal/external effects. Most interpretable model for business stakeholders. AutoARIMA selects order data-adaptively.</w:t>
      </w:r>
    </w:p>
    <w:p>
      <w:pPr>
        <w:pStyle w:val="ListBullet"/>
        <w:spacing w:after="40"/>
        <w:ind w:left="360"/>
      </w:pPr>
      <w:r>
        <w:rPr>
          <w:rFonts w:ascii="Calibri" w:hAnsi="Calibri"/>
          <w:b/>
          <w:i w:val="0"/>
          <w:color w:val="2E75B6"/>
          <w:sz w:val="21"/>
        </w:rPr>
        <w:t xml:space="preserve">Limitations: </w:t>
      </w:r>
      <w:r>
        <w:rPr>
          <w:rFonts w:ascii="Calibri" w:hAnsi="Calibri"/>
          <w:b w:val="0"/>
          <w:i w:val="0"/>
          <w:sz w:val="21"/>
        </w:rPr>
        <w:t>AutoARIMA can be slow on short market-level series (e.g., LATAM with sparse data). No P10/P90 — ensemble CI comes from LGB.</w:t>
      </w:r>
    </w:p>
    <w:p>
      <w:pPr>
        <w:pStyle w:val="ListBullet"/>
        <w:spacing w:after="40"/>
        <w:ind w:left="360"/>
      </w:pPr>
      <w:r>
        <w:rPr>
          <w:rFonts w:ascii="Calibri" w:hAnsi="Calibri"/>
          <w:b/>
          <w:i w:val="0"/>
          <w:color w:val="2E75B6"/>
          <w:sz w:val="21"/>
        </w:rPr>
        <w:t xml:space="preserve">Verdict: </w:t>
      </w:r>
      <w:r>
        <w:rPr>
          <w:rFonts w:ascii="Calibri" w:hAnsi="Calibri"/>
          <w:b w:val="0"/>
          <w:i w:val="0"/>
          <w:sz w:val="21"/>
        </w:rPr>
        <w:t>KEEP. Unique in modeling per-market ARIMA residuals. Strong ensemble diversity contributor for EMEA and APAC where LGB has sparse training data.</w:t>
      </w:r>
    </w:p>
    <w:p>
      <w:pPr>
        <w:spacing w:before="240" w:after="80"/>
      </w:pPr>
      <w:r>
        <w:rPr>
          <w:rFonts w:ascii="Calibri" w:hAnsi="Calibri"/>
          <w:b/>
          <w:i w:val="0"/>
          <w:color w:val="2E75B6"/>
          <w:sz w:val="24"/>
        </w:rPr>
        <w:t>2.5 Global LightGBM Quantile — 36 Features</w:t>
      </w:r>
    </w:p>
    <w:p>
      <w:pPr>
        <w:spacing w:after="80"/>
      </w:pPr>
      <w:r>
        <w:rPr>
          <w:rFonts w:ascii="Calibri" w:hAnsi="Calibri"/>
          <w:b w:val="0"/>
          <w:i w:val="0"/>
          <w:sz w:val="21"/>
        </w:rPr>
        <w:t>Configuration: LGB quantile regression (P10/P50/P90), 36 features, global-by-market training, 1500 rounds with early stopping at 75, exponential sample weighting (2x recent vs oldest), SHAP explainability.</w:t>
      </w:r>
    </w:p>
    <w:p>
      <w:pPr>
        <w:spacing w:before="160" w:after="40"/>
      </w:pPr>
      <w:r>
        <w:rPr>
          <w:rFonts w:ascii="Calibri" w:hAnsi="Calibri"/>
          <w:b/>
          <w:i/>
          <w:color w:val="000000"/>
          <w:sz w:val="22"/>
        </w:rPr>
        <w:t>V9 Feature Set Expansion (36 Features)</w:t>
      </w:r>
    </w:p>
    <w:tbl>
      <w:tblPr>
        <w:tblStyle w:val="TableGrid"/>
        <w:tblW w:type="auto" w:w="0"/>
        <w:tblLook w:firstColumn="1" w:firstRow="1" w:lastColumn="0" w:lastRow="0" w:noHBand="0" w:noVBand="1" w:val="04A0"/>
      </w:tblPr>
      <w:tblGrid>
        <w:gridCol w:w="4536"/>
        <w:gridCol w:w="4536"/>
      </w:tblGrid>
      <w:tr>
        <w:tc>
          <w:tcPr>
            <w:tcW w:type="dxa" w:w="3600"/>
            <w:shd w:val="clear" w:color="auto" w:fill="1F497D"/>
          </w:tcPr>
          <w:p>
            <w:pPr>
              <w:jc w:val="center"/>
            </w:pPr>
            <w:r>
              <w:rPr>
                <w:rFonts w:ascii="Calibri" w:hAnsi="Calibri"/>
                <w:b/>
                <w:i w:val="0"/>
                <w:color w:val="FFFFFF"/>
                <w:sz w:val="20"/>
              </w:rPr>
              <w:t>New V9 Feature</w:t>
            </w:r>
          </w:p>
        </w:tc>
        <w:tc>
          <w:tcPr>
            <w:tcW w:type="dxa" w:w="6192"/>
            <w:shd w:val="clear" w:color="auto" w:fill="1F497D"/>
          </w:tcPr>
          <w:p>
            <w:pPr>
              <w:jc w:val="center"/>
            </w:pPr>
            <w:r>
              <w:rPr>
                <w:rFonts w:ascii="Calibri" w:hAnsi="Calibri"/>
                <w:b/>
                <w:i w:val="0"/>
                <w:color w:val="FFFFFF"/>
                <w:sz w:val="20"/>
              </w:rPr>
              <w:t>Signal Value</w:t>
            </w:r>
          </w:p>
        </w:tc>
      </w:tr>
      <w:tr>
        <w:tc>
          <w:tcPr>
            <w:tcW w:type="dxa" w:w="3600"/>
            <w:shd w:val="clear" w:color="auto" w:fill="F0F5FA"/>
          </w:tcPr>
          <w:p>
            <w:r>
              <w:rPr>
                <w:rFonts w:ascii="Calibri" w:hAnsi="Calibri"/>
                <w:b w:val="0"/>
                <w:i w:val="0"/>
                <w:sz w:val="20"/>
              </w:rPr>
              <w:t>mc_actuals_lag4</w:t>
            </w:r>
          </w:p>
        </w:tc>
        <w:tc>
          <w:tcPr>
            <w:tcW w:type="dxa" w:w="6192"/>
            <w:shd w:val="clear" w:color="auto" w:fill="F0F5FA"/>
          </w:tcPr>
          <w:p>
            <w:r>
              <w:rPr>
                <w:rFonts w:ascii="Calibri" w:hAnsi="Calibri"/>
                <w:b w:val="0"/>
                <w:i w:val="0"/>
                <w:sz w:val="20"/>
              </w:rPr>
              <w:t>Authoritative Magna Carta actuals lagged 4 weeks — most accurate view of true revenue history</w:t>
            </w:r>
          </w:p>
        </w:tc>
      </w:tr>
      <w:tr>
        <w:tc>
          <w:tcPr>
            <w:tcW w:type="dxa" w:w="3600"/>
            <w:shd w:val="clear" w:color="auto" w:fill="FFFFFF"/>
          </w:tcPr>
          <w:p>
            <w:r>
              <w:rPr>
                <w:rFonts w:ascii="Calibri" w:hAnsi="Calibri"/>
                <w:b w:val="0"/>
                <w:i w:val="0"/>
                <w:sz w:val="20"/>
              </w:rPr>
              <w:t>plan_gap_lag1</w:t>
            </w:r>
          </w:p>
        </w:tc>
        <w:tc>
          <w:tcPr>
            <w:tcW w:type="dxa" w:w="6192"/>
            <w:shd w:val="clear" w:color="auto" w:fill="FFFFFF"/>
          </w:tcPr>
          <w:p>
            <w:r>
              <w:rPr>
                <w:rFonts w:ascii="Calibri" w:hAnsi="Calibri"/>
                <w:b w:val="0"/>
                <w:i w:val="0"/>
                <w:sz w:val="20"/>
              </w:rPr>
              <w:t>(MC actuals - Miradore plan) lagged 1 week — captures attainment momentum and quota gap signal</w:t>
            </w:r>
          </w:p>
        </w:tc>
      </w:tr>
      <w:tr>
        <w:tc>
          <w:tcPr>
            <w:tcW w:type="dxa" w:w="3600"/>
            <w:shd w:val="clear" w:color="auto" w:fill="F0F5FA"/>
          </w:tcPr>
          <w:p>
            <w:r>
              <w:rPr>
                <w:rFonts w:ascii="Calibri" w:hAnsi="Calibri"/>
                <w:b w:val="0"/>
                <w:i w:val="0"/>
                <w:sz w:val="20"/>
              </w:rPr>
              <w:t>miradore_lag4</w:t>
            </w:r>
          </w:p>
        </w:tc>
        <w:tc>
          <w:tcPr>
            <w:tcW w:type="dxa" w:w="6192"/>
            <w:shd w:val="clear" w:color="auto" w:fill="F0F5FA"/>
          </w:tcPr>
          <w:p>
            <w:r>
              <w:rPr>
                <w:rFonts w:ascii="Calibri" w:hAnsi="Calibri"/>
                <w:b w:val="0"/>
                <w:i w:val="0"/>
                <w:sz w:val="20"/>
              </w:rPr>
              <w:t>Forward plan reference lagged 4 weeks — allows model to condition on quota trajectory</w:t>
            </w:r>
          </w:p>
        </w:tc>
      </w:tr>
      <w:tr>
        <w:tc>
          <w:tcPr>
            <w:tcW w:type="dxa" w:w="3600"/>
            <w:shd w:val="clear" w:color="auto" w:fill="FFFFFF"/>
          </w:tcPr>
          <w:p>
            <w:r>
              <w:rPr>
                <w:rFonts w:ascii="Calibri" w:hAnsi="Calibri"/>
                <w:b w:val="0"/>
                <w:i w:val="0"/>
                <w:sz w:val="20"/>
              </w:rPr>
              <w:t>mkt_opened_lag4</w:t>
            </w:r>
          </w:p>
        </w:tc>
        <w:tc>
          <w:tcPr>
            <w:tcW w:type="dxa" w:w="6192"/>
            <w:shd w:val="clear" w:color="auto" w:fill="FFFFFF"/>
          </w:tcPr>
          <w:p>
            <w:r>
              <w:rPr>
                <w:rFonts w:ascii="Calibri" w:hAnsi="Calibri"/>
                <w:b w:val="0"/>
                <w:i w:val="0"/>
                <w:sz w:val="20"/>
              </w:rPr>
              <w:t>Magna carta opened ARR lagged 4 weeks</w:t>
            </w:r>
          </w:p>
        </w:tc>
      </w:tr>
      <w:tr>
        <w:tc>
          <w:tcPr>
            <w:tcW w:type="dxa" w:w="3600"/>
            <w:shd w:val="clear" w:color="auto" w:fill="F0F5FA"/>
          </w:tcPr>
          <w:p>
            <w:r>
              <w:rPr>
                <w:rFonts w:ascii="Calibri" w:hAnsi="Calibri"/>
                <w:b w:val="0"/>
                <w:i w:val="0"/>
                <w:sz w:val="20"/>
              </w:rPr>
              <w:t>mkt_generated_lag4</w:t>
            </w:r>
          </w:p>
        </w:tc>
        <w:tc>
          <w:tcPr>
            <w:tcW w:type="dxa" w:w="6192"/>
            <w:shd w:val="clear" w:color="auto" w:fill="F0F5FA"/>
          </w:tcPr>
          <w:p>
            <w:r>
              <w:rPr>
                <w:rFonts w:ascii="Calibri" w:hAnsi="Calibri"/>
                <w:b w:val="0"/>
                <w:i w:val="0"/>
                <w:sz w:val="20"/>
              </w:rPr>
              <w:t>Marketing-generated pipeline lagged 4 weeks</w:t>
            </w:r>
          </w:p>
        </w:tc>
      </w:tr>
      <w:tr>
        <w:tc>
          <w:tcPr>
            <w:tcW w:type="dxa" w:w="3600"/>
            <w:shd w:val="clear" w:color="auto" w:fill="FFFFFF"/>
          </w:tcPr>
          <w:p>
            <w:r>
              <w:rPr>
                <w:rFonts w:ascii="Calibri" w:hAnsi="Calibri"/>
                <w:b w:val="0"/>
                <w:i w:val="0"/>
                <w:sz w:val="20"/>
              </w:rPr>
              <w:t>mkt_influenced_lag4</w:t>
            </w:r>
          </w:p>
        </w:tc>
        <w:tc>
          <w:tcPr>
            <w:tcW w:type="dxa" w:w="6192"/>
            <w:shd w:val="clear" w:color="auto" w:fill="FFFFFF"/>
          </w:tcPr>
          <w:p>
            <w:r>
              <w:rPr>
                <w:rFonts w:ascii="Calibri" w:hAnsi="Calibri"/>
                <w:b w:val="0"/>
                <w:i w:val="0"/>
                <w:sz w:val="20"/>
              </w:rPr>
              <w:t>Marketing-influenced pipeline lagged 4 weeks</w:t>
            </w:r>
          </w:p>
        </w:tc>
      </w:tr>
      <w:tr>
        <w:tc>
          <w:tcPr>
            <w:tcW w:type="dxa" w:w="3600"/>
            <w:shd w:val="clear" w:color="auto" w:fill="F0F5FA"/>
          </w:tcPr>
          <w:p>
            <w:r>
              <w:rPr>
                <w:rFonts w:ascii="Calibri" w:hAnsi="Calibri"/>
                <w:b w:val="0"/>
                <w:i w:val="0"/>
                <w:sz w:val="20"/>
              </w:rPr>
              <w:t>sales_rep_ramp_ratio</w:t>
            </w:r>
          </w:p>
        </w:tc>
        <w:tc>
          <w:tcPr>
            <w:tcW w:type="dxa" w:w="6192"/>
            <w:shd w:val="clear" w:color="auto" w:fill="F0F5FA"/>
          </w:tcPr>
          <w:p>
            <w:r>
              <w:rPr>
                <w:rFonts w:ascii="Calibri" w:hAnsi="Calibri"/>
                <w:b w:val="0"/>
                <w:i w:val="0"/>
                <w:sz w:val="20"/>
              </w:rPr>
              <w:t>Net headcount adds (26w) / base headcount — ramp productivity signal</w:t>
            </w:r>
          </w:p>
        </w:tc>
      </w:tr>
      <w:tr>
        <w:tc>
          <w:tcPr>
            <w:tcW w:type="dxa" w:w="3600"/>
            <w:shd w:val="clear" w:color="auto" w:fill="FFFFFF"/>
          </w:tcPr>
          <w:p>
            <w:r>
              <w:rPr>
                <w:rFonts w:ascii="Calibri" w:hAnsi="Calibri"/>
                <w:b w:val="0"/>
                <w:i w:val="0"/>
                <w:sz w:val="20"/>
              </w:rPr>
              <w:t>region_holiday</w:t>
            </w:r>
          </w:p>
        </w:tc>
        <w:tc>
          <w:tcPr>
            <w:tcW w:type="dxa" w:w="6192"/>
            <w:shd w:val="clear" w:color="auto" w:fill="FFFFFF"/>
          </w:tcPr>
          <w:p>
            <w:r>
              <w:rPr>
                <w:rFonts w:ascii="Calibri" w:hAnsi="Calibri"/>
                <w:b w:val="0"/>
                <w:i w:val="0"/>
                <w:sz w:val="20"/>
              </w:rPr>
              <w:t>Market-aware holiday binary using UK+Germany/India/Brazil/US calendars</w:t>
            </w:r>
          </w:p>
        </w:tc>
      </w:tr>
      <w:tr>
        <w:tc>
          <w:tcPr>
            <w:tcW w:type="dxa" w:w="3600"/>
            <w:shd w:val="clear" w:color="auto" w:fill="F0F5FA"/>
          </w:tcPr>
          <w:p>
            <w:r>
              <w:rPr>
                <w:rFonts w:ascii="Calibri" w:hAnsi="Calibri"/>
                <w:b w:val="0"/>
                <w:i w:val="0"/>
                <w:sz w:val="20"/>
              </w:rPr>
              <w:t>y_lag52</w:t>
            </w:r>
          </w:p>
        </w:tc>
        <w:tc>
          <w:tcPr>
            <w:tcW w:type="dxa" w:w="6192"/>
            <w:shd w:val="clear" w:color="auto" w:fill="F0F5FA"/>
          </w:tcPr>
          <w:p>
            <w:r>
              <w:rPr>
                <w:rFonts w:ascii="Calibri" w:hAnsi="Calibri"/>
                <w:b w:val="0"/>
                <w:i w:val="0"/>
                <w:sz w:val="20"/>
              </w:rPr>
              <w:t>Annual lag — 52-week-ago actual, captures YoY growth baseline</w:t>
            </w:r>
          </w:p>
        </w:tc>
      </w:tr>
      <w:tr>
        <w:tc>
          <w:tcPr>
            <w:tcW w:type="dxa" w:w="3600"/>
            <w:shd w:val="clear" w:color="auto" w:fill="FFFFFF"/>
          </w:tcPr>
          <w:p>
            <w:r>
              <w:rPr>
                <w:rFonts w:ascii="Calibri" w:hAnsi="Calibri"/>
                <w:b w:val="0"/>
                <w:i w:val="0"/>
                <w:sz w:val="20"/>
              </w:rPr>
              <w:t>rolling_vol_4w / rolling_vol_13w</w:t>
            </w:r>
          </w:p>
        </w:tc>
        <w:tc>
          <w:tcPr>
            <w:tcW w:type="dxa" w:w="6192"/>
            <w:shd w:val="clear" w:color="auto" w:fill="FFFFFF"/>
          </w:tcPr>
          <w:p>
            <w:r>
              <w:rPr>
                <w:rFonts w:ascii="Calibri" w:hAnsi="Calibri"/>
                <w:b w:val="0"/>
                <w:i w:val="0"/>
                <w:sz w:val="20"/>
              </w:rPr>
              <w:t>4-week and 13-week rolling volatility — captures deal lumpiness regime</w:t>
            </w:r>
          </w:p>
        </w:tc>
      </w:tr>
      <w:tr>
        <w:tc>
          <w:tcPr>
            <w:tcW w:type="dxa" w:w="3600"/>
            <w:shd w:val="clear" w:color="auto" w:fill="F0F5FA"/>
          </w:tcPr>
          <w:p>
            <w:r>
              <w:rPr>
                <w:rFonts w:ascii="Calibri" w:hAnsi="Calibri"/>
                <w:b w:val="0"/>
                <w:i w:val="0"/>
                <w:sz w:val="20"/>
              </w:rPr>
              <w:t>win_rate_woq</w:t>
            </w:r>
          </w:p>
        </w:tc>
        <w:tc>
          <w:tcPr>
            <w:tcW w:type="dxa" w:w="6192"/>
            <w:shd w:val="clear" w:color="auto" w:fill="F0F5FA"/>
          </w:tcPr>
          <w:p>
            <w:r>
              <w:rPr>
                <w:rFonts w:ascii="Calibri" w:hAnsi="Calibri"/>
                <w:b w:val="0"/>
                <w:i w:val="0"/>
                <w:sz w:val="20"/>
              </w:rPr>
              <w:t>Rolling 4-quarter win rate at each week-of-quarter position per slice</w:t>
            </w:r>
          </w:p>
        </w:tc>
      </w:tr>
    </w:tbl>
    <w:p/>
    <w:p>
      <w:pPr>
        <w:spacing w:before="160" w:after="40"/>
      </w:pPr>
      <w:r>
        <w:rPr>
          <w:rFonts w:ascii="Calibri" w:hAnsi="Calibri"/>
          <w:b/>
          <w:i/>
          <w:color w:val="000000"/>
          <w:sz w:val="22"/>
        </w:rPr>
        <w:t>V9 MC Calibration Layer (add_monthly_mc_scale)</w:t>
      </w:r>
    </w:p>
    <w:p>
      <w:pPr>
        <w:spacing w:after="80"/>
        <w:ind w:left="360"/>
      </w:pPr>
      <w:r>
        <w:rPr>
          <w:rFonts w:ascii="Calibri" w:hAnsi="Calibri"/>
          <w:b w:val="0"/>
          <w:i w:val="0"/>
          <w:sz w:val="21"/>
        </w:rPr>
        <w:t>The most architecturally significant V9 addition. For each (slice_id, month_num) combination, V9 computes the median ratio of actual closed ARR to Prophet ML baseline over recent training data, then applies this as a multiplicative scale factor to prophet_ml in the LGB feature set. This creates a MC-calibrated prophet_ml_mc_scaled feature that accounts for systematic under/over-prediction by Prophet in specific market-month combinations.</w:t>
      </w:r>
    </w:p>
    <w:p>
      <w:pPr>
        <w:spacing w:after="120"/>
        <w:ind w:left="432"/>
        <w:shd w:val="clear" w:color="auto" w:fill="F2F2F2"/>
      </w:pPr>
      <w:r>
        <w:rPr>
          <w:rFonts w:ascii="Courier New" w:hAnsi="Courier New"/>
          <w:color w:val="1A1A1A"/>
          <w:sz w:val="18"/>
        </w:rPr>
        <w:t>monthly['month_ratio'] = (monthly['month_actual'] / monthly['month_prophet'].replace(0, np.nan)).clip(0.25, 4.0)</w:t>
        <w:br/>
        <w:t>monthly['mc_scale_factor'] = monthly.groupby(['slice_id', 'month_num'])['month_ratio'].transform(</w:t>
        <w:br/>
        <w:t xml:space="preserve">    lambda s: s.shift(1).expanding().median()  # expanding median — no leakage</w:t>
        <w:br/>
        <w:t>)</w:t>
        <w:br/>
        <w:t>feat['prophet_ml_mc_scaled'] = feat['prophet_ml'] * feat['mc_scale_factor']</w:t>
      </w:r>
    </w:p>
    <w:p>
      <w:pPr>
        <w:pStyle w:val="ListBullet"/>
        <w:spacing w:after="40"/>
        <w:ind w:left="360"/>
      </w:pPr>
      <w:r>
        <w:rPr>
          <w:rFonts w:ascii="Calibri" w:hAnsi="Calibri"/>
          <w:b/>
          <w:i w:val="0"/>
          <w:color w:val="2E75B6"/>
          <w:sz w:val="21"/>
        </w:rPr>
        <w:t xml:space="preserve">Early stopping: </w:t>
      </w:r>
      <w:r>
        <w:rPr>
          <w:rFonts w:ascii="Calibri" w:hAnsi="Calibri"/>
          <w:b w:val="0"/>
          <w:i w:val="0"/>
          <w:sz w:val="21"/>
        </w:rPr>
        <w:t>num_boost_round=1500, early_stopping_rounds=75 — prevents overfitting on 13-week validation holdout.</w:t>
      </w:r>
    </w:p>
    <w:p>
      <w:pPr>
        <w:pStyle w:val="ListBullet"/>
        <w:spacing w:after="40"/>
        <w:ind w:left="360"/>
      </w:pPr>
      <w:r>
        <w:rPr>
          <w:rFonts w:ascii="Calibri" w:hAnsi="Calibri"/>
          <w:b/>
          <w:i w:val="0"/>
          <w:color w:val="2E75B6"/>
          <w:sz w:val="21"/>
        </w:rPr>
        <w:t xml:space="preserve">Exponential sample weighting: </w:t>
      </w:r>
      <w:r>
        <w:rPr>
          <w:rFonts w:ascii="Calibri" w:hAnsi="Calibri"/>
          <w:b w:val="0"/>
          <w:i w:val="0"/>
          <w:sz w:val="21"/>
        </w:rPr>
        <w:t>week_weight_map uses linspace(0,1,N) → exp(log(2)*scale) — most recent weeks weighted 2x oldest. Correct prioritization for trending series.</w:t>
      </w:r>
    </w:p>
    <w:p>
      <w:pPr>
        <w:pStyle w:val="ListBullet"/>
        <w:spacing w:after="40"/>
        <w:ind w:left="360"/>
      </w:pPr>
      <w:r>
        <w:rPr>
          <w:rFonts w:ascii="Calibri" w:hAnsi="Calibri"/>
          <w:b/>
          <w:i w:val="0"/>
          <w:color w:val="2E75B6"/>
          <w:sz w:val="21"/>
        </w:rPr>
        <w:t xml:space="preserve">Profile-based future imputation: </w:t>
      </w:r>
      <w:r>
        <w:rPr>
          <w:rFonts w:ascii="Calibri" w:hAnsi="Calibri"/>
          <w:b w:val="0"/>
          <w:i w:val="0"/>
          <w:sz w:val="21"/>
        </w:rPr>
        <w:t>build_profile_lookup() fills future panel features from week_of_qtr median profiles rather than global means. Captures the different deal size / pipeline velocity at Q-end vs Q-start.</w:t>
      </w:r>
    </w:p>
    <w:p>
      <w:pPr>
        <w:pStyle w:val="ListBullet"/>
        <w:spacing w:after="40"/>
        <w:ind w:left="360"/>
      </w:pPr>
      <w:r>
        <w:rPr>
          <w:rFonts w:ascii="Calibri" w:hAnsi="Calibri"/>
          <w:b/>
          <w:i w:val="0"/>
          <w:color w:val="2E75B6"/>
          <w:sz w:val="21"/>
        </w:rPr>
        <w:t xml:space="preserve">Auto-regressive rollout: </w:t>
      </w:r>
      <w:r>
        <w:rPr>
          <w:rFonts w:ascii="Calibri" w:hAnsi="Calibri"/>
          <w:b w:val="0"/>
          <w:i w:val="0"/>
          <w:sz w:val="21"/>
        </w:rPr>
        <w:t>predict_future_quantiles() maintains rolling history_y and recomputes all y_lag/r4w/volatility features step-by-step — correct multi-step ahead prediction without leakage.</w:t>
      </w:r>
    </w:p>
    <w:p>
      <w:pPr>
        <w:pStyle w:val="ListBullet"/>
        <w:spacing w:after="40"/>
        <w:ind w:left="360"/>
      </w:pPr>
      <w:r>
        <w:rPr>
          <w:rFonts w:ascii="Calibri" w:hAnsi="Calibri"/>
          <w:b/>
          <w:i w:val="0"/>
          <w:color w:val="2E75B6"/>
          <w:sz w:val="21"/>
        </w:rPr>
        <w:t xml:space="preserve">SHAP explainability: </w:t>
      </w:r>
      <w:r>
        <w:rPr>
          <w:rFonts w:ascii="Calibri" w:hAnsi="Calibri"/>
          <w:b w:val="0"/>
          <w:i w:val="0"/>
          <w:sz w:val="21"/>
        </w:rPr>
        <w:t>Cell 12 re-trains P50 on the holdout training set and computes TreeExplainer SHAP values. Top features logged to MLflow.</w:t>
      </w:r>
    </w:p>
    <w:p>
      <w:pPr>
        <w:pStyle w:val="ListBullet"/>
        <w:spacing w:after="40"/>
        <w:ind w:left="360"/>
      </w:pPr>
      <w:r>
        <w:rPr>
          <w:rFonts w:ascii="Calibri" w:hAnsi="Calibri"/>
          <w:b/>
          <w:i w:val="0"/>
          <w:color w:val="2E75B6"/>
          <w:sz w:val="21"/>
        </w:rPr>
        <w:t xml:space="preserve">Quantile crossing guard: </w:t>
      </w:r>
      <w:r>
        <w:rPr>
          <w:rFonts w:ascii="Calibri" w:hAnsi="Calibri"/>
          <w:b w:val="0"/>
          <w:i w:val="0"/>
          <w:sz w:val="21"/>
        </w:rPr>
        <w:t>p10 = min(p10, p50); p90 = max(p90, p50) after prediction — prevents crossed intervals.</w:t>
      </w:r>
    </w:p>
    <w:p>
      <w:pPr>
        <w:pStyle w:val="ListBullet"/>
        <w:spacing w:after="40"/>
        <w:ind w:left="360"/>
      </w:pPr>
      <w:r>
        <w:rPr>
          <w:rFonts w:ascii="Calibri" w:hAnsi="Calibri"/>
          <w:b/>
          <w:i w:val="0"/>
          <w:color w:val="2E75B6"/>
          <w:sz w:val="21"/>
        </w:rPr>
        <w:t xml:space="preserve">Verdict: </w:t>
      </w:r>
      <w:r>
        <w:rPr>
          <w:rFonts w:ascii="Calibri" w:hAnsi="Calibri"/>
          <w:b w:val="0"/>
          <w:i w:val="0"/>
          <w:sz w:val="21"/>
        </w:rPr>
        <w:t>KEEP as ensemble anchor. At 36 features with MC calibration and profile-based imputation, this is the most capable model in the suite.</w:t>
      </w:r>
    </w:p>
    <w:p>
      <w:r>
        <w:br w:type="page"/>
      </w:r>
    </w:p>
    <w:p>
      <w:pPr>
        <w:spacing w:before="360" w:after="120"/>
        <w:pBdr>
          <w:bottom w:val="single" w:sz="6" w:space="1" w:color="1F497D"/>
        </w:pBdr>
      </w:pPr>
      <w:r>
        <w:rPr>
          <w:rFonts w:ascii="Calibri" w:hAnsi="Calibri"/>
          <w:b/>
          <w:i w:val="0"/>
          <w:color w:val="1F497D"/>
          <w:sz w:val="30"/>
        </w:rPr>
        <w:t>Section 3: Seasonality and Trend Detection</w:t>
      </w:r>
    </w:p>
    <w:p>
      <w:pPr>
        <w:spacing w:before="240" w:after="80"/>
      </w:pPr>
      <w:r>
        <w:rPr>
          <w:rFonts w:ascii="Calibri" w:hAnsi="Calibri"/>
          <w:b/>
          <w:i w:val="0"/>
          <w:color w:val="2E75B6"/>
          <w:sz w:val="24"/>
        </w:rPr>
        <w:t>3.1 Seasonality Coverage</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1F497D"/>
          </w:tcPr>
          <w:p>
            <w:pPr>
              <w:jc w:val="center"/>
            </w:pPr>
            <w:r>
              <w:rPr>
                <w:rFonts w:ascii="Calibri" w:hAnsi="Calibri"/>
                <w:b/>
                <w:i w:val="0"/>
                <w:color w:val="FFFFFF"/>
                <w:sz w:val="20"/>
              </w:rPr>
              <w:t>Seasonality Type</w:t>
            </w:r>
          </w:p>
        </w:tc>
        <w:tc>
          <w:tcPr>
            <w:tcW w:type="dxa" w:w="1440"/>
            <w:shd w:val="clear" w:color="auto" w:fill="1F497D"/>
          </w:tcPr>
          <w:p>
            <w:pPr>
              <w:jc w:val="center"/>
            </w:pPr>
            <w:r>
              <w:rPr>
                <w:rFonts w:ascii="Calibri" w:hAnsi="Calibri"/>
                <w:b/>
                <w:i w:val="0"/>
                <w:color w:val="FFFFFF"/>
                <w:sz w:val="20"/>
              </w:rPr>
              <w:t>Coverage</w:t>
            </w:r>
          </w:p>
        </w:tc>
        <w:tc>
          <w:tcPr>
            <w:tcW w:type="dxa" w:w="4320"/>
            <w:shd w:val="clear" w:color="auto" w:fill="1F497D"/>
          </w:tcPr>
          <w:p>
            <w:pPr>
              <w:jc w:val="center"/>
            </w:pPr>
            <w:r>
              <w:rPr>
                <w:rFonts w:ascii="Calibri" w:hAnsi="Calibri"/>
                <w:b/>
                <w:i w:val="0"/>
                <w:color w:val="FFFFFF"/>
                <w:sz w:val="20"/>
              </w:rPr>
              <w:t>How Modeled</w:t>
            </w:r>
          </w:p>
        </w:tc>
        <w:tc>
          <w:tcPr>
            <w:tcW w:type="dxa" w:w="1872"/>
            <w:shd w:val="clear" w:color="auto" w:fill="1F497D"/>
          </w:tcPr>
          <w:p>
            <w:pPr>
              <w:jc w:val="center"/>
            </w:pPr>
            <w:r>
              <w:rPr>
                <w:rFonts w:ascii="Calibri" w:hAnsi="Calibri"/>
                <w:b/>
                <w:i w:val="0"/>
                <w:color w:val="FFFFFF"/>
                <w:sz w:val="20"/>
              </w:rPr>
              <w:t>Status</w:t>
            </w:r>
          </w:p>
        </w:tc>
      </w:tr>
      <w:tr>
        <w:tc>
          <w:tcPr>
            <w:tcW w:type="dxa" w:w="2160"/>
            <w:shd w:val="clear" w:color="auto" w:fill="F0F5FA"/>
          </w:tcPr>
          <w:p>
            <w:r>
              <w:rPr>
                <w:rFonts w:ascii="Calibri" w:hAnsi="Calibri"/>
                <w:b w:val="0"/>
                <w:i w:val="0"/>
                <w:sz w:val="20"/>
              </w:rPr>
              <w:t>Weekly (intra-week)</w:t>
            </w:r>
          </w:p>
        </w:tc>
        <w:tc>
          <w:tcPr>
            <w:tcW w:type="dxa" w:w="1440"/>
            <w:shd w:val="clear" w:color="auto" w:fill="F0F5FA"/>
          </w:tcPr>
          <w:p>
            <w:r>
              <w:rPr>
                <w:rFonts w:ascii="Calibri" w:hAnsi="Calibri"/>
                <w:b w:val="0"/>
                <w:i w:val="0"/>
                <w:sz w:val="20"/>
              </w:rPr>
              <w:t>N/A</w:t>
            </w:r>
          </w:p>
        </w:tc>
        <w:tc>
          <w:tcPr>
            <w:tcW w:type="dxa" w:w="4320"/>
            <w:shd w:val="clear" w:color="auto" w:fill="F0F5FA"/>
          </w:tcPr>
          <w:p>
            <w:r>
              <w:rPr>
                <w:rFonts w:ascii="Calibri" w:hAnsi="Calibri"/>
                <w:b w:val="0"/>
                <w:i w:val="0"/>
                <w:sz w:val="20"/>
              </w:rPr>
              <w:t>Weekly aggregation eliminates intra-week noise</w:t>
            </w:r>
          </w:p>
        </w:tc>
        <w:tc>
          <w:tcPr>
            <w:tcW w:type="dxa" w:w="1872"/>
            <w:shd w:val="clear" w:color="auto" w:fill="F0F5FA"/>
          </w:tcPr>
          <w:p>
            <w:r>
              <w:rPr>
                <w:rFonts w:ascii="Calibri" w:hAnsi="Calibri"/>
                <w:b w:val="0"/>
                <w:i w:val="0"/>
                <w:sz w:val="20"/>
              </w:rPr>
              <w:t>Correctly excluded</w:t>
            </w:r>
          </w:p>
        </w:tc>
      </w:tr>
      <w:tr>
        <w:tc>
          <w:tcPr>
            <w:tcW w:type="dxa" w:w="2160"/>
            <w:shd w:val="clear" w:color="auto" w:fill="FFFFFF"/>
          </w:tcPr>
          <w:p>
            <w:r>
              <w:rPr>
                <w:rFonts w:ascii="Calibri" w:hAnsi="Calibri"/>
                <w:b w:val="0"/>
                <w:i w:val="0"/>
                <w:sz w:val="20"/>
              </w:rPr>
              <w:t>Monthly (4-week cycle)</w:t>
            </w:r>
          </w:p>
        </w:tc>
        <w:tc>
          <w:tcPr>
            <w:tcW w:type="dxa" w:w="1440"/>
            <w:shd w:val="clear" w:color="auto" w:fill="FFFFFF"/>
          </w:tcPr>
          <w:p>
            <w:r>
              <w:rPr>
                <w:rFonts w:ascii="Calibri" w:hAnsi="Calibri"/>
                <w:b w:val="0"/>
                <w:i w:val="0"/>
                <w:sz w:val="20"/>
              </w:rPr>
              <w:t>Yes</w:t>
            </w:r>
          </w:p>
        </w:tc>
        <w:tc>
          <w:tcPr>
            <w:tcW w:type="dxa" w:w="4320"/>
            <w:shd w:val="clear" w:color="auto" w:fill="FFFFFF"/>
          </w:tcPr>
          <w:p>
            <w:r>
              <w:rPr>
                <w:rFonts w:ascii="Calibri" w:hAnsi="Calibri"/>
                <w:b w:val="0"/>
                <w:i w:val="0"/>
                <w:sz w:val="20"/>
              </w:rPr>
              <w:t>MSTL season_length=4, Fourier q13 implicit</w:t>
            </w:r>
          </w:p>
        </w:tc>
        <w:tc>
          <w:tcPr>
            <w:tcW w:type="dxa" w:w="1872"/>
            <w:shd w:val="clear" w:color="auto" w:fill="FFFFFF"/>
          </w:tcPr>
          <w:p>
            <w:r>
              <w:rPr>
                <w:rFonts w:ascii="Calibri" w:hAnsi="Calibri"/>
                <w:b w:val="0"/>
                <w:i w:val="0"/>
                <w:sz w:val="20"/>
              </w:rPr>
              <w:t>Covered</w:t>
            </w:r>
          </w:p>
        </w:tc>
      </w:tr>
      <w:tr>
        <w:tc>
          <w:tcPr>
            <w:tcW w:type="dxa" w:w="2160"/>
            <w:shd w:val="clear" w:color="auto" w:fill="F0F5FA"/>
          </w:tcPr>
          <w:p>
            <w:r>
              <w:rPr>
                <w:rFonts w:ascii="Calibri" w:hAnsi="Calibri"/>
                <w:b w:val="0"/>
                <w:i w:val="0"/>
                <w:sz w:val="20"/>
              </w:rPr>
              <w:t>Quarterly (13-week)</w:t>
            </w:r>
          </w:p>
        </w:tc>
        <w:tc>
          <w:tcPr>
            <w:tcW w:type="dxa" w:w="1440"/>
            <w:shd w:val="clear" w:color="auto" w:fill="F0F5FA"/>
          </w:tcPr>
          <w:p>
            <w:r>
              <w:rPr>
                <w:rFonts w:ascii="Calibri" w:hAnsi="Calibri"/>
                <w:b w:val="0"/>
                <w:i w:val="0"/>
                <w:sz w:val="20"/>
              </w:rPr>
              <w:t>Yes</w:t>
            </w:r>
          </w:p>
        </w:tc>
        <w:tc>
          <w:tcPr>
            <w:tcW w:type="dxa" w:w="4320"/>
            <w:shd w:val="clear" w:color="auto" w:fill="F0F5FA"/>
          </w:tcPr>
          <w:p>
            <w:r>
              <w:rPr>
                <w:rFonts w:ascii="Calibri" w:hAnsi="Calibri"/>
                <w:b w:val="0"/>
                <w:i w:val="0"/>
                <w:sz w:val="20"/>
              </w:rPr>
              <w:t>MSTL season_length=13, q13 Fourier 2 harmonics, WoQ profile, quarter_end_flag, is_q4, q4_week_countdown, week_of_qtr</w:t>
            </w:r>
          </w:p>
        </w:tc>
        <w:tc>
          <w:tcPr>
            <w:tcW w:type="dxa" w:w="1872"/>
            <w:shd w:val="clear" w:color="auto" w:fill="F0F5FA"/>
          </w:tcPr>
          <w:p>
            <w:r>
              <w:rPr>
                <w:rFonts w:ascii="Calibri" w:hAnsi="Calibri"/>
                <w:b w:val="0"/>
                <w:i w:val="0"/>
                <w:sz w:val="20"/>
              </w:rPr>
              <w:t>Strong coverage</w:t>
            </w:r>
          </w:p>
        </w:tc>
      </w:tr>
      <w:tr>
        <w:tc>
          <w:tcPr>
            <w:tcW w:type="dxa" w:w="2160"/>
            <w:shd w:val="clear" w:color="auto" w:fill="FFFFFF"/>
          </w:tcPr>
          <w:p>
            <w:r>
              <w:rPr>
                <w:rFonts w:ascii="Calibri" w:hAnsi="Calibri"/>
                <w:b w:val="0"/>
                <w:i w:val="0"/>
                <w:sz w:val="20"/>
              </w:rPr>
              <w:t>Annual (52-week)</w:t>
            </w:r>
          </w:p>
        </w:tc>
        <w:tc>
          <w:tcPr>
            <w:tcW w:type="dxa" w:w="1440"/>
            <w:shd w:val="clear" w:color="auto" w:fill="FFFFFF"/>
          </w:tcPr>
          <w:p>
            <w:r>
              <w:rPr>
                <w:rFonts w:ascii="Calibri" w:hAnsi="Calibri"/>
                <w:b w:val="0"/>
                <w:i w:val="0"/>
                <w:sz w:val="20"/>
              </w:rPr>
              <w:t>Yes</w:t>
            </w:r>
          </w:p>
        </w:tc>
        <w:tc>
          <w:tcPr>
            <w:tcW w:type="dxa" w:w="4320"/>
            <w:shd w:val="clear" w:color="auto" w:fill="FFFFFF"/>
          </w:tcPr>
          <w:p>
            <w:r>
              <w:rPr>
                <w:rFonts w:ascii="Calibri" w:hAnsi="Calibri"/>
                <w:b w:val="0"/>
                <w:i w:val="0"/>
                <w:sz w:val="20"/>
              </w:rPr>
              <w:t>MSTL season_length=52, y52 Fourier 2 harmonics, ETS seasonal_periods=52, y_lag52</w:t>
            </w:r>
          </w:p>
        </w:tc>
        <w:tc>
          <w:tcPr>
            <w:tcW w:type="dxa" w:w="1872"/>
            <w:shd w:val="clear" w:color="auto" w:fill="FFFFFF"/>
          </w:tcPr>
          <w:p>
            <w:r>
              <w:rPr>
                <w:rFonts w:ascii="Calibri" w:hAnsi="Calibri"/>
                <w:b w:val="0"/>
                <w:i w:val="0"/>
                <w:sz w:val="20"/>
              </w:rPr>
              <w:t>Strong coverage</w:t>
            </w:r>
          </w:p>
        </w:tc>
      </w:tr>
      <w:tr>
        <w:tc>
          <w:tcPr>
            <w:tcW w:type="dxa" w:w="2160"/>
            <w:shd w:val="clear" w:color="auto" w:fill="F0F5FA"/>
          </w:tcPr>
          <w:p>
            <w:r>
              <w:rPr>
                <w:rFonts w:ascii="Calibri" w:hAnsi="Calibri"/>
                <w:b w:val="0"/>
                <w:i w:val="0"/>
                <w:sz w:val="20"/>
              </w:rPr>
              <w:t>Q-end surge (WoQ)</w:t>
            </w:r>
          </w:p>
        </w:tc>
        <w:tc>
          <w:tcPr>
            <w:tcW w:type="dxa" w:w="1440"/>
            <w:shd w:val="clear" w:color="auto" w:fill="F0F5FA"/>
          </w:tcPr>
          <w:p>
            <w:r>
              <w:rPr>
                <w:rFonts w:ascii="Calibri" w:hAnsi="Calibri"/>
                <w:b w:val="0"/>
                <w:i w:val="0"/>
                <w:sz w:val="20"/>
              </w:rPr>
              <w:t>Yes</w:t>
            </w:r>
          </w:p>
        </w:tc>
        <w:tc>
          <w:tcPr>
            <w:tcW w:type="dxa" w:w="4320"/>
            <w:shd w:val="clear" w:color="auto" w:fill="F0F5FA"/>
          </w:tcPr>
          <w:p>
            <w:r>
              <w:rPr>
                <w:rFonts w:ascii="Calibri" w:hAnsi="Calibri"/>
                <w:b w:val="0"/>
                <w:i w:val="0"/>
                <w:sz w:val="20"/>
              </w:rPr>
              <w:t>Prophet WoQ profile (empirical), win_rate_by_woq, week_of_qtr features in LGB</w:t>
            </w:r>
          </w:p>
        </w:tc>
        <w:tc>
          <w:tcPr>
            <w:tcW w:type="dxa" w:w="1872"/>
            <w:shd w:val="clear" w:color="auto" w:fill="F0F5FA"/>
          </w:tcPr>
          <w:p>
            <w:r>
              <w:rPr>
                <w:rFonts w:ascii="Calibri" w:hAnsi="Calibri"/>
                <w:b w:val="0"/>
                <w:i w:val="0"/>
                <w:sz w:val="20"/>
              </w:rPr>
              <w:t>Excellent — multi-model</w:t>
            </w:r>
          </w:p>
        </w:tc>
      </w:tr>
      <w:tr>
        <w:tc>
          <w:tcPr>
            <w:tcW w:type="dxa" w:w="2160"/>
            <w:shd w:val="clear" w:color="auto" w:fill="FFFFFF"/>
          </w:tcPr>
          <w:p>
            <w:r>
              <w:rPr>
                <w:rFonts w:ascii="Calibri" w:hAnsi="Calibri"/>
                <w:b w:val="0"/>
                <w:i w:val="0"/>
                <w:sz w:val="20"/>
              </w:rPr>
              <w:t>Holiday effects</w:t>
            </w:r>
          </w:p>
        </w:tc>
        <w:tc>
          <w:tcPr>
            <w:tcW w:type="dxa" w:w="1440"/>
            <w:shd w:val="clear" w:color="auto" w:fill="FFFFFF"/>
          </w:tcPr>
          <w:p>
            <w:r>
              <w:rPr>
                <w:rFonts w:ascii="Calibri" w:hAnsi="Calibri"/>
                <w:b w:val="0"/>
                <w:i w:val="0"/>
                <w:sz w:val="20"/>
              </w:rPr>
              <w:t>Yes (V9 enhanced)</w:t>
            </w:r>
          </w:p>
        </w:tc>
        <w:tc>
          <w:tcPr>
            <w:tcW w:type="dxa" w:w="4320"/>
            <w:shd w:val="clear" w:color="auto" w:fill="FFFFFF"/>
          </w:tcPr>
          <w:p>
            <w:r>
              <w:rPr>
                <w:rFonts w:ascii="Calibri" w:hAnsi="Calibri"/>
                <w:b w:val="0"/>
                <w:i w:val="0"/>
                <w:sz w:val="20"/>
              </w:rPr>
              <w:t>us_holiday (all models), region_holiday NEW (LGB) with per-market calendars</w:t>
            </w:r>
          </w:p>
        </w:tc>
        <w:tc>
          <w:tcPr>
            <w:tcW w:type="dxa" w:w="1872"/>
            <w:shd w:val="clear" w:color="auto" w:fill="FFFFFF"/>
          </w:tcPr>
          <w:p>
            <w:r>
              <w:rPr>
                <w:rFonts w:ascii="Calibri" w:hAnsi="Calibri"/>
                <w:b w:val="0"/>
                <w:i w:val="0"/>
                <w:sz w:val="20"/>
              </w:rPr>
              <w:t>Good — V9 improved</w:t>
            </w:r>
          </w:p>
        </w:tc>
      </w:tr>
      <w:tr>
        <w:tc>
          <w:tcPr>
            <w:tcW w:type="dxa" w:w="2160"/>
            <w:shd w:val="clear" w:color="auto" w:fill="F0F5FA"/>
          </w:tcPr>
          <w:p>
            <w:r>
              <w:rPr>
                <w:rFonts w:ascii="Calibri" w:hAnsi="Calibri"/>
                <w:b w:val="0"/>
                <w:i w:val="0"/>
                <w:sz w:val="20"/>
              </w:rPr>
              <w:t>Structural breaks</w:t>
            </w:r>
          </w:p>
        </w:tc>
        <w:tc>
          <w:tcPr>
            <w:tcW w:type="dxa" w:w="1440"/>
            <w:shd w:val="clear" w:color="auto" w:fill="F0F5FA"/>
          </w:tcPr>
          <w:p>
            <w:r>
              <w:rPr>
                <w:rFonts w:ascii="Calibri" w:hAnsi="Calibri"/>
                <w:b w:val="0"/>
                <w:i w:val="0"/>
                <w:sz w:val="20"/>
              </w:rPr>
              <w:t>Partial</w:t>
            </w:r>
          </w:p>
        </w:tc>
        <w:tc>
          <w:tcPr>
            <w:tcW w:type="dxa" w:w="4320"/>
            <w:shd w:val="clear" w:color="auto" w:fill="F0F5FA"/>
          </w:tcPr>
          <w:p>
            <w:r>
              <w:rPr>
                <w:rFonts w:ascii="Calibri" w:hAnsi="Calibri"/>
                <w:b w:val="0"/>
                <w:i w:val="0"/>
                <w:sz w:val="20"/>
              </w:rPr>
              <w:t>Prophet changepoints (8 max, range 0.85), AutoARIMA adapts order</w:t>
            </w:r>
          </w:p>
        </w:tc>
        <w:tc>
          <w:tcPr>
            <w:tcW w:type="dxa" w:w="1872"/>
            <w:shd w:val="clear" w:color="auto" w:fill="F0F5FA"/>
          </w:tcPr>
          <w:p>
            <w:r>
              <w:rPr>
                <w:rFonts w:ascii="Calibri" w:hAnsi="Calibri"/>
                <w:b w:val="0"/>
                <w:i w:val="0"/>
                <w:sz w:val="20"/>
              </w:rPr>
              <w:t>Adequate for current data length</w:t>
            </w:r>
          </w:p>
        </w:tc>
      </w:tr>
      <w:tr>
        <w:tc>
          <w:tcPr>
            <w:tcW w:type="dxa" w:w="2160"/>
            <w:shd w:val="clear" w:color="auto" w:fill="FFFFFF"/>
          </w:tcPr>
          <w:p>
            <w:r>
              <w:rPr>
                <w:rFonts w:ascii="Calibri" w:hAnsi="Calibri"/>
                <w:b w:val="0"/>
                <w:i w:val="0"/>
                <w:sz w:val="20"/>
              </w:rPr>
              <w:t>Regime changes</w:t>
            </w:r>
          </w:p>
        </w:tc>
        <w:tc>
          <w:tcPr>
            <w:tcW w:type="dxa" w:w="1440"/>
            <w:shd w:val="clear" w:color="auto" w:fill="FFFFFF"/>
          </w:tcPr>
          <w:p>
            <w:r>
              <w:rPr>
                <w:rFonts w:ascii="Calibri" w:hAnsi="Calibri"/>
                <w:b w:val="0"/>
                <w:i w:val="0"/>
                <w:sz w:val="20"/>
              </w:rPr>
              <w:t>Partial</w:t>
            </w:r>
          </w:p>
        </w:tc>
        <w:tc>
          <w:tcPr>
            <w:tcW w:type="dxa" w:w="4320"/>
            <w:shd w:val="clear" w:color="auto" w:fill="FFFFFF"/>
          </w:tcPr>
          <w:p>
            <w:r>
              <w:rPr>
                <w:rFonts w:ascii="Calibri" w:hAnsi="Calibri"/>
                <w:b w:val="0"/>
                <w:i w:val="0"/>
                <w:sz w:val="20"/>
              </w:rPr>
              <w:t>Exponential sample weighting downweights old regime data</w:t>
            </w:r>
          </w:p>
        </w:tc>
        <w:tc>
          <w:tcPr>
            <w:tcW w:type="dxa" w:w="1872"/>
            <w:shd w:val="clear" w:color="auto" w:fill="FFFFFF"/>
          </w:tcPr>
          <w:p>
            <w:r>
              <w:rPr>
                <w:rFonts w:ascii="Calibri" w:hAnsi="Calibri"/>
                <w:b w:val="0"/>
                <w:i w:val="0"/>
                <w:sz w:val="20"/>
              </w:rPr>
              <w:t>Adequate</w:t>
            </w:r>
          </w:p>
        </w:tc>
      </w:tr>
    </w:tbl>
    <w:p/>
    <w:p>
      <w:pPr>
        <w:spacing w:before="240" w:after="80"/>
      </w:pPr>
      <w:r>
        <w:rPr>
          <w:rFonts w:ascii="Calibri" w:hAnsi="Calibri"/>
          <w:b/>
          <w:i w:val="0"/>
          <w:color w:val="2E75B6"/>
          <w:sz w:val="24"/>
        </w:rPr>
        <w:t>3.2 V9 Phase-Stable Fourier — Critical Correctness Fix</w:t>
      </w:r>
    </w:p>
    <w:p>
      <w:pPr>
        <w:spacing w:after="120"/>
      </w:pPr>
      <w:r>
        <w:rPr>
          <w:rFonts w:ascii="Calibri" w:hAnsi="Calibri"/>
          <w:b w:val="0"/>
          <w:i w:val="0"/>
          <w:sz w:val="21"/>
        </w:rPr>
        <w:t>DHR-ARIMA relies on sinusoidal basis functions sin(2πk·t/P) and cos(2πk·t/P). The index t must be defined on a calendar-anchored scale, not relative to each fold's training start. In V8, t was computed as weeks elapsed from FIRST_FULL_MONDAY, which was stable. In V9, the code was refactored to explicitly use week_of_qtr (1–13) for q13 and ISO week_of_year (1–52) for y52, making the semantics explicit and fold-invariant.</w:t>
      </w:r>
    </w:p>
    <w:p>
      <w:pPr>
        <w:spacing w:after="120"/>
        <w:ind w:left="432"/>
        <w:shd w:val="clear" w:color="auto" w:fill="F2F2F2"/>
      </w:pPr>
      <w:r>
        <w:rPr>
          <w:rFonts w:ascii="Courier New" w:hAnsi="Courier New"/>
          <w:color w:val="1A1A1A"/>
          <w:sz w:val="18"/>
        </w:rPr>
        <w:t># V9 calendar-based (correct — same phase for every fold)</w:t>
        <w:br/>
        <w:t>if prefix == 'q13':</w:t>
        <w:br/>
        <w:t xml:space="preserve">    idx = week_of_qtr  # 1-13, calendar position</w:t>
        <w:br/>
        <w:t>elif prefix == 'y52':</w:t>
        <w:br/>
        <w:t xml:space="preserve">    idx = week_of_year  # ISO week, calendar position</w:t>
        <w:br/>
        <w:t>angle = 2 * np.pi * k * (idx - 1) / period</w:t>
      </w:r>
    </w:p>
    <w:p>
      <w:pPr>
        <w:spacing w:after="80"/>
      </w:pPr>
      <w:r>
        <w:rPr>
          <w:rFonts w:ascii="Calibri" w:hAnsi="Calibri"/>
          <w:b w:val="0"/>
          <w:i w:val="0"/>
          <w:sz w:val="21"/>
        </w:rPr>
        <w:t>This ensures that fold 1 trained through Q3-2025 and fold 8 trained through Q1-2026 see identical Fourier representations for the same calendar week — a prerequisite for unbiased coefficient estimation across folds.</w:t>
      </w:r>
    </w:p>
    <w:p>
      <w:pPr>
        <w:spacing w:before="240" w:after="80"/>
      </w:pPr>
      <w:r>
        <w:rPr>
          <w:rFonts w:ascii="Calibri" w:hAnsi="Calibri"/>
          <w:b/>
          <w:i w:val="0"/>
          <w:color w:val="2E75B6"/>
          <w:sz w:val="24"/>
        </w:rPr>
        <w:t>3.3 Quarterly Pattern Modeling — Best-in-Class</w:t>
      </w:r>
    </w:p>
    <w:p>
      <w:pPr>
        <w:spacing w:after="80"/>
      </w:pPr>
      <w:r>
        <w:rPr>
          <w:rFonts w:ascii="Calibri" w:hAnsi="Calibri"/>
          <w:b w:val="0"/>
          <w:i w:val="0"/>
          <w:sz w:val="21"/>
        </w:rPr>
        <w:t>The quarter-end surge is the dominant UCC ARR seasonality pattern. V9 captures it through five complementary mechanisms:</w:t>
      </w:r>
    </w:p>
    <w:p>
      <w:pPr>
        <w:pStyle w:val="ListBullet"/>
        <w:spacing w:after="40"/>
        <w:ind w:left="360"/>
      </w:pPr>
      <w:r>
        <w:rPr>
          <w:rFonts w:ascii="Calibri" w:hAnsi="Calibri"/>
          <w:b w:val="0"/>
          <w:i w:val="0"/>
          <w:sz w:val="21"/>
        </w:rPr>
        <w:t>MSTL season_length=13 decomposes the 13-week cycle nonparametrically</w:t>
      </w:r>
    </w:p>
    <w:p>
      <w:pPr>
        <w:pStyle w:val="ListBullet"/>
        <w:spacing w:after="40"/>
        <w:ind w:left="360"/>
      </w:pPr>
      <w:r>
        <w:rPr>
          <w:rFonts w:ascii="Calibri" w:hAnsi="Calibri"/>
          <w:b w:val="0"/>
          <w:i w:val="0"/>
          <w:sz w:val="21"/>
        </w:rPr>
        <w:t>Prophet WoQ multiplier scales trend output by empirical fold-specific week-of-quarter ratios</w:t>
      </w:r>
    </w:p>
    <w:p>
      <w:pPr>
        <w:pStyle w:val="ListBullet"/>
        <w:spacing w:after="40"/>
        <w:ind w:left="360"/>
      </w:pPr>
      <w:r>
        <w:rPr>
          <w:rFonts w:ascii="Calibri" w:hAnsi="Calibri"/>
          <w:b w:val="0"/>
          <w:i w:val="0"/>
          <w:sz w:val="21"/>
        </w:rPr>
        <w:t>DHR q13 Fourier (2 harmonics) provides a smooth parametric approximation</w:t>
      </w:r>
    </w:p>
    <w:p>
      <w:pPr>
        <w:pStyle w:val="ListBullet"/>
        <w:spacing w:after="40"/>
        <w:ind w:left="360"/>
      </w:pPr>
      <w:r>
        <w:rPr>
          <w:rFonts w:ascii="Calibri" w:hAnsi="Calibri"/>
          <w:b w:val="0"/>
          <w:i w:val="0"/>
          <w:sz w:val="21"/>
        </w:rPr>
        <w:t>win_rate_woq and week_of_qtr features in LGB — direct conditioning on intra-quarter position</w:t>
      </w:r>
    </w:p>
    <w:p>
      <w:pPr>
        <w:pStyle w:val="ListBullet"/>
        <w:spacing w:after="40"/>
        <w:ind w:left="360"/>
      </w:pPr>
      <w:r>
        <w:rPr>
          <w:rFonts w:ascii="Calibri" w:hAnsi="Calibri"/>
          <w:b w:val="0"/>
          <w:i w:val="0"/>
          <w:sz w:val="21"/>
        </w:rPr>
        <w:t>quarter_end_flag, is_q4, q4_week_countdown — binary/countdown signals for final weeks</w:t>
      </w:r>
    </w:p>
    <w:p>
      <w:pPr>
        <w:spacing w:after="80"/>
      </w:pPr>
      <w:r>
        <w:rPr>
          <w:rFonts w:ascii="Calibri" w:hAnsi="Calibri"/>
          <w:b w:val="0"/>
          <w:i w:val="0"/>
          <w:sz w:val="21"/>
        </w:rPr>
        <w:t>No single model would capture this as well as the ensemble of all five approaches.</w:t>
      </w:r>
    </w:p>
    <w:p>
      <w:r>
        <w:br w:type="page"/>
      </w:r>
    </w:p>
    <w:p>
      <w:pPr>
        <w:spacing w:before="360" w:after="120"/>
        <w:pBdr>
          <w:bottom w:val="single" w:sz="6" w:space="1" w:color="1F497D"/>
        </w:pBdr>
      </w:pPr>
      <w:r>
        <w:rPr>
          <w:rFonts w:ascii="Calibri" w:hAnsi="Calibri"/>
          <w:b/>
          <w:i w:val="0"/>
          <w:color w:val="1F497D"/>
          <w:sz w:val="30"/>
        </w:rPr>
        <w:t>Section 4: Data Quality and Feature Engineering</w:t>
      </w:r>
    </w:p>
    <w:p>
      <w:pPr>
        <w:spacing w:before="240" w:after="80"/>
      </w:pPr>
      <w:r>
        <w:rPr>
          <w:rFonts w:ascii="Calibri" w:hAnsi="Calibri"/>
          <w:b/>
          <w:i w:val="0"/>
          <w:color w:val="2E75B6"/>
          <w:sz w:val="24"/>
        </w:rPr>
        <w:t>4.1 Data Pipeline Quality</w:t>
      </w:r>
    </w:p>
    <w:p>
      <w:pPr>
        <w:pStyle w:val="ListBullet"/>
        <w:spacing w:after="40"/>
        <w:ind w:left="360"/>
      </w:pPr>
      <w:r>
        <w:rPr>
          <w:rFonts w:ascii="Calibri" w:hAnsi="Calibri"/>
          <w:b/>
          <w:i w:val="0"/>
          <w:color w:val="2E75B6"/>
          <w:sz w:val="21"/>
        </w:rPr>
        <w:t xml:space="preserve">Source: </w:t>
      </w:r>
      <w:r>
        <w:rPr>
          <w:rFonts w:ascii="Calibri" w:hAnsi="Calibri"/>
          <w:b w:val="0"/>
          <w:i w:val="0"/>
          <w:sz w:val="21"/>
        </w:rPr>
        <w:t>datagroup.datalake_transform.cds_sfdc_opp_products_latest — single authoritative source of truth</w:t>
      </w:r>
    </w:p>
    <w:p>
      <w:pPr>
        <w:pStyle w:val="ListBullet"/>
        <w:spacing w:after="40"/>
        <w:ind w:left="360"/>
      </w:pPr>
      <w:r>
        <w:rPr>
          <w:rFonts w:ascii="Calibri" w:hAnsi="Calibri"/>
          <w:b/>
          <w:i w:val="0"/>
          <w:color w:val="2E75B6"/>
          <w:sz w:val="21"/>
        </w:rPr>
        <w:t xml:space="preserve">Market normalization: </w:t>
      </w:r>
      <w:r>
        <w:rPr>
          <w:rFonts w:ascii="Calibri" w:hAnsi="Calibri"/>
          <w:b w:val="0"/>
          <w:i w:val="0"/>
          <w:sz w:val="21"/>
        </w:rPr>
        <w:t>AUS/ROW and INDIA mapped to APAC; UNKNOWN/blank mapped to Unknown consistently across all cells</w:t>
      </w:r>
    </w:p>
    <w:p>
      <w:pPr>
        <w:pStyle w:val="ListBullet"/>
        <w:spacing w:after="40"/>
        <w:ind w:left="360"/>
      </w:pPr>
      <w:r>
        <w:rPr>
          <w:rFonts w:ascii="Calibri" w:hAnsi="Calibri"/>
          <w:b/>
          <w:i w:val="0"/>
          <w:color w:val="2E75B6"/>
          <w:sz w:val="21"/>
        </w:rPr>
        <w:t xml:space="preserve">Calendar spine: </w:t>
      </w:r>
      <w:r>
        <w:rPr>
          <w:rFonts w:ascii="Calibri" w:hAnsi="Calibri"/>
          <w:b w:val="0"/>
          <w:i w:val="0"/>
          <w:sz w:val="21"/>
        </w:rPr>
        <w:t>pd.date_range(FIRST_FULL_MONDAY, CURRENT_WEEK-1, freq='W-MON') — ensures zero weeks are explicit (0.0) rather than missing</w:t>
      </w:r>
    </w:p>
    <w:p>
      <w:pPr>
        <w:pStyle w:val="ListBullet"/>
        <w:spacing w:after="40"/>
        <w:ind w:left="360"/>
      </w:pPr>
      <w:r>
        <w:rPr>
          <w:rFonts w:ascii="Calibri" w:hAnsi="Calibri"/>
          <w:b/>
          <w:i w:val="0"/>
          <w:color w:val="2E75B6"/>
          <w:sz w:val="21"/>
        </w:rPr>
        <w:t xml:space="preserve">Numeric coercion: </w:t>
      </w:r>
      <w:r>
        <w:rPr>
          <w:rFonts w:ascii="Calibri" w:hAnsi="Calibri"/>
          <w:b w:val="0"/>
          <w:i w:val="0"/>
          <w:sz w:val="21"/>
        </w:rPr>
        <w:t>All pipeline/ARR columns pd.to_numeric(errors='coerce').fillna(0.0) — handles NULL/string contamination from SFDC</w:t>
      </w:r>
    </w:p>
    <w:p>
      <w:pPr>
        <w:pStyle w:val="ListBullet"/>
        <w:spacing w:after="40"/>
        <w:ind w:left="360"/>
      </w:pPr>
      <w:r>
        <w:rPr>
          <w:rFonts w:ascii="Calibri" w:hAnsi="Calibri"/>
          <w:b/>
          <w:i w:val="0"/>
          <w:color w:val="2E75B6"/>
          <w:sz w:val="21"/>
        </w:rPr>
        <w:t xml:space="preserve">Pipeline-created join: </w:t>
      </w:r>
      <w:r>
        <w:rPr>
          <w:rFonts w:ascii="Calibri" w:hAnsi="Calibri"/>
          <w:b w:val="0"/>
          <w:i w:val="0"/>
          <w:sz w:val="21"/>
        </w:rPr>
        <w:t>pipeline_week_start used (not close_date) for pipeline features — correct temporal alignment</w:t>
      </w:r>
    </w:p>
    <w:p>
      <w:pPr>
        <w:pStyle w:val="ListBullet"/>
        <w:spacing w:after="40"/>
        <w:ind w:left="360"/>
      </w:pPr>
      <w:r>
        <w:rPr>
          <w:rFonts w:ascii="Calibri" w:hAnsi="Calibri"/>
          <w:b/>
          <w:i w:val="0"/>
          <w:color w:val="2E75B6"/>
          <w:sz w:val="21"/>
        </w:rPr>
        <w:t xml:space="preserve">Marketing features: </w:t>
      </w:r>
      <w:r>
        <w:rPr>
          <w:rFonts w:ascii="Calibri" w:hAnsi="Calibri"/>
          <w:b w:val="0"/>
          <w:i w:val="0"/>
          <w:sz w:val="21"/>
        </w:rPr>
        <w:t>Created features joined by pipeline_week_start; leaky same-week values excluded; lagged versions (mkt_generated_lag4, etc.) used in models</w:t>
      </w:r>
    </w:p>
    <w:p>
      <w:pPr>
        <w:spacing w:before="240" w:after="80"/>
      </w:pPr>
      <w:r>
        <w:rPr>
          <w:rFonts w:ascii="Calibri" w:hAnsi="Calibri"/>
          <w:b/>
          <w:i w:val="0"/>
          <w:color w:val="2E75B6"/>
          <w:sz w:val="24"/>
        </w:rPr>
        <w:t>4.2 Complete V9 Feature Taxonomy (36 LGB Features)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F497D"/>
          </w:tcPr>
          <w:p>
            <w:pPr>
              <w:jc w:val="center"/>
            </w:pPr>
            <w:r>
              <w:rPr>
                <w:rFonts w:ascii="Calibri" w:hAnsi="Calibri"/>
                <w:b/>
                <w:i w:val="0"/>
                <w:color w:val="FFFFFF"/>
                <w:sz w:val="20"/>
              </w:rPr>
              <w:t>Feature Group</w:t>
            </w:r>
          </w:p>
        </w:tc>
        <w:tc>
          <w:tcPr>
            <w:tcW w:type="dxa" w:w="6048"/>
            <w:shd w:val="clear" w:color="auto" w:fill="1F497D"/>
          </w:tcPr>
          <w:p>
            <w:pPr>
              <w:jc w:val="center"/>
            </w:pPr>
            <w:r>
              <w:rPr>
                <w:rFonts w:ascii="Calibri" w:hAnsi="Calibri"/>
                <w:b/>
                <w:i w:val="0"/>
                <w:color w:val="FFFFFF"/>
                <w:sz w:val="20"/>
              </w:rPr>
              <w:t>Features</w:t>
            </w:r>
          </w:p>
        </w:tc>
        <w:tc>
          <w:tcPr>
            <w:tcW w:type="dxa" w:w="1728"/>
            <w:shd w:val="clear" w:color="auto" w:fill="1F497D"/>
          </w:tcPr>
          <w:p>
            <w:pPr>
              <w:jc w:val="center"/>
            </w:pPr>
            <w:r>
              <w:rPr>
                <w:rFonts w:ascii="Calibri" w:hAnsi="Calibri"/>
                <w:b/>
                <w:i w:val="0"/>
                <w:color w:val="FFFFFF"/>
                <w:sz w:val="20"/>
              </w:rPr>
              <w:t>Lag Safety</w:t>
            </w:r>
          </w:p>
        </w:tc>
      </w:tr>
      <w:tr>
        <w:tc>
          <w:tcPr>
            <w:tcW w:type="dxa" w:w="2592"/>
            <w:shd w:val="clear" w:color="auto" w:fill="F0F5FA"/>
          </w:tcPr>
          <w:p>
            <w:r>
              <w:rPr>
                <w:rFonts w:ascii="Calibri" w:hAnsi="Calibri"/>
                <w:b w:val="0"/>
                <w:i w:val="0"/>
                <w:sz w:val="20"/>
              </w:rPr>
              <w:t>Calendar / Cyclical</w:t>
            </w:r>
          </w:p>
        </w:tc>
        <w:tc>
          <w:tcPr>
            <w:tcW w:type="dxa" w:w="6048"/>
            <w:shd w:val="clear" w:color="auto" w:fill="F0F5FA"/>
          </w:tcPr>
          <w:p>
            <w:r>
              <w:rPr>
                <w:rFonts w:ascii="Calibri" w:hAnsi="Calibri"/>
                <w:b w:val="0"/>
                <w:i w:val="0"/>
                <w:sz w:val="20"/>
              </w:rPr>
              <w:t>week_of_qtr, quarter_end_flag, is_q4, q4_week_countdown, woq_sin, woq_cos, qtr_sin, qtr_cos</w:t>
            </w:r>
          </w:p>
        </w:tc>
        <w:tc>
          <w:tcPr>
            <w:tcW w:type="dxa" w:w="1728"/>
            <w:shd w:val="clear" w:color="auto" w:fill="F0F5FA"/>
          </w:tcPr>
          <w:p>
            <w:r>
              <w:rPr>
                <w:rFonts w:ascii="Calibri" w:hAnsi="Calibri"/>
                <w:b w:val="0"/>
                <w:i w:val="0"/>
                <w:sz w:val="20"/>
              </w:rPr>
              <w:t>Safe (calendar)</w:t>
            </w:r>
          </w:p>
        </w:tc>
      </w:tr>
      <w:tr>
        <w:tc>
          <w:tcPr>
            <w:tcW w:type="dxa" w:w="2592"/>
            <w:shd w:val="clear" w:color="auto" w:fill="FFFFFF"/>
          </w:tcPr>
          <w:p>
            <w:r>
              <w:rPr>
                <w:rFonts w:ascii="Calibri" w:hAnsi="Calibri"/>
                <w:b w:val="0"/>
                <w:i w:val="0"/>
                <w:sz w:val="20"/>
              </w:rPr>
              <w:t>Target Lags</w:t>
            </w:r>
          </w:p>
        </w:tc>
        <w:tc>
          <w:tcPr>
            <w:tcW w:type="dxa" w:w="6048"/>
            <w:shd w:val="clear" w:color="auto" w:fill="FFFFFF"/>
          </w:tcPr>
          <w:p>
            <w:r>
              <w:rPr>
                <w:rFonts w:ascii="Calibri" w:hAnsi="Calibri"/>
                <w:b w:val="0"/>
                <w:i w:val="0"/>
                <w:sz w:val="20"/>
              </w:rPr>
              <w:t>y_lag1, y_lag4, y_lag8, y_lag13, y_lag26, y_lag52</w:t>
            </w:r>
          </w:p>
        </w:tc>
        <w:tc>
          <w:tcPr>
            <w:tcW w:type="dxa" w:w="1728"/>
            <w:shd w:val="clear" w:color="auto" w:fill="FFFFFF"/>
          </w:tcPr>
          <w:p>
            <w:r>
              <w:rPr>
                <w:rFonts w:ascii="Calibri" w:hAnsi="Calibri"/>
                <w:b w:val="0"/>
                <w:i w:val="0"/>
                <w:sz w:val="20"/>
              </w:rPr>
              <w:t>Safe (all lagged ≥1w)</w:t>
            </w:r>
          </w:p>
        </w:tc>
      </w:tr>
      <w:tr>
        <w:tc>
          <w:tcPr>
            <w:tcW w:type="dxa" w:w="2592"/>
            <w:shd w:val="clear" w:color="auto" w:fill="F0F5FA"/>
          </w:tcPr>
          <w:p>
            <w:r>
              <w:rPr>
                <w:rFonts w:ascii="Calibri" w:hAnsi="Calibri"/>
                <w:b w:val="0"/>
                <w:i w:val="0"/>
                <w:sz w:val="20"/>
              </w:rPr>
              <w:t>Rolling Stats</w:t>
            </w:r>
          </w:p>
        </w:tc>
        <w:tc>
          <w:tcPr>
            <w:tcW w:type="dxa" w:w="6048"/>
            <w:shd w:val="clear" w:color="auto" w:fill="F0F5FA"/>
          </w:tcPr>
          <w:p>
            <w:r>
              <w:rPr>
                <w:rFonts w:ascii="Calibri" w:hAnsi="Calibri"/>
                <w:b w:val="0"/>
                <w:i w:val="0"/>
                <w:sz w:val="20"/>
              </w:rPr>
              <w:t>r4w, rolling_vol_4w, rolling_vol_13w, yoy_growth, qoq_momentum</w:t>
            </w:r>
          </w:p>
        </w:tc>
        <w:tc>
          <w:tcPr>
            <w:tcW w:type="dxa" w:w="1728"/>
            <w:shd w:val="clear" w:color="auto" w:fill="F0F5FA"/>
          </w:tcPr>
          <w:p>
            <w:r>
              <w:rPr>
                <w:rFonts w:ascii="Calibri" w:hAnsi="Calibri"/>
                <w:b w:val="0"/>
                <w:i w:val="0"/>
                <w:sz w:val="20"/>
              </w:rPr>
              <w:t>Safe (shift(1) applied)</w:t>
            </w:r>
          </w:p>
        </w:tc>
      </w:tr>
      <w:tr>
        <w:tc>
          <w:tcPr>
            <w:tcW w:type="dxa" w:w="2592"/>
            <w:shd w:val="clear" w:color="auto" w:fill="FFFFFF"/>
          </w:tcPr>
          <w:p>
            <w:r>
              <w:rPr>
                <w:rFonts w:ascii="Calibri" w:hAnsi="Calibri"/>
                <w:b w:val="0"/>
                <w:i w:val="0"/>
                <w:sz w:val="20"/>
              </w:rPr>
              <w:t>Pipeline / Activity</w:t>
            </w:r>
          </w:p>
        </w:tc>
        <w:tc>
          <w:tcPr>
            <w:tcW w:type="dxa" w:w="6048"/>
            <w:shd w:val="clear" w:color="auto" w:fill="FFFFFF"/>
          </w:tcPr>
          <w:p>
            <w:r>
              <w:rPr>
                <w:rFonts w:ascii="Calibri" w:hAnsi="Calibri"/>
                <w:b w:val="0"/>
                <w:i w:val="0"/>
                <w:sz w:val="20"/>
              </w:rPr>
              <w:t>created_lag4, created_lag5, pipeline_velocity_lag4, avg_dials_lag4, avg_touches_lag4, push_ctr_lag1</w:t>
            </w:r>
          </w:p>
        </w:tc>
        <w:tc>
          <w:tcPr>
            <w:tcW w:type="dxa" w:w="1728"/>
            <w:shd w:val="clear" w:color="auto" w:fill="FFFFFF"/>
          </w:tcPr>
          <w:p>
            <w:r>
              <w:rPr>
                <w:rFonts w:ascii="Calibri" w:hAnsi="Calibri"/>
                <w:b w:val="0"/>
                <w:i w:val="0"/>
                <w:sz w:val="20"/>
              </w:rPr>
              <w:t>Safe (4w+)</w:t>
            </w:r>
          </w:p>
        </w:tc>
      </w:tr>
      <w:tr>
        <w:tc>
          <w:tcPr>
            <w:tcW w:type="dxa" w:w="2592"/>
            <w:shd w:val="clear" w:color="auto" w:fill="F0F5FA"/>
          </w:tcPr>
          <w:p>
            <w:r>
              <w:rPr>
                <w:rFonts w:ascii="Calibri" w:hAnsi="Calibri"/>
                <w:b w:val="0"/>
                <w:i w:val="0"/>
                <w:sz w:val="20"/>
              </w:rPr>
              <w:t>Headcount / Capacity</w:t>
            </w:r>
          </w:p>
        </w:tc>
        <w:tc>
          <w:tcPr>
            <w:tcW w:type="dxa" w:w="6048"/>
            <w:shd w:val="clear" w:color="auto" w:fill="F0F5FA"/>
          </w:tcPr>
          <w:p>
            <w:r>
              <w:rPr>
                <w:rFonts w:ascii="Calibri" w:hAnsi="Calibri"/>
                <w:b w:val="0"/>
                <w:i w:val="0"/>
                <w:sz w:val="20"/>
              </w:rPr>
              <w:t>headcount_lag4, sales_rep_ramp_ratio, avg_opportunity_age, deal_size_lag1, sales_cycle_lag1</w:t>
            </w:r>
          </w:p>
        </w:tc>
        <w:tc>
          <w:tcPr>
            <w:tcW w:type="dxa" w:w="1728"/>
            <w:shd w:val="clear" w:color="auto" w:fill="F0F5FA"/>
          </w:tcPr>
          <w:p>
            <w:r>
              <w:rPr>
                <w:rFonts w:ascii="Calibri" w:hAnsi="Calibri"/>
                <w:b w:val="0"/>
                <w:i w:val="0"/>
                <w:sz w:val="20"/>
              </w:rPr>
              <w:t>Safe (4w lag + ramp)</w:t>
            </w:r>
          </w:p>
        </w:tc>
      </w:tr>
      <w:tr>
        <w:tc>
          <w:tcPr>
            <w:tcW w:type="dxa" w:w="2592"/>
            <w:shd w:val="clear" w:color="auto" w:fill="FFFFFF"/>
          </w:tcPr>
          <w:p>
            <w:r>
              <w:rPr>
                <w:rFonts w:ascii="Calibri" w:hAnsi="Calibri"/>
                <w:b w:val="0"/>
                <w:i w:val="0"/>
                <w:sz w:val="20"/>
              </w:rPr>
              <w:t>MC / Plan</w:t>
            </w:r>
          </w:p>
        </w:tc>
        <w:tc>
          <w:tcPr>
            <w:tcW w:type="dxa" w:w="6048"/>
            <w:shd w:val="clear" w:color="auto" w:fill="FFFFFF"/>
          </w:tcPr>
          <w:p>
            <w:r>
              <w:rPr>
                <w:rFonts w:ascii="Calibri" w:hAnsi="Calibri"/>
                <w:b w:val="0"/>
                <w:i w:val="0"/>
                <w:sz w:val="20"/>
              </w:rPr>
              <w:t>mc_actuals_lag4, mkt_opened_lag4, miradore_lag4, plan_gap_lag1, partner_pipe_lag4</w:t>
            </w:r>
          </w:p>
        </w:tc>
        <w:tc>
          <w:tcPr>
            <w:tcW w:type="dxa" w:w="1728"/>
            <w:shd w:val="clear" w:color="auto" w:fill="FFFFFF"/>
          </w:tcPr>
          <w:p>
            <w:r>
              <w:rPr>
                <w:rFonts w:ascii="Calibri" w:hAnsi="Calibri"/>
                <w:b w:val="0"/>
                <w:i w:val="0"/>
                <w:sz w:val="20"/>
              </w:rPr>
              <w:t>Safe (1–4w lag)</w:t>
            </w:r>
          </w:p>
        </w:tc>
      </w:tr>
      <w:tr>
        <w:tc>
          <w:tcPr>
            <w:tcW w:type="dxa" w:w="2592"/>
            <w:shd w:val="clear" w:color="auto" w:fill="F0F5FA"/>
          </w:tcPr>
          <w:p>
            <w:r>
              <w:rPr>
                <w:rFonts w:ascii="Calibri" w:hAnsi="Calibri"/>
                <w:b w:val="0"/>
                <w:i w:val="0"/>
                <w:sz w:val="20"/>
              </w:rPr>
              <w:t>Marketing</w:t>
            </w:r>
          </w:p>
        </w:tc>
        <w:tc>
          <w:tcPr>
            <w:tcW w:type="dxa" w:w="6048"/>
            <w:shd w:val="clear" w:color="auto" w:fill="F0F5FA"/>
          </w:tcPr>
          <w:p>
            <w:r>
              <w:rPr>
                <w:rFonts w:ascii="Calibri" w:hAnsi="Calibri"/>
                <w:b w:val="0"/>
                <w:i w:val="0"/>
                <w:sz w:val="20"/>
              </w:rPr>
              <w:t>mkt_generated_lag4, mkt_influenced_lag4</w:t>
            </w:r>
          </w:p>
        </w:tc>
        <w:tc>
          <w:tcPr>
            <w:tcW w:type="dxa" w:w="1728"/>
            <w:shd w:val="clear" w:color="auto" w:fill="F0F5FA"/>
          </w:tcPr>
          <w:p>
            <w:r>
              <w:rPr>
                <w:rFonts w:ascii="Calibri" w:hAnsi="Calibri"/>
                <w:b w:val="0"/>
                <w:i w:val="0"/>
                <w:sz w:val="20"/>
              </w:rPr>
              <w:t>Safe (4w lag)</w:t>
            </w:r>
          </w:p>
        </w:tc>
      </w:tr>
      <w:tr>
        <w:tc>
          <w:tcPr>
            <w:tcW w:type="dxa" w:w="2592"/>
            <w:shd w:val="clear" w:color="auto" w:fill="FFFFFF"/>
          </w:tcPr>
          <w:p>
            <w:r>
              <w:rPr>
                <w:rFonts w:ascii="Calibri" w:hAnsi="Calibri"/>
                <w:b w:val="0"/>
                <w:i w:val="0"/>
                <w:sz w:val="20"/>
              </w:rPr>
              <w:t>Win Rate</w:t>
            </w:r>
          </w:p>
        </w:tc>
        <w:tc>
          <w:tcPr>
            <w:tcW w:type="dxa" w:w="6048"/>
            <w:shd w:val="clear" w:color="auto" w:fill="FFFFFF"/>
          </w:tcPr>
          <w:p>
            <w:r>
              <w:rPr>
                <w:rFonts w:ascii="Calibri" w:hAnsi="Calibri"/>
                <w:b w:val="0"/>
                <w:i w:val="0"/>
                <w:sz w:val="20"/>
              </w:rPr>
              <w:t>win_rate_woq</w:t>
            </w:r>
          </w:p>
        </w:tc>
        <w:tc>
          <w:tcPr>
            <w:tcW w:type="dxa" w:w="1728"/>
            <w:shd w:val="clear" w:color="auto" w:fill="FFFFFF"/>
          </w:tcPr>
          <w:p>
            <w:r>
              <w:rPr>
                <w:rFonts w:ascii="Calibri" w:hAnsi="Calibri"/>
                <w:b w:val="0"/>
                <w:i w:val="0"/>
                <w:sz w:val="20"/>
              </w:rPr>
              <w:t>Safe (rolling lagged)</w:t>
            </w:r>
          </w:p>
        </w:tc>
      </w:tr>
      <w:tr>
        <w:tc>
          <w:tcPr>
            <w:tcW w:type="dxa" w:w="2592"/>
            <w:shd w:val="clear" w:color="auto" w:fill="F0F5FA"/>
          </w:tcPr>
          <w:p>
            <w:r>
              <w:rPr>
                <w:rFonts w:ascii="Calibri" w:hAnsi="Calibri"/>
                <w:b w:val="0"/>
                <w:i w:val="0"/>
                <w:sz w:val="20"/>
              </w:rPr>
              <w:t>Holidays</w:t>
            </w:r>
          </w:p>
        </w:tc>
        <w:tc>
          <w:tcPr>
            <w:tcW w:type="dxa" w:w="6048"/>
            <w:shd w:val="clear" w:color="auto" w:fill="F0F5FA"/>
          </w:tcPr>
          <w:p>
            <w:r>
              <w:rPr>
                <w:rFonts w:ascii="Calibri" w:hAnsi="Calibri"/>
                <w:b w:val="0"/>
                <w:i w:val="0"/>
                <w:sz w:val="20"/>
              </w:rPr>
              <w:t>us_holiday, region_holiday (NEW V9)</w:t>
            </w:r>
          </w:p>
        </w:tc>
        <w:tc>
          <w:tcPr>
            <w:tcW w:type="dxa" w:w="1728"/>
            <w:shd w:val="clear" w:color="auto" w:fill="F0F5FA"/>
          </w:tcPr>
          <w:p>
            <w:r>
              <w:rPr>
                <w:rFonts w:ascii="Calibri" w:hAnsi="Calibri"/>
                <w:b w:val="0"/>
                <w:i w:val="0"/>
                <w:sz w:val="20"/>
              </w:rPr>
              <w:t>Safe (calendar)</w:t>
            </w:r>
          </w:p>
        </w:tc>
      </w:tr>
      <w:tr>
        <w:tc>
          <w:tcPr>
            <w:tcW w:type="dxa" w:w="2592"/>
            <w:shd w:val="clear" w:color="auto" w:fill="FFFFFF"/>
          </w:tcPr>
          <w:p>
            <w:r>
              <w:rPr>
                <w:rFonts w:ascii="Calibri" w:hAnsi="Calibri"/>
                <w:b w:val="0"/>
                <w:i w:val="0"/>
                <w:sz w:val="20"/>
              </w:rPr>
              <w:t>Market</w:t>
            </w:r>
          </w:p>
        </w:tc>
        <w:tc>
          <w:tcPr>
            <w:tcW w:type="dxa" w:w="6048"/>
            <w:shd w:val="clear" w:color="auto" w:fill="FFFFFF"/>
          </w:tcPr>
          <w:p>
            <w:r>
              <w:rPr>
                <w:rFonts w:ascii="Calibri" w:hAnsi="Calibri"/>
                <w:b w:val="0"/>
                <w:i w:val="0"/>
                <w:sz w:val="20"/>
              </w:rPr>
              <w:t>sales_market (categorical)</w:t>
            </w:r>
          </w:p>
        </w:tc>
        <w:tc>
          <w:tcPr>
            <w:tcW w:type="dxa" w:w="1728"/>
            <w:shd w:val="clear" w:color="auto" w:fill="FFFFFF"/>
          </w:tcPr>
          <w:p>
            <w:r>
              <w:rPr>
                <w:rFonts w:ascii="Calibri" w:hAnsi="Calibri"/>
                <w:b w:val="0"/>
                <w:i w:val="0"/>
                <w:sz w:val="20"/>
              </w:rPr>
              <w:t>Safe (slice key)</w:t>
            </w:r>
          </w:p>
        </w:tc>
      </w:tr>
    </w:tbl>
    <w:p/>
    <w:p>
      <w:pPr>
        <w:spacing w:before="240" w:after="80"/>
      </w:pPr>
      <w:r>
        <w:rPr>
          <w:rFonts w:ascii="Calibri" w:hAnsi="Calibri"/>
          <w:b/>
          <w:i w:val="0"/>
          <w:color w:val="2E75B6"/>
          <w:sz w:val="24"/>
        </w:rPr>
        <w:t>4.3 New V9 Feature Deep Dives</w:t>
      </w:r>
    </w:p>
    <w:p>
      <w:pPr>
        <w:spacing w:before="160" w:after="40"/>
      </w:pPr>
      <w:r>
        <w:rPr>
          <w:rFonts w:ascii="Calibri" w:hAnsi="Calibri"/>
          <w:b/>
          <w:i/>
          <w:color w:val="000000"/>
          <w:sz w:val="22"/>
        </w:rPr>
        <w:t>sales_rep_ramp_ratio</w:t>
      </w:r>
    </w:p>
    <w:p>
      <w:pPr>
        <w:spacing w:after="80"/>
        <w:ind w:left="360"/>
      </w:pPr>
      <w:r>
        <w:rPr>
          <w:rFonts w:ascii="Calibri" w:hAnsi="Calibri"/>
          <w:b w:val="0"/>
          <w:i w:val="0"/>
          <w:sz w:val="21"/>
        </w:rPr>
        <w:t>Captures the fraction of headcount that is newly hired (within the last 26 weeks). New reps have lower productivity during ramp — this feature allows the model to discount headcount-based revenue estimates when a large portion of the team is ramping.</w:t>
      </w:r>
    </w:p>
    <w:p>
      <w:pPr>
        <w:spacing w:after="120"/>
        <w:ind w:left="432"/>
        <w:shd w:val="clear" w:color="auto" w:fill="F2F2F2"/>
      </w:pPr>
      <w:r>
        <w:rPr>
          <w:rFonts w:ascii="Courier New" w:hAnsi="Courier New"/>
          <w:color w:val="1A1A1A"/>
          <w:sz w:val="18"/>
        </w:rPr>
        <w:t>net_adds = df.groupby('slice_id')['headcount'].diff().clip(lower=0).fillna(0.0)</w:t>
        <w:br/>
        <w:t>recent_adds = net_adds.groupby(df['slice_id']).transform(lambda s: s.rolling(26, min_periods=1).sum())</w:t>
        <w:br/>
        <w:t>df['sales_rep_ramp_ratio'] = (recent_adds / df['headcount'].replace(0, np.nan)).clip(0.0, 1.0).fillna(0.0)</w:t>
      </w:r>
    </w:p>
    <w:p>
      <w:pPr>
        <w:spacing w:before="160" w:after="40"/>
      </w:pPr>
      <w:r>
        <w:rPr>
          <w:rFonts w:ascii="Calibri" w:hAnsi="Calibri"/>
          <w:b/>
          <w:i/>
          <w:color w:val="000000"/>
          <w:sz w:val="22"/>
        </w:rPr>
        <w:t>plan_gap_lag1</w:t>
      </w:r>
    </w:p>
    <w:p>
      <w:pPr>
        <w:spacing w:after="80"/>
        <w:ind w:left="360"/>
      </w:pPr>
      <w:r>
        <w:rPr>
          <w:rFonts w:ascii="Calibri" w:hAnsi="Calibri"/>
          <w:b w:val="0"/>
          <w:i w:val="0"/>
          <w:sz w:val="21"/>
        </w:rPr>
        <w:t>(Magna Carta actuals - Miradore plan) lagged 1 week. When actuals exceed plan (positive gap), reps are on quota trajectory and may close faster. When below plan (negative gap), managers accelerate pipeline push. Both directions have predictable revenue effects.</w:t>
      </w:r>
    </w:p>
    <w:p>
      <w:pPr>
        <w:spacing w:before="160" w:after="40"/>
      </w:pPr>
      <w:r>
        <w:rPr>
          <w:rFonts w:ascii="Calibri" w:hAnsi="Calibri"/>
          <w:b/>
          <w:i/>
          <w:color w:val="000000"/>
          <w:sz w:val="22"/>
        </w:rPr>
        <w:t>add_monthly_mc_scale() — Calibration Layer</w:t>
      </w:r>
    </w:p>
    <w:p>
      <w:pPr>
        <w:spacing w:after="80"/>
        <w:ind w:left="360"/>
      </w:pPr>
      <w:r>
        <w:rPr>
          <w:rFonts w:ascii="Calibri" w:hAnsi="Calibri"/>
          <w:b w:val="0"/>
          <w:i w:val="0"/>
          <w:sz w:val="21"/>
        </w:rPr>
        <w:t>The month-level MC scale factor is the most impactful V9 addition. Prophet ML systematically under-predicts Q-end months and over-predicts Q-start months in EMEA and APAC. The MC calibration layer corrects this by learning the historical Prophet-to-actuals ratio by (slice_id, month_num), creating prophet_ml_mc_scaled as a calibrated baseline feature for LGB. The expanding().median() computation correctly avoids future leakage.</w:t>
      </w:r>
    </w:p>
    <w:p>
      <w:pPr>
        <w:spacing w:before="240" w:after="80"/>
      </w:pPr>
      <w:r>
        <w:rPr>
          <w:rFonts w:ascii="Calibri" w:hAnsi="Calibri"/>
          <w:b/>
          <w:i w:val="0"/>
          <w:color w:val="2E75B6"/>
          <w:sz w:val="24"/>
        </w:rPr>
        <w:t>4.4 Future Panel Imputation — build_profile_lookup()</w:t>
      </w:r>
    </w:p>
    <w:p>
      <w:pPr>
        <w:spacing w:after="120"/>
      </w:pPr>
      <w:r>
        <w:rPr>
          <w:rFonts w:ascii="Calibri" w:hAnsi="Calibri"/>
          <w:b w:val="0"/>
          <w:i w:val="0"/>
          <w:sz w:val="21"/>
        </w:rPr>
        <w:t>For production forward forecasts, features like created_arr, headcount, avg_deal_size, and avg_sales_cycle are not available for future weeks. V8 used global medians. V9 uses build_profile_lookup() to fill from week-of-quarter median profiles per slice_id. This is architecturally superior because Q-end weeks have systematically different deal sizes and pipeline velocities — a global median misrepresents both Q1 week-1 and Q4 week-13.</w:t>
      </w:r>
    </w:p>
    <w:p>
      <w:pPr>
        <w:spacing w:after="120"/>
        <w:ind w:left="432"/>
        <w:shd w:val="clear" w:color="auto" w:fill="F2F2F2"/>
      </w:pPr>
      <w:r>
        <w:rPr>
          <w:rFonts w:ascii="Courier New" w:hAnsi="Courier New"/>
          <w:color w:val="1A1A1A"/>
          <w:sz w:val="18"/>
        </w:rPr>
        <w:t>def build_profile_lookup(train_panel, col, lookback_weeks=104):</w:t>
        <w:br/>
        <w:t xml:space="preserve">    tail = train_panel.sort_values('ds').groupby('slice_id').tail(min(lookback_weeks, ...))</w:t>
        <w:br/>
        <w:t xml:space="preserve">    profile = tail.groupby(['slice_id', 'week_of_qtr'])[col].median().to_dict()</w:t>
        <w:br/>
        <w:t xml:space="preserve">    slice_default = tail.groupby('slice_id')[col].median().to_dict()</w:t>
        <w:br/>
        <w:t xml:space="preserve">    global_default = float(tail[col].median())</w:t>
        <w:br/>
        <w:t xml:space="preserve">    return profile, slice_default, global_default</w:t>
      </w:r>
    </w:p>
    <w:p>
      <w:r>
        <w:br w:type="page"/>
      </w:r>
    </w:p>
    <w:p>
      <w:pPr>
        <w:spacing w:before="360" w:after="120"/>
        <w:pBdr>
          <w:bottom w:val="single" w:sz="6" w:space="1" w:color="1F497D"/>
        </w:pBdr>
      </w:pPr>
      <w:r>
        <w:rPr>
          <w:rFonts w:ascii="Calibri" w:hAnsi="Calibri"/>
          <w:b/>
          <w:i w:val="0"/>
          <w:color w:val="1F497D"/>
          <w:sz w:val="30"/>
        </w:rPr>
        <w:t>Section 5: Ensemble and Hierarchical Reconciliation</w:t>
      </w:r>
    </w:p>
    <w:p>
      <w:pPr>
        <w:spacing w:before="240" w:after="80"/>
      </w:pPr>
      <w:r>
        <w:rPr>
          <w:rFonts w:ascii="Calibri" w:hAnsi="Calibri"/>
          <w:b/>
          <w:i w:val="0"/>
          <w:color w:val="2E75B6"/>
          <w:sz w:val="24"/>
        </w:rPr>
        <w:t>5.1 Granger-Ramanathan Ensemble (Confirmed V8+V9)</w:t>
      </w:r>
    </w:p>
    <w:p>
      <w:pPr>
        <w:spacing w:after="80"/>
      </w:pPr>
      <w:r>
        <w:rPr>
          <w:rFonts w:ascii="Calibri" w:hAnsi="Calibri"/>
          <w:b w:val="0"/>
          <w:i w:val="0"/>
          <w:sz w:val="21"/>
        </w:rPr>
        <w:t>The GR ensemble minimizes ex-post forecast error variance by solving a quadratic optimization over the covariance matrix of cross-validated forecast errors. V9 inherits this from V8:</w:t>
      </w:r>
    </w:p>
    <w:p>
      <w:pPr>
        <w:spacing w:after="120"/>
        <w:ind w:left="432"/>
        <w:shd w:val="clear" w:color="auto" w:fill="F2F2F2"/>
      </w:pPr>
      <w:r>
        <w:rPr>
          <w:rFonts w:ascii="Courier New" w:hAnsi="Courier New"/>
          <w:color w:val="1A1A1A"/>
          <w:sz w:val="18"/>
        </w:rPr>
        <w:t># GR ensemble weights from CV error covariance</w:t>
        <w:br/>
        <w:t>error_matrix = ... # shape (n_folds * horizon, n_models)</w:t>
        <w:br/>
        <w:t>C = np.cov(error_matrix.T) + np.linalg.pinv(error_matrix.T @ error_matrix) * lambda_reg</w:t>
        <w:br/>
        <w:t>ones = np.ones(n_models)</w:t>
        <w:br/>
        <w:t>w_raw = np.linalg.solve(C, ones)</w:t>
        <w:br/>
        <w:t>weights = w_raw / w_raw.sum()  # normalize to sum=1</w:t>
      </w:r>
    </w:p>
    <w:p>
      <w:pPr>
        <w:pStyle w:val="ListBullet"/>
        <w:spacing w:after="40"/>
        <w:ind w:left="360"/>
      </w:pPr>
      <w:r>
        <w:rPr>
          <w:rFonts w:ascii="Calibri" w:hAnsi="Calibri"/>
          <w:b/>
          <w:i w:val="0"/>
          <w:color w:val="2E75B6"/>
          <w:sz w:val="21"/>
        </w:rPr>
        <w:t xml:space="preserve">Advantage over equal-weight: </w:t>
      </w:r>
      <w:r>
        <w:rPr>
          <w:rFonts w:ascii="Calibri" w:hAnsi="Calibri"/>
          <w:b w:val="0"/>
          <w:i w:val="0"/>
          <w:sz w:val="21"/>
        </w:rPr>
        <w:t>GR accounts for model correlation — if ETS and MSTL move together, GR down-weights one and up-weights the more decorrelated DHR/LGB.</w:t>
      </w:r>
    </w:p>
    <w:p>
      <w:pPr>
        <w:pStyle w:val="ListBullet"/>
        <w:spacing w:after="40"/>
        <w:ind w:left="360"/>
      </w:pPr>
      <w:r>
        <w:rPr>
          <w:rFonts w:ascii="Calibri" w:hAnsi="Calibri"/>
          <w:b/>
          <w:i w:val="0"/>
          <w:color w:val="2E75B6"/>
          <w:sz w:val="21"/>
        </w:rPr>
        <w:t xml:space="preserve">Regularization: </w:t>
      </w:r>
      <w:r>
        <w:rPr>
          <w:rFonts w:ascii="Calibri" w:hAnsi="Calibri"/>
          <w:b w:val="0"/>
          <w:i w:val="0"/>
          <w:sz w:val="21"/>
        </w:rPr>
        <w:t>pinv() provides robustness when the covariance matrix is near-singular (common with 8 folds × 5 models).</w:t>
      </w:r>
    </w:p>
    <w:p>
      <w:pPr>
        <w:pStyle w:val="ListBullet"/>
        <w:spacing w:after="40"/>
        <w:ind w:left="360"/>
      </w:pPr>
      <w:r>
        <w:rPr>
          <w:rFonts w:ascii="Calibri" w:hAnsi="Calibri"/>
          <w:b/>
          <w:i w:val="0"/>
          <w:color w:val="2E75B6"/>
          <w:sz w:val="21"/>
        </w:rPr>
        <w:t xml:space="preserve">Recommendation: </w:t>
      </w:r>
      <w:r>
        <w:rPr>
          <w:rFonts w:ascii="Calibri" w:hAnsi="Calibri"/>
          <w:b w:val="0"/>
          <w:i w:val="0"/>
          <w:sz w:val="21"/>
        </w:rPr>
        <w:t>Log ensemble weights to MLflow each run. A sudden weight shift (e.g., LGB drops from 0.45 to 0.12) is a model degradation signal.</w:t>
      </w:r>
    </w:p>
    <w:p>
      <w:pPr>
        <w:spacing w:before="240" w:after="80"/>
      </w:pPr>
      <w:r>
        <w:rPr>
          <w:rFonts w:ascii="Calibri" w:hAnsi="Calibri"/>
          <w:b/>
          <w:i w:val="0"/>
          <w:color w:val="2E75B6"/>
          <w:sz w:val="24"/>
        </w:rPr>
        <w:t>5.2 MinT Hierarchical Reconciliation (Confirmed V8+V9)</w:t>
      </w:r>
    </w:p>
    <w:p>
      <w:pPr>
        <w:spacing w:after="80"/>
      </w:pPr>
      <w:r>
        <w:rPr>
          <w:rFonts w:ascii="Calibri" w:hAnsi="Calibri"/>
          <w:b w:val="0"/>
          <w:i w:val="0"/>
          <w:sz w:val="21"/>
        </w:rPr>
        <w:t>MinT (Minimum Trace) reconciliation projects individual market forecasts onto the coherent subspace defined by the summing constraint total = sum(markets), using the estimated forecast error covariance to minimize total variance in the reconciled forecasts:</w:t>
      </w:r>
    </w:p>
    <w:p>
      <w:pPr>
        <w:spacing w:after="120"/>
        <w:ind w:left="432"/>
        <w:shd w:val="clear" w:color="auto" w:fill="F2F2F2"/>
      </w:pPr>
      <w:r>
        <w:rPr>
          <w:rFonts w:ascii="Courier New" w:hAnsi="Courier New"/>
          <w:color w:val="1A1A1A"/>
          <w:sz w:val="18"/>
        </w:rPr>
        <w:t>def mint_reconcile(top_value, market_values, covariance):</w:t>
        <w:br/>
        <w:t xml:space="preserve">    S = np.vstack([np.ones(len(bottom)), np.eye(len(bottom))])  # summing matrix</w:t>
        <w:br/>
        <w:t xml:space="preserve">    yhat = np.concatenate([[top_value], market_values])</w:t>
        <w:br/>
        <w:t xml:space="preserve">    inv_w = np.linalg.pinv(covariance)</w:t>
        <w:br/>
        <w:t xml:space="preserve">    G = np.linalg.pinv(S.T @ inv_w @ S) @ S.T @ inv_w</w:t>
        <w:br/>
        <w:t xml:space="preserve">    reconciled = S @ (G @ yhat)</w:t>
        <w:br/>
        <w:t xml:space="preserve">    return reconciled[0], reconciled[1:]  # reconciled total, reconciled markets</w:t>
      </w:r>
    </w:p>
    <w:p>
      <w:pPr>
        <w:pStyle w:val="ListBullet"/>
        <w:spacing w:after="40"/>
        <w:ind w:left="360"/>
      </w:pPr>
      <w:r>
        <w:rPr>
          <w:rFonts w:ascii="Calibri" w:hAnsi="Calibri"/>
          <w:b/>
          <w:i w:val="0"/>
          <w:color w:val="2E75B6"/>
          <w:sz w:val="21"/>
        </w:rPr>
        <w:t xml:space="preserve">estimate_mint_covariances(): </w:t>
      </w:r>
      <w:r>
        <w:rPr>
          <w:rFonts w:ascii="Calibri" w:hAnsi="Calibri"/>
          <w:b w:val="0"/>
          <w:i w:val="0"/>
          <w:sz w:val="21"/>
        </w:rPr>
        <w:t>Computes per-model covariance from CV residuals for both total and bottom-level forecasts. Falls back to empirical variance if insufficient CV data.</w:t>
      </w:r>
    </w:p>
    <w:p>
      <w:pPr>
        <w:pStyle w:val="ListBullet"/>
        <w:spacing w:after="40"/>
        <w:ind w:left="360"/>
      </w:pPr>
      <w:r>
        <w:rPr>
          <w:rFonts w:ascii="Calibri" w:hAnsi="Calibri"/>
          <w:b/>
          <w:i w:val="0"/>
          <w:color w:val="2E75B6"/>
          <w:sz w:val="21"/>
        </w:rPr>
        <w:t xml:space="preserve">Benefit: </w:t>
      </w:r>
      <w:r>
        <w:rPr>
          <w:rFonts w:ascii="Calibri" w:hAnsi="Calibri"/>
          <w:b w:val="0"/>
          <w:i w:val="0"/>
          <w:sz w:val="21"/>
        </w:rPr>
        <w:t>Without MinT, DHR market-level forecasts summed to a different total than the MSTL total forecast. MinT resolves this inconsistency systematically.</w:t>
      </w:r>
    </w:p>
    <w:p>
      <w:pPr>
        <w:pStyle w:val="ListBullet"/>
        <w:spacing w:after="40"/>
        <w:ind w:left="360"/>
      </w:pPr>
      <w:r>
        <w:rPr>
          <w:rFonts w:ascii="Calibri" w:hAnsi="Calibri"/>
          <w:b/>
          <w:i w:val="0"/>
          <w:color w:val="2E75B6"/>
          <w:sz w:val="21"/>
        </w:rPr>
        <w:t xml:space="preserve">Production path: </w:t>
      </w:r>
      <w:r>
        <w:rPr>
          <w:rFonts w:ascii="Calibri" w:hAnsi="Calibri"/>
          <w:b w:val="0"/>
          <w:i w:val="0"/>
          <w:sz w:val="21"/>
        </w:rPr>
        <w:t>MSTL/ETS/Prophet generate total-level → MinT allocates to markets. DHR generates market-level → summed to total. LGB generates market-level natively. All paths reconciled via MinT before ensemble.</w:t>
      </w:r>
    </w:p>
    <w:p>
      <w:pPr>
        <w:spacing w:before="240" w:after="80"/>
      </w:pPr>
      <w:r>
        <w:rPr>
          <w:rFonts w:ascii="Calibri" w:hAnsi="Calibri"/>
          <w:b/>
          <w:i w:val="0"/>
          <w:color w:val="2E75B6"/>
          <w:sz w:val="24"/>
        </w:rPr>
        <w:t>5.3 Adaptive Ensemble as Production Output</w:t>
      </w:r>
    </w:p>
    <w:p>
      <w:pPr>
        <w:spacing w:after="80"/>
      </w:pPr>
      <w:r>
        <w:rPr>
          <w:rFonts w:ascii="Calibri" w:hAnsi="Calibri"/>
          <w:b w:val="0"/>
          <w:i w:val="0"/>
          <w:sz w:val="21"/>
        </w:rPr>
        <w:t>The Adaptive_Ensemble is the recommended production model. It combines retained models (typically 4–5 of the 5 available) using GR weights computed from 8-fold walk-forward CV errors, then applies MinT to ensure market-level coherence. The result is written as the Most_Likely (P50), Worst_Case (P10), Best_Case (P90) triplet.</w:t>
      </w:r>
    </w:p>
    <w:p>
      <w:r>
        <w:br w:type="page"/>
      </w:r>
    </w:p>
    <w:p>
      <w:pPr>
        <w:spacing w:before="360" w:after="120"/>
        <w:pBdr>
          <w:bottom w:val="single" w:sz="6" w:space="1" w:color="1F497D"/>
        </w:pBdr>
      </w:pPr>
      <w:r>
        <w:rPr>
          <w:rFonts w:ascii="Calibri" w:hAnsi="Calibri"/>
          <w:b/>
          <w:i w:val="0"/>
          <w:color w:val="1F497D"/>
          <w:sz w:val="30"/>
        </w:rPr>
        <w:t>Section 6: Forecast Evaluation Framework</w:t>
      </w:r>
    </w:p>
    <w:p>
      <w:pPr>
        <w:spacing w:before="240" w:after="80"/>
      </w:pPr>
      <w:r>
        <w:rPr>
          <w:rFonts w:ascii="Calibri" w:hAnsi="Calibri"/>
          <w:b/>
          <w:i w:val="0"/>
          <w:color w:val="2E75B6"/>
          <w:sz w:val="24"/>
        </w:rPr>
        <w:t>6.1 Metrics Suite</w:t>
      </w:r>
    </w:p>
    <w:tbl>
      <w:tblPr>
        <w:tblStyle w:val="TableGrid"/>
        <w:tblW w:type="auto" w:w="0"/>
        <w:tblLook w:firstColumn="1" w:firstRow="1" w:lastColumn="0" w:lastRow="0" w:noHBand="0" w:noVBand="1" w:val="04A0"/>
      </w:tblPr>
      <w:tblGrid>
        <w:gridCol w:w="2268"/>
        <w:gridCol w:w="2268"/>
        <w:gridCol w:w="2268"/>
        <w:gridCol w:w="2268"/>
      </w:tblGrid>
      <w:tr>
        <w:tc>
          <w:tcPr>
            <w:tcW w:type="dxa" w:w="1440"/>
            <w:shd w:val="clear" w:color="auto" w:fill="1F497D"/>
          </w:tcPr>
          <w:p>
            <w:pPr>
              <w:jc w:val="center"/>
            </w:pPr>
            <w:r>
              <w:rPr>
                <w:rFonts w:ascii="Calibri" w:hAnsi="Calibri"/>
                <w:b/>
                <w:i w:val="0"/>
                <w:color w:val="FFFFFF"/>
                <w:sz w:val="20"/>
              </w:rPr>
              <w:t>Metric</w:t>
            </w:r>
          </w:p>
        </w:tc>
        <w:tc>
          <w:tcPr>
            <w:tcW w:type="dxa" w:w="3456"/>
            <w:shd w:val="clear" w:color="auto" w:fill="1F497D"/>
          </w:tcPr>
          <w:p>
            <w:pPr>
              <w:jc w:val="center"/>
            </w:pPr>
            <w:r>
              <w:rPr>
                <w:rFonts w:ascii="Calibri" w:hAnsi="Calibri"/>
                <w:b/>
                <w:i w:val="0"/>
                <w:color w:val="FFFFFF"/>
                <w:sz w:val="20"/>
              </w:rPr>
              <w:t>Formula</w:t>
            </w:r>
          </w:p>
        </w:tc>
        <w:tc>
          <w:tcPr>
            <w:tcW w:type="dxa" w:w="2160"/>
            <w:shd w:val="clear" w:color="auto" w:fill="1F497D"/>
          </w:tcPr>
          <w:p>
            <w:pPr>
              <w:jc w:val="center"/>
            </w:pPr>
            <w:r>
              <w:rPr>
                <w:rFonts w:ascii="Calibri" w:hAnsi="Calibri"/>
                <w:b/>
                <w:i w:val="0"/>
                <w:color w:val="FFFFFF"/>
                <w:sz w:val="20"/>
              </w:rPr>
              <w:t>Computed In</w:t>
            </w:r>
          </w:p>
        </w:tc>
        <w:tc>
          <w:tcPr>
            <w:tcW w:type="dxa" w:w="3312"/>
            <w:shd w:val="clear" w:color="auto" w:fill="1F497D"/>
          </w:tcPr>
          <w:p>
            <w:pPr>
              <w:jc w:val="center"/>
            </w:pPr>
            <w:r>
              <w:rPr>
                <w:rFonts w:ascii="Calibri" w:hAnsi="Calibri"/>
                <w:b/>
                <w:i w:val="0"/>
                <w:color w:val="FFFFFF"/>
                <w:sz w:val="20"/>
              </w:rPr>
              <w:t>Use</w:t>
            </w:r>
          </w:p>
        </w:tc>
      </w:tr>
      <w:tr>
        <w:tc>
          <w:tcPr>
            <w:tcW w:type="dxa" w:w="1440"/>
            <w:shd w:val="clear" w:color="auto" w:fill="F0F5FA"/>
          </w:tcPr>
          <w:p>
            <w:r>
              <w:rPr>
                <w:rFonts w:ascii="Calibri" w:hAnsi="Calibri"/>
                <w:b w:val="0"/>
                <w:i w:val="0"/>
                <w:sz w:val="20"/>
              </w:rPr>
              <w:t>WAPE</w:t>
            </w:r>
          </w:p>
        </w:tc>
        <w:tc>
          <w:tcPr>
            <w:tcW w:type="dxa" w:w="3456"/>
            <w:shd w:val="clear" w:color="auto" w:fill="F0F5FA"/>
          </w:tcPr>
          <w:p>
            <w:r>
              <w:rPr>
                <w:rFonts w:ascii="Calibri" w:hAnsi="Calibri"/>
                <w:b w:val="0"/>
                <w:i w:val="0"/>
                <w:sz w:val="20"/>
              </w:rPr>
              <w:t>sum|A-F| / sum|A| × 100</w:t>
            </w:r>
          </w:p>
        </w:tc>
        <w:tc>
          <w:tcPr>
            <w:tcW w:type="dxa" w:w="2160"/>
            <w:shd w:val="clear" w:color="auto" w:fill="F0F5FA"/>
          </w:tcPr>
          <w:p>
            <w:r>
              <w:rPr>
                <w:rFonts w:ascii="Calibri" w:hAnsi="Calibri"/>
                <w:b w:val="0"/>
                <w:i w:val="0"/>
                <w:sz w:val="20"/>
              </w:rPr>
              <w:t>All CV folds + holdout</w:t>
            </w:r>
          </w:p>
        </w:tc>
        <w:tc>
          <w:tcPr>
            <w:tcW w:type="dxa" w:w="3312"/>
            <w:shd w:val="clear" w:color="auto" w:fill="F0F5FA"/>
          </w:tcPr>
          <w:p>
            <w:r>
              <w:rPr>
                <w:rFonts w:ascii="Calibri" w:hAnsi="Calibri"/>
                <w:b w:val="0"/>
                <w:i w:val="0"/>
                <w:sz w:val="20"/>
              </w:rPr>
              <w:t>Primary aggregate accuracy — robust to zero actuals</w:t>
            </w:r>
          </w:p>
        </w:tc>
      </w:tr>
      <w:tr>
        <w:tc>
          <w:tcPr>
            <w:tcW w:type="dxa" w:w="1440"/>
            <w:shd w:val="clear" w:color="auto" w:fill="FFFFFF"/>
          </w:tcPr>
          <w:p>
            <w:r>
              <w:rPr>
                <w:rFonts w:ascii="Calibri" w:hAnsi="Calibri"/>
                <w:b w:val="0"/>
                <w:i w:val="0"/>
                <w:sz w:val="20"/>
              </w:rPr>
              <w:t>MAPE</w:t>
            </w:r>
          </w:p>
        </w:tc>
        <w:tc>
          <w:tcPr>
            <w:tcW w:type="dxa" w:w="3456"/>
            <w:shd w:val="clear" w:color="auto" w:fill="FFFFFF"/>
          </w:tcPr>
          <w:p>
            <w:r>
              <w:rPr>
                <w:rFonts w:ascii="Calibri" w:hAnsi="Calibri"/>
                <w:b w:val="0"/>
                <w:i w:val="0"/>
                <w:sz w:val="20"/>
              </w:rPr>
              <w:t>mean(|A-F|/|A|) × 100</w:t>
            </w:r>
          </w:p>
        </w:tc>
        <w:tc>
          <w:tcPr>
            <w:tcW w:type="dxa" w:w="2160"/>
            <w:shd w:val="clear" w:color="auto" w:fill="FFFFFF"/>
          </w:tcPr>
          <w:p>
            <w:r>
              <w:rPr>
                <w:rFonts w:ascii="Calibri" w:hAnsi="Calibri"/>
                <w:b w:val="0"/>
                <w:i w:val="0"/>
                <w:sz w:val="20"/>
              </w:rPr>
              <w:t>All CV folds + holdout</w:t>
            </w:r>
          </w:p>
        </w:tc>
        <w:tc>
          <w:tcPr>
            <w:tcW w:type="dxa" w:w="3312"/>
            <w:shd w:val="clear" w:color="auto" w:fill="FFFFFF"/>
          </w:tcPr>
          <w:p>
            <w:r>
              <w:rPr>
                <w:rFonts w:ascii="Calibri" w:hAnsi="Calibri"/>
                <w:b w:val="0"/>
                <w:i w:val="0"/>
                <w:sz w:val="20"/>
              </w:rPr>
              <w:t>Per-week fairness — used for model ranking</w:t>
            </w:r>
          </w:p>
        </w:tc>
      </w:tr>
      <w:tr>
        <w:tc>
          <w:tcPr>
            <w:tcW w:type="dxa" w:w="1440"/>
            <w:shd w:val="clear" w:color="auto" w:fill="F0F5FA"/>
          </w:tcPr>
          <w:p>
            <w:r>
              <w:rPr>
                <w:rFonts w:ascii="Calibri" w:hAnsi="Calibri"/>
                <w:b w:val="0"/>
                <w:i w:val="0"/>
                <w:sz w:val="20"/>
              </w:rPr>
              <w:t>MPE</w:t>
            </w:r>
          </w:p>
        </w:tc>
        <w:tc>
          <w:tcPr>
            <w:tcW w:type="dxa" w:w="3456"/>
            <w:shd w:val="clear" w:color="auto" w:fill="F0F5FA"/>
          </w:tcPr>
          <w:p>
            <w:r>
              <w:rPr>
                <w:rFonts w:ascii="Calibri" w:hAnsi="Calibri"/>
                <w:b w:val="0"/>
                <w:i w:val="0"/>
                <w:sz w:val="20"/>
              </w:rPr>
              <w:t>mean((F-A)/A) × 100</w:t>
            </w:r>
          </w:p>
        </w:tc>
        <w:tc>
          <w:tcPr>
            <w:tcW w:type="dxa" w:w="2160"/>
            <w:shd w:val="clear" w:color="auto" w:fill="F0F5FA"/>
          </w:tcPr>
          <w:p>
            <w:r>
              <w:rPr>
                <w:rFonts w:ascii="Calibri" w:hAnsi="Calibri"/>
                <w:b w:val="0"/>
                <w:i w:val="0"/>
                <w:sz w:val="20"/>
              </w:rPr>
              <w:t>All CV folds + holdout</w:t>
            </w:r>
          </w:p>
        </w:tc>
        <w:tc>
          <w:tcPr>
            <w:tcW w:type="dxa" w:w="3312"/>
            <w:shd w:val="clear" w:color="auto" w:fill="F0F5FA"/>
          </w:tcPr>
          <w:p>
            <w:r>
              <w:rPr>
                <w:rFonts w:ascii="Calibri" w:hAnsi="Calibri"/>
                <w:b w:val="0"/>
                <w:i w:val="0"/>
                <w:sz w:val="20"/>
              </w:rPr>
              <w:t>Signed bias detection — positive = over-forecast</w:t>
            </w:r>
          </w:p>
        </w:tc>
      </w:tr>
      <w:tr>
        <w:tc>
          <w:tcPr>
            <w:tcW w:type="dxa" w:w="1440"/>
            <w:shd w:val="clear" w:color="auto" w:fill="FFFFFF"/>
          </w:tcPr>
          <w:p>
            <w:r>
              <w:rPr>
                <w:rFonts w:ascii="Calibri" w:hAnsi="Calibri"/>
                <w:b w:val="0"/>
                <w:i w:val="0"/>
                <w:sz w:val="20"/>
              </w:rPr>
              <w:t>SMAPE</w:t>
            </w:r>
          </w:p>
        </w:tc>
        <w:tc>
          <w:tcPr>
            <w:tcW w:type="dxa" w:w="3456"/>
            <w:shd w:val="clear" w:color="auto" w:fill="FFFFFF"/>
          </w:tcPr>
          <w:p>
            <w:r>
              <w:rPr>
                <w:rFonts w:ascii="Calibri" w:hAnsi="Calibri"/>
                <w:b w:val="0"/>
                <w:i w:val="0"/>
                <w:sz w:val="20"/>
              </w:rPr>
              <w:t>mean(200|A-F|/(|A|+|F|))</w:t>
            </w:r>
          </w:p>
        </w:tc>
        <w:tc>
          <w:tcPr>
            <w:tcW w:type="dxa" w:w="2160"/>
            <w:shd w:val="clear" w:color="auto" w:fill="FFFFFF"/>
          </w:tcPr>
          <w:p>
            <w:r>
              <w:rPr>
                <w:rFonts w:ascii="Calibri" w:hAnsi="Calibri"/>
                <w:b w:val="0"/>
                <w:i w:val="0"/>
                <w:sz w:val="20"/>
              </w:rPr>
              <w:t>All CV folds + holdout</w:t>
            </w:r>
          </w:p>
        </w:tc>
        <w:tc>
          <w:tcPr>
            <w:tcW w:type="dxa" w:w="3312"/>
            <w:shd w:val="clear" w:color="auto" w:fill="FFFFFF"/>
          </w:tcPr>
          <w:p>
            <w:r>
              <w:rPr>
                <w:rFonts w:ascii="Calibri" w:hAnsi="Calibri"/>
                <w:b w:val="0"/>
                <w:i w:val="0"/>
                <w:sz w:val="20"/>
              </w:rPr>
              <w:t>Symmetric — handles near-zero better than MAPE</w:t>
            </w:r>
          </w:p>
        </w:tc>
      </w:tr>
      <w:tr>
        <w:tc>
          <w:tcPr>
            <w:tcW w:type="dxa" w:w="1440"/>
            <w:shd w:val="clear" w:color="auto" w:fill="F0F5FA"/>
          </w:tcPr>
          <w:p>
            <w:r>
              <w:rPr>
                <w:rFonts w:ascii="Calibri" w:hAnsi="Calibri"/>
                <w:b w:val="0"/>
                <w:i w:val="0"/>
                <w:sz w:val="20"/>
              </w:rPr>
              <w:t>RMSE</w:t>
            </w:r>
          </w:p>
        </w:tc>
        <w:tc>
          <w:tcPr>
            <w:tcW w:type="dxa" w:w="3456"/>
            <w:shd w:val="clear" w:color="auto" w:fill="F0F5FA"/>
          </w:tcPr>
          <w:p>
            <w:r>
              <w:rPr>
                <w:rFonts w:ascii="Calibri" w:hAnsi="Calibri"/>
                <w:b w:val="0"/>
                <w:i w:val="0"/>
                <w:sz w:val="20"/>
              </w:rPr>
              <w:t>sqrt(mean((A-F)^2))</w:t>
            </w:r>
          </w:p>
        </w:tc>
        <w:tc>
          <w:tcPr>
            <w:tcW w:type="dxa" w:w="2160"/>
            <w:shd w:val="clear" w:color="auto" w:fill="F0F5FA"/>
          </w:tcPr>
          <w:p>
            <w:r>
              <w:rPr>
                <w:rFonts w:ascii="Calibri" w:hAnsi="Calibri"/>
                <w:b w:val="0"/>
                <w:i w:val="0"/>
                <w:sz w:val="20"/>
              </w:rPr>
              <w:t>All CV folds + holdout</w:t>
            </w:r>
          </w:p>
        </w:tc>
        <w:tc>
          <w:tcPr>
            <w:tcW w:type="dxa" w:w="3312"/>
            <w:shd w:val="clear" w:color="auto" w:fill="F0F5FA"/>
          </w:tcPr>
          <w:p>
            <w:r>
              <w:rPr>
                <w:rFonts w:ascii="Calibri" w:hAnsi="Calibri"/>
                <w:b w:val="0"/>
                <w:i w:val="0"/>
                <w:sz w:val="20"/>
              </w:rPr>
              <w:t>Penalizes large errors — important for lumpy Q-end weeks</w:t>
            </w:r>
          </w:p>
        </w:tc>
      </w:tr>
      <w:tr>
        <w:tc>
          <w:tcPr>
            <w:tcW w:type="dxa" w:w="1440"/>
            <w:shd w:val="clear" w:color="auto" w:fill="FFFFFF"/>
          </w:tcPr>
          <w:p>
            <w:r>
              <w:rPr>
                <w:rFonts w:ascii="Calibri" w:hAnsi="Calibri"/>
                <w:b w:val="0"/>
                <w:i w:val="0"/>
                <w:sz w:val="20"/>
              </w:rPr>
              <w:t>CI Coverage</w:t>
            </w:r>
          </w:p>
        </w:tc>
        <w:tc>
          <w:tcPr>
            <w:tcW w:type="dxa" w:w="3456"/>
            <w:shd w:val="clear" w:color="auto" w:fill="FFFFFF"/>
          </w:tcPr>
          <w:p>
            <w:r>
              <w:rPr>
                <w:rFonts w:ascii="Calibri" w:hAnsi="Calibri"/>
                <w:b w:val="0"/>
                <w:i w:val="0"/>
                <w:sz w:val="20"/>
              </w:rPr>
              <w:t>pct weeks where A in [P10,P90]</w:t>
            </w:r>
          </w:p>
        </w:tc>
        <w:tc>
          <w:tcPr>
            <w:tcW w:type="dxa" w:w="2160"/>
            <w:shd w:val="clear" w:color="auto" w:fill="FFFFFF"/>
          </w:tcPr>
          <w:p>
            <w:r>
              <w:rPr>
                <w:rFonts w:ascii="Calibri" w:hAnsi="Calibri"/>
                <w:b w:val="0"/>
                <w:i w:val="0"/>
                <w:sz w:val="20"/>
              </w:rPr>
              <w:t>Holdout (LGB + ensemble)</w:t>
            </w:r>
          </w:p>
        </w:tc>
        <w:tc>
          <w:tcPr>
            <w:tcW w:type="dxa" w:w="3312"/>
            <w:shd w:val="clear" w:color="auto" w:fill="FFFFFF"/>
          </w:tcPr>
          <w:p>
            <w:r>
              <w:rPr>
                <w:rFonts w:ascii="Calibri" w:hAnsi="Calibri"/>
                <w:b w:val="0"/>
                <w:i w:val="0"/>
                <w:sz w:val="20"/>
              </w:rPr>
              <w:t>Calibration quality — target 80% for 80% interval</w:t>
            </w:r>
          </w:p>
        </w:tc>
      </w:tr>
      <w:tr>
        <w:tc>
          <w:tcPr>
            <w:tcW w:type="dxa" w:w="1440"/>
            <w:shd w:val="clear" w:color="auto" w:fill="F0F5FA"/>
          </w:tcPr>
          <w:p>
            <w:r>
              <w:rPr>
                <w:rFonts w:ascii="Calibri" w:hAnsi="Calibri"/>
                <w:b w:val="0"/>
                <w:i w:val="0"/>
                <w:sz w:val="20"/>
              </w:rPr>
              <w:t>std_wape / std_mape</w:t>
            </w:r>
          </w:p>
        </w:tc>
        <w:tc>
          <w:tcPr>
            <w:tcW w:type="dxa" w:w="3456"/>
            <w:shd w:val="clear" w:color="auto" w:fill="F0F5FA"/>
          </w:tcPr>
          <w:p>
            <w:r>
              <w:rPr>
                <w:rFonts w:ascii="Calibri" w:hAnsi="Calibri"/>
                <w:b w:val="0"/>
                <w:i w:val="0"/>
                <w:sz w:val="20"/>
              </w:rPr>
              <w:t>Cross-fold standard deviation</w:t>
            </w:r>
          </w:p>
        </w:tc>
        <w:tc>
          <w:tcPr>
            <w:tcW w:type="dxa" w:w="2160"/>
            <w:shd w:val="clear" w:color="auto" w:fill="F0F5FA"/>
          </w:tcPr>
          <w:p>
            <w:r>
              <w:rPr>
                <w:rFonts w:ascii="Calibri" w:hAnsi="Calibri"/>
                <w:b w:val="0"/>
                <w:i w:val="0"/>
                <w:sz w:val="20"/>
              </w:rPr>
              <w:t>CV summary</w:t>
            </w:r>
          </w:p>
        </w:tc>
        <w:tc>
          <w:tcPr>
            <w:tcW w:type="dxa" w:w="3312"/>
            <w:shd w:val="clear" w:color="auto" w:fill="F0F5FA"/>
          </w:tcPr>
          <w:p>
            <w:r>
              <w:rPr>
                <w:rFonts w:ascii="Calibri" w:hAnsi="Calibri"/>
                <w:b w:val="0"/>
                <w:i w:val="0"/>
                <w:sz w:val="20"/>
              </w:rPr>
              <w:t>Stability — low std indicates consistent model performance</w:t>
            </w:r>
          </w:p>
        </w:tc>
      </w:tr>
    </w:tbl>
    <w:p/>
    <w:p>
      <w:pPr>
        <w:spacing w:before="240" w:after="80"/>
      </w:pPr>
      <w:r>
        <w:rPr>
          <w:rFonts w:ascii="Calibri" w:hAnsi="Calibri"/>
          <w:b/>
          <w:i w:val="0"/>
          <w:color w:val="2E75B6"/>
          <w:sz w:val="24"/>
        </w:rPr>
        <w:t>6.2 Walk-Forward CV Design</w:t>
      </w:r>
    </w:p>
    <w:p>
      <w:pPr>
        <w:pStyle w:val="ListBullet"/>
        <w:spacing w:after="40"/>
        <w:ind w:left="360"/>
      </w:pPr>
      <w:r>
        <w:rPr>
          <w:rFonts w:ascii="Calibri" w:hAnsi="Calibri"/>
          <w:b/>
          <w:i w:val="0"/>
          <w:color w:val="2E75B6"/>
          <w:sz w:val="21"/>
        </w:rPr>
        <w:t xml:space="preserve">8 folds × 13 weeks: </w:t>
      </w:r>
      <w:r>
        <w:rPr>
          <w:rFonts w:ascii="Calibri" w:hAnsi="Calibri"/>
          <w:b w:val="0"/>
          <w:i w:val="0"/>
          <w:sz w:val="21"/>
        </w:rPr>
        <w:t>104-week total evaluation window. With ~170 observed weeks, this gives adequate training data (min ~60 weeks) while testing over 2+ years.</w:t>
      </w:r>
    </w:p>
    <w:p>
      <w:pPr>
        <w:pStyle w:val="ListBullet"/>
        <w:spacing w:after="40"/>
        <w:ind w:left="360"/>
      </w:pPr>
      <w:r>
        <w:rPr>
          <w:rFonts w:ascii="Calibri" w:hAnsi="Calibri"/>
          <w:b/>
          <w:i w:val="0"/>
          <w:color w:val="2E75B6"/>
          <w:sz w:val="21"/>
        </w:rPr>
        <w:t xml:space="preserve">Expanding window: </w:t>
      </w:r>
      <w:r>
        <w:rPr>
          <w:rFonts w:ascii="Calibri" w:hAnsi="Calibri"/>
          <w:b w:val="0"/>
          <w:i w:val="0"/>
          <w:sz w:val="21"/>
        </w:rPr>
        <w:t>Each fold adds 13 weeks to training — approximates production where all history is available at each run.</w:t>
      </w:r>
    </w:p>
    <w:p>
      <w:pPr>
        <w:pStyle w:val="ListBullet"/>
        <w:spacing w:after="40"/>
        <w:ind w:left="360"/>
      </w:pPr>
      <w:r>
        <w:rPr>
          <w:rFonts w:ascii="Calibri" w:hAnsi="Calibri"/>
          <w:b/>
          <w:i w:val="0"/>
          <w:color w:val="2E75B6"/>
          <w:sz w:val="21"/>
        </w:rPr>
        <w:t xml:space="preserve">Holdout window: </w:t>
      </w:r>
      <w:r>
        <w:rPr>
          <w:rFonts w:ascii="Calibri" w:hAnsi="Calibri"/>
          <w:b w:val="0"/>
          <w:i w:val="0"/>
          <w:sz w:val="21"/>
        </w:rPr>
        <w:t>BACKTEST_START = 2026-01-05 (Q1 2026 onward) provides a clean out-of-sample window for final model selection independent of CV.</w:t>
      </w:r>
    </w:p>
    <w:p>
      <w:pPr>
        <w:pStyle w:val="ListBullet"/>
        <w:spacing w:after="40"/>
        <w:ind w:left="360"/>
      </w:pPr>
      <w:r>
        <w:rPr>
          <w:rFonts w:ascii="Calibri" w:hAnsi="Calibri"/>
          <w:b/>
          <w:i w:val="0"/>
          <w:color w:val="2E75B6"/>
          <w:sz w:val="21"/>
        </w:rPr>
        <w:t xml:space="preserve">No data contamination: </w:t>
      </w:r>
      <w:r>
        <w:rPr>
          <w:rFonts w:ascii="Calibri" w:hAnsi="Calibri"/>
          <w:b w:val="0"/>
          <w:i w:val="0"/>
          <w:sz w:val="21"/>
        </w:rPr>
        <w:t>train_df &lt; BACKTEST_START, test_df &gt;= BACKTEST_START. The holdout window was never used during model development — it is a true final evaluation.</w:t>
      </w:r>
    </w:p>
    <w:p>
      <w:pPr>
        <w:spacing w:before="240" w:after="80"/>
      </w:pPr>
      <w:r>
        <w:rPr>
          <w:rFonts w:ascii="Calibri" w:hAnsi="Calibri"/>
          <w:b/>
          <w:i w:val="0"/>
          <w:color w:val="2E75B6"/>
          <w:sz w:val="24"/>
        </w:rPr>
        <w:t>6.3 CI Calibration</w:t>
      </w:r>
    </w:p>
    <w:p>
      <w:pPr>
        <w:spacing w:after="120"/>
      </w:pPr>
      <w:r>
        <w:rPr>
          <w:rFonts w:ascii="Calibri" w:hAnsi="Calibri"/>
          <w:b w:val="0"/>
          <w:i w:val="0"/>
          <w:sz w:val="21"/>
        </w:rPr>
        <w:t>V8/V9 tracks CI coverage (% of actuals falling within P10-P90 band) for the LGB model. An 80% PI should achieve ~80% coverage. Systematic under-coverage (e.g., 65%) indicates interval shrinkage — common with quantile regression on short series. Systematic over-coverage (95%+) indicates over-wide intervals that undermine business utility.</w:t>
      </w:r>
    </w:p>
    <w:p>
      <w:pPr>
        <w:spacing w:after="120"/>
      </w:pPr>
      <w:r>
        <w:rPr>
          <w:rFonts w:ascii="Calibri" w:hAnsi="Calibri"/>
          <w:b w:val="0"/>
          <w:i w:val="0"/>
          <w:sz w:val="21"/>
        </w:rPr>
        <w:t>V9 preserves the quantile crossing guard (p10 = min(p10, p50); p90 = max(p90, p50)) and enforces monotonicity of the interval bounds, which is a necessary condition for valid probabilistic forecasting.</w:t>
      </w:r>
    </w:p>
    <w:p>
      <w:pPr>
        <w:spacing w:before="240" w:after="80"/>
      </w:pPr>
      <w:r>
        <w:rPr>
          <w:rFonts w:ascii="Calibri" w:hAnsi="Calibri"/>
          <w:b/>
          <w:i w:val="0"/>
          <w:color w:val="2E75B6"/>
          <w:sz w:val="24"/>
        </w:rPr>
        <w:t>6.4 Recommended Enhancements (Future)</w:t>
      </w:r>
    </w:p>
    <w:p>
      <w:pPr>
        <w:pStyle w:val="ListBullet"/>
        <w:spacing w:after="40"/>
        <w:ind w:left="360"/>
      </w:pPr>
      <w:r>
        <w:rPr>
          <w:rFonts w:ascii="Calibri" w:hAnsi="Calibri"/>
          <w:b/>
          <w:i w:val="0"/>
          <w:color w:val="2E75B6"/>
          <w:sz w:val="21"/>
        </w:rPr>
        <w:t xml:space="preserve">Conformal prediction: </w:t>
      </w:r>
      <w:r>
        <w:rPr>
          <w:rFonts w:ascii="Calibri" w:hAnsi="Calibri"/>
          <w:b w:val="0"/>
          <w:i w:val="0"/>
          <w:sz w:val="21"/>
        </w:rPr>
        <w:t>Replace fixed-quantile LGB intervals with conformal prediction (split conformal or cross-conformal). Provides distribution-free coverage guarantee regardless of model misspecification.</w:t>
      </w:r>
    </w:p>
    <w:p>
      <w:pPr>
        <w:pStyle w:val="ListBullet"/>
        <w:spacing w:after="40"/>
        <w:ind w:left="360"/>
      </w:pPr>
      <w:r>
        <w:rPr>
          <w:rFonts w:ascii="Calibri" w:hAnsi="Calibri"/>
          <w:b/>
          <w:i w:val="0"/>
          <w:color w:val="2E75B6"/>
          <w:sz w:val="21"/>
        </w:rPr>
        <w:t xml:space="preserve">Interval sharpness score: </w:t>
      </w:r>
      <w:r>
        <w:rPr>
          <w:rFonts w:ascii="Calibri" w:hAnsi="Calibri"/>
          <w:b w:val="0"/>
          <w:i w:val="0"/>
          <w:sz w:val="21"/>
        </w:rPr>
        <w:t>Add Winkler Score or CRPS alongside coverage — a wide-interval model can achieve 80% coverage trivially. Sharpness measures whether the intervals are narrow enough to be useful.</w:t>
      </w:r>
    </w:p>
    <w:p>
      <w:pPr>
        <w:pStyle w:val="ListBullet"/>
        <w:spacing w:after="40"/>
        <w:ind w:left="360"/>
      </w:pPr>
      <w:r>
        <w:rPr>
          <w:rFonts w:ascii="Calibri" w:hAnsi="Calibri"/>
          <w:b/>
          <w:i w:val="0"/>
          <w:color w:val="2E75B6"/>
          <w:sz w:val="21"/>
        </w:rPr>
        <w:t xml:space="preserve">Rolling WAPE monitor: </w:t>
      </w:r>
      <w:r>
        <w:rPr>
          <w:rFonts w:ascii="Calibri" w:hAnsi="Calibri"/>
          <w:b w:val="0"/>
          <w:i w:val="0"/>
          <w:sz w:val="21"/>
        </w:rPr>
        <w:t>The monitoring table has rolling_4w_wape_alert_threshold. Wire this to a Databricks alert rule or Slack webhook to trigger human review when live WAPE exceeds threshold.</w:t>
      </w:r>
    </w:p>
    <w:p>
      <w:r>
        <w:br w:type="page"/>
      </w:r>
    </w:p>
    <w:p>
      <w:pPr>
        <w:spacing w:before="360" w:after="120"/>
        <w:pBdr>
          <w:bottom w:val="single" w:sz="6" w:space="1" w:color="1F497D"/>
        </w:pBdr>
      </w:pPr>
      <w:r>
        <w:rPr>
          <w:rFonts w:ascii="Calibri" w:hAnsi="Calibri"/>
          <w:b/>
          <w:i w:val="0"/>
          <w:color w:val="1F497D"/>
          <w:sz w:val="30"/>
        </w:rPr>
        <w:t>Section 7: Forecast Accuracy Improvement Roadmap</w:t>
      </w:r>
    </w:p>
    <w:p>
      <w:pPr>
        <w:spacing w:before="240" w:after="80"/>
      </w:pPr>
      <w:r>
        <w:rPr>
          <w:rFonts w:ascii="Calibri" w:hAnsi="Calibri"/>
          <w:b/>
          <w:i w:val="0"/>
          <w:color w:val="2E75B6"/>
          <w:sz w:val="24"/>
        </w:rPr>
        <w:t>7.1 Prioritized Improvement List</w:t>
      </w:r>
    </w:p>
    <w:tbl>
      <w:tblPr>
        <w:tblStyle w:val="TableGrid"/>
        <w:tblW w:type="auto" w:w="0"/>
        <w:tblLook w:firstColumn="1" w:firstRow="1" w:lastColumn="0" w:lastRow="0" w:noHBand="0" w:noVBand="1" w:val="04A0"/>
      </w:tblPr>
      <w:tblGrid>
        <w:gridCol w:w="2268"/>
        <w:gridCol w:w="2268"/>
        <w:gridCol w:w="2268"/>
        <w:gridCol w:w="2268"/>
      </w:tblGrid>
      <w:tr>
        <w:tc>
          <w:tcPr>
            <w:tcW w:type="dxa" w:w="1296"/>
            <w:shd w:val="clear" w:color="auto" w:fill="1F497D"/>
          </w:tcPr>
          <w:p>
            <w:pPr>
              <w:jc w:val="center"/>
            </w:pPr>
            <w:r>
              <w:rPr>
                <w:rFonts w:ascii="Calibri" w:hAnsi="Calibri"/>
                <w:b/>
                <w:i w:val="0"/>
                <w:color w:val="FFFFFF"/>
                <w:sz w:val="20"/>
              </w:rPr>
              <w:t>Priority</w:t>
            </w:r>
          </w:p>
        </w:tc>
        <w:tc>
          <w:tcPr>
            <w:tcW w:type="dxa" w:w="4032"/>
            <w:shd w:val="clear" w:color="auto" w:fill="1F497D"/>
          </w:tcPr>
          <w:p>
            <w:pPr>
              <w:jc w:val="center"/>
            </w:pPr>
            <w:r>
              <w:rPr>
                <w:rFonts w:ascii="Calibri" w:hAnsi="Calibri"/>
                <w:b/>
                <w:i w:val="0"/>
                <w:color w:val="FFFFFF"/>
                <w:sz w:val="20"/>
              </w:rPr>
              <w:t>Improvement</w:t>
            </w:r>
          </w:p>
        </w:tc>
        <w:tc>
          <w:tcPr>
            <w:tcW w:type="dxa" w:w="2880"/>
            <w:shd w:val="clear" w:color="auto" w:fill="1F497D"/>
          </w:tcPr>
          <w:p>
            <w:pPr>
              <w:jc w:val="center"/>
            </w:pPr>
            <w:r>
              <w:rPr>
                <w:rFonts w:ascii="Calibri" w:hAnsi="Calibri"/>
                <w:b/>
                <w:i w:val="0"/>
                <w:color w:val="FFFFFF"/>
                <w:sz w:val="20"/>
              </w:rPr>
              <w:t>Expected Impact</w:t>
            </w:r>
          </w:p>
        </w:tc>
        <w:tc>
          <w:tcPr>
            <w:tcW w:type="dxa" w:w="1584"/>
            <w:shd w:val="clear" w:color="auto" w:fill="1F497D"/>
          </w:tcPr>
          <w:p>
            <w:pPr>
              <w:jc w:val="center"/>
            </w:pPr>
            <w:r>
              <w:rPr>
                <w:rFonts w:ascii="Calibri" w:hAnsi="Calibri"/>
                <w:b/>
                <w:i w:val="0"/>
                <w:color w:val="FFFFFF"/>
                <w:sz w:val="20"/>
              </w:rPr>
              <w:t>Complexity</w:t>
            </w:r>
          </w:p>
        </w:tc>
      </w:tr>
      <w:tr>
        <w:tc>
          <w:tcPr>
            <w:tcW w:type="dxa" w:w="1296"/>
            <w:shd w:val="clear" w:color="auto" w:fill="F0F5FA"/>
          </w:tcPr>
          <w:p>
            <w:r>
              <w:rPr>
                <w:rFonts w:ascii="Calibri" w:hAnsi="Calibri"/>
                <w:b w:val="0"/>
                <w:i w:val="0"/>
                <w:sz w:val="20"/>
              </w:rPr>
              <w:t>P1 (Already Done V9)</w:t>
            </w:r>
          </w:p>
        </w:tc>
        <w:tc>
          <w:tcPr>
            <w:tcW w:type="dxa" w:w="4032"/>
            <w:shd w:val="clear" w:color="auto" w:fill="F0F5FA"/>
          </w:tcPr>
          <w:p>
            <w:r>
              <w:rPr>
                <w:rFonts w:ascii="Calibri" w:hAnsi="Calibri"/>
                <w:b w:val="0"/>
                <w:i w:val="0"/>
                <w:sz w:val="20"/>
              </w:rPr>
              <w:t>MC calibration scale factor (add_monthly_mc_scale)</w:t>
            </w:r>
          </w:p>
        </w:tc>
        <w:tc>
          <w:tcPr>
            <w:tcW w:type="dxa" w:w="2880"/>
            <w:shd w:val="clear" w:color="auto" w:fill="F0F5FA"/>
          </w:tcPr>
          <w:p>
            <w:r>
              <w:rPr>
                <w:rFonts w:ascii="Calibri" w:hAnsi="Calibri"/>
                <w:b w:val="0"/>
                <w:i w:val="0"/>
                <w:sz w:val="20"/>
              </w:rPr>
              <w:t>−3 to −5% WAPE bias reduction</w:t>
            </w:r>
          </w:p>
        </w:tc>
        <w:tc>
          <w:tcPr>
            <w:tcW w:type="dxa" w:w="1584"/>
            <w:shd w:val="clear" w:color="auto" w:fill="F0F5FA"/>
          </w:tcPr>
          <w:p>
            <w:r>
              <w:rPr>
                <w:rFonts w:ascii="Calibri" w:hAnsi="Calibri"/>
                <w:b w:val="0"/>
                <w:i w:val="0"/>
                <w:sz w:val="20"/>
              </w:rPr>
              <w:t>Done</w:t>
            </w:r>
          </w:p>
        </w:tc>
      </w:tr>
      <w:tr>
        <w:tc>
          <w:tcPr>
            <w:tcW w:type="dxa" w:w="1296"/>
            <w:shd w:val="clear" w:color="auto" w:fill="FFFFFF"/>
          </w:tcPr>
          <w:p>
            <w:r>
              <w:rPr>
                <w:rFonts w:ascii="Calibri" w:hAnsi="Calibri"/>
                <w:b w:val="0"/>
                <w:i w:val="0"/>
                <w:sz w:val="20"/>
              </w:rPr>
              <w:t>P1 (Already Done V9)</w:t>
            </w:r>
          </w:p>
        </w:tc>
        <w:tc>
          <w:tcPr>
            <w:tcW w:type="dxa" w:w="4032"/>
            <w:shd w:val="clear" w:color="auto" w:fill="FFFFFF"/>
          </w:tcPr>
          <w:p>
            <w:r>
              <w:rPr>
                <w:rFonts w:ascii="Calibri" w:hAnsi="Calibri"/>
                <w:b w:val="0"/>
                <w:i w:val="0"/>
                <w:sz w:val="20"/>
              </w:rPr>
              <w:t>sales_rep_ramp_ratio feature</w:t>
            </w:r>
          </w:p>
        </w:tc>
        <w:tc>
          <w:tcPr>
            <w:tcW w:type="dxa" w:w="2880"/>
            <w:shd w:val="clear" w:color="auto" w:fill="FFFFFF"/>
          </w:tcPr>
          <w:p>
            <w:r>
              <w:rPr>
                <w:rFonts w:ascii="Calibri" w:hAnsi="Calibri"/>
                <w:b w:val="0"/>
                <w:i w:val="0"/>
                <w:sz w:val="20"/>
              </w:rPr>
              <w:t>−1 to −2% WAPE on high-growth markets</w:t>
            </w:r>
          </w:p>
        </w:tc>
        <w:tc>
          <w:tcPr>
            <w:tcW w:type="dxa" w:w="1584"/>
            <w:shd w:val="clear" w:color="auto" w:fill="FFFFFF"/>
          </w:tcPr>
          <w:p>
            <w:r>
              <w:rPr>
                <w:rFonts w:ascii="Calibri" w:hAnsi="Calibri"/>
                <w:b w:val="0"/>
                <w:i w:val="0"/>
                <w:sz w:val="20"/>
              </w:rPr>
              <w:t>Done</w:t>
            </w:r>
          </w:p>
        </w:tc>
      </w:tr>
      <w:tr>
        <w:tc>
          <w:tcPr>
            <w:tcW w:type="dxa" w:w="1296"/>
            <w:shd w:val="clear" w:color="auto" w:fill="F0F5FA"/>
          </w:tcPr>
          <w:p>
            <w:r>
              <w:rPr>
                <w:rFonts w:ascii="Calibri" w:hAnsi="Calibri"/>
                <w:b w:val="0"/>
                <w:i w:val="0"/>
                <w:sz w:val="20"/>
              </w:rPr>
              <w:t>P1 (Already Done V9)</w:t>
            </w:r>
          </w:p>
        </w:tc>
        <w:tc>
          <w:tcPr>
            <w:tcW w:type="dxa" w:w="4032"/>
            <w:shd w:val="clear" w:color="auto" w:fill="F0F5FA"/>
          </w:tcPr>
          <w:p>
            <w:r>
              <w:rPr>
                <w:rFonts w:ascii="Calibri" w:hAnsi="Calibri"/>
                <w:b w:val="0"/>
                <w:i w:val="0"/>
                <w:sz w:val="20"/>
              </w:rPr>
              <w:t>Phase-stable Fourier terms in DHR</w:t>
            </w:r>
          </w:p>
        </w:tc>
        <w:tc>
          <w:tcPr>
            <w:tcW w:type="dxa" w:w="2880"/>
            <w:shd w:val="clear" w:color="auto" w:fill="F0F5FA"/>
          </w:tcPr>
          <w:p>
            <w:r>
              <w:rPr>
                <w:rFonts w:ascii="Calibri" w:hAnsi="Calibri"/>
                <w:b w:val="0"/>
                <w:i w:val="0"/>
                <w:sz w:val="20"/>
              </w:rPr>
              <w:t>Eliminates cross-fold Fourier phase bias</w:t>
            </w:r>
          </w:p>
        </w:tc>
        <w:tc>
          <w:tcPr>
            <w:tcW w:type="dxa" w:w="1584"/>
            <w:shd w:val="clear" w:color="auto" w:fill="F0F5FA"/>
          </w:tcPr>
          <w:p>
            <w:r>
              <w:rPr>
                <w:rFonts w:ascii="Calibri" w:hAnsi="Calibri"/>
                <w:b w:val="0"/>
                <w:i w:val="0"/>
                <w:sz w:val="20"/>
              </w:rPr>
              <w:t>Done</w:t>
            </w:r>
          </w:p>
        </w:tc>
      </w:tr>
      <w:tr>
        <w:tc>
          <w:tcPr>
            <w:tcW w:type="dxa" w:w="1296"/>
            <w:shd w:val="clear" w:color="auto" w:fill="FFFFFF"/>
          </w:tcPr>
          <w:p>
            <w:r>
              <w:rPr>
                <w:rFonts w:ascii="Calibri" w:hAnsi="Calibri"/>
                <w:b w:val="0"/>
                <w:i w:val="0"/>
                <w:sz w:val="20"/>
              </w:rPr>
              <w:t>P1 (Already Done V9)</w:t>
            </w:r>
          </w:p>
        </w:tc>
        <w:tc>
          <w:tcPr>
            <w:tcW w:type="dxa" w:w="4032"/>
            <w:shd w:val="clear" w:color="auto" w:fill="FFFFFF"/>
          </w:tcPr>
          <w:p>
            <w:r>
              <w:rPr>
                <w:rFonts w:ascii="Calibri" w:hAnsi="Calibri"/>
                <w:b w:val="0"/>
                <w:i w:val="0"/>
                <w:sz w:val="20"/>
              </w:rPr>
              <w:t>region_holiday per market</w:t>
            </w:r>
          </w:p>
        </w:tc>
        <w:tc>
          <w:tcPr>
            <w:tcW w:type="dxa" w:w="2880"/>
            <w:shd w:val="clear" w:color="auto" w:fill="FFFFFF"/>
          </w:tcPr>
          <w:p>
            <w:r>
              <w:rPr>
                <w:rFonts w:ascii="Calibri" w:hAnsi="Calibri"/>
                <w:b w:val="0"/>
                <w:i w:val="0"/>
                <w:sz w:val="20"/>
              </w:rPr>
              <w:t>−0.5 to −1% WAPE EMEA/APAC</w:t>
            </w:r>
          </w:p>
        </w:tc>
        <w:tc>
          <w:tcPr>
            <w:tcW w:type="dxa" w:w="1584"/>
            <w:shd w:val="clear" w:color="auto" w:fill="FFFFFF"/>
          </w:tcPr>
          <w:p>
            <w:r>
              <w:rPr>
                <w:rFonts w:ascii="Calibri" w:hAnsi="Calibri"/>
                <w:b w:val="0"/>
                <w:i w:val="0"/>
                <w:sz w:val="20"/>
              </w:rPr>
              <w:t>Done</w:t>
            </w:r>
          </w:p>
        </w:tc>
      </w:tr>
      <w:tr>
        <w:tc>
          <w:tcPr>
            <w:tcW w:type="dxa" w:w="1296"/>
            <w:shd w:val="clear" w:color="auto" w:fill="F0F5FA"/>
          </w:tcPr>
          <w:p>
            <w:r>
              <w:rPr>
                <w:rFonts w:ascii="Calibri" w:hAnsi="Calibri"/>
                <w:b w:val="0"/>
                <w:i w:val="0"/>
                <w:sz w:val="20"/>
              </w:rPr>
              <w:t>P1 (Already Done V9)</w:t>
            </w:r>
          </w:p>
        </w:tc>
        <w:tc>
          <w:tcPr>
            <w:tcW w:type="dxa" w:w="4032"/>
            <w:shd w:val="clear" w:color="auto" w:fill="F0F5FA"/>
          </w:tcPr>
          <w:p>
            <w:r>
              <w:rPr>
                <w:rFonts w:ascii="Calibri" w:hAnsi="Calibri"/>
                <w:b w:val="0"/>
                <w:i w:val="0"/>
                <w:sz w:val="20"/>
              </w:rPr>
              <w:t>plan_gap_lag1 + miradore_lag4</w:t>
            </w:r>
          </w:p>
        </w:tc>
        <w:tc>
          <w:tcPr>
            <w:tcW w:type="dxa" w:w="2880"/>
            <w:shd w:val="clear" w:color="auto" w:fill="F0F5FA"/>
          </w:tcPr>
          <w:p>
            <w:r>
              <w:rPr>
                <w:rFonts w:ascii="Calibri" w:hAnsi="Calibri"/>
                <w:b w:val="0"/>
                <w:i w:val="0"/>
                <w:sz w:val="20"/>
              </w:rPr>
              <w:t>−1 to −2% WAPE — quota trajectory signal</w:t>
            </w:r>
          </w:p>
        </w:tc>
        <w:tc>
          <w:tcPr>
            <w:tcW w:type="dxa" w:w="1584"/>
            <w:shd w:val="clear" w:color="auto" w:fill="F0F5FA"/>
          </w:tcPr>
          <w:p>
            <w:r>
              <w:rPr>
                <w:rFonts w:ascii="Calibri" w:hAnsi="Calibri"/>
                <w:b w:val="0"/>
                <w:i w:val="0"/>
                <w:sz w:val="20"/>
              </w:rPr>
              <w:t>Done</w:t>
            </w:r>
          </w:p>
        </w:tc>
      </w:tr>
      <w:tr>
        <w:tc>
          <w:tcPr>
            <w:tcW w:type="dxa" w:w="1296"/>
            <w:shd w:val="clear" w:color="auto" w:fill="FFFFFF"/>
          </w:tcPr>
          <w:p>
            <w:r>
              <w:rPr>
                <w:rFonts w:ascii="Calibri" w:hAnsi="Calibri"/>
                <w:b w:val="0"/>
                <w:i w:val="0"/>
                <w:sz w:val="20"/>
              </w:rPr>
              <w:t>P2 (Next Sprint)</w:t>
            </w:r>
          </w:p>
        </w:tc>
        <w:tc>
          <w:tcPr>
            <w:tcW w:type="dxa" w:w="4032"/>
            <w:shd w:val="clear" w:color="auto" w:fill="FFFFFF"/>
          </w:tcPr>
          <w:p>
            <w:r>
              <w:rPr>
                <w:rFonts w:ascii="Calibri" w:hAnsi="Calibri"/>
                <w:b w:val="0"/>
                <w:i w:val="0"/>
                <w:sz w:val="20"/>
              </w:rPr>
              <w:t>notebook_version = 'V9'</w:t>
            </w:r>
          </w:p>
        </w:tc>
        <w:tc>
          <w:tcPr>
            <w:tcW w:type="dxa" w:w="2880"/>
            <w:shd w:val="clear" w:color="auto" w:fill="FFFFFF"/>
          </w:tcPr>
          <w:p>
            <w:r>
              <w:rPr>
                <w:rFonts w:ascii="Calibri" w:hAnsi="Calibri"/>
                <w:b w:val="0"/>
                <w:i w:val="0"/>
                <w:sz w:val="20"/>
              </w:rPr>
              <w:t>Monitoring table accuracy</w:t>
            </w:r>
          </w:p>
        </w:tc>
        <w:tc>
          <w:tcPr>
            <w:tcW w:type="dxa" w:w="1584"/>
            <w:shd w:val="clear" w:color="auto" w:fill="FFFFFF"/>
          </w:tcPr>
          <w:p>
            <w:r>
              <w:rPr>
                <w:rFonts w:ascii="Calibri" w:hAnsi="Calibri"/>
                <w:b w:val="0"/>
                <w:i w:val="0"/>
                <w:sz w:val="20"/>
              </w:rPr>
              <w:t>Trivial</w:t>
            </w:r>
          </w:p>
        </w:tc>
      </w:tr>
      <w:tr>
        <w:tc>
          <w:tcPr>
            <w:tcW w:type="dxa" w:w="1296"/>
            <w:shd w:val="clear" w:color="auto" w:fill="F0F5FA"/>
          </w:tcPr>
          <w:p>
            <w:r>
              <w:rPr>
                <w:rFonts w:ascii="Calibri" w:hAnsi="Calibri"/>
                <w:b w:val="0"/>
                <w:i w:val="0"/>
                <w:sz w:val="20"/>
              </w:rPr>
              <w:t>P2 (Next Sprint)</w:t>
            </w:r>
          </w:p>
        </w:tc>
        <w:tc>
          <w:tcPr>
            <w:tcW w:type="dxa" w:w="4032"/>
            <w:shd w:val="clear" w:color="auto" w:fill="F0F5FA"/>
          </w:tcPr>
          <w:p>
            <w:r>
              <w:rPr>
                <w:rFonts w:ascii="Calibri" w:hAnsi="Calibri"/>
                <w:b w:val="0"/>
                <w:i w:val="0"/>
                <w:sz w:val="20"/>
              </w:rPr>
              <w:t>Log GR ensemble weights to MLflow</w:t>
            </w:r>
          </w:p>
        </w:tc>
        <w:tc>
          <w:tcPr>
            <w:tcW w:type="dxa" w:w="2880"/>
            <w:shd w:val="clear" w:color="auto" w:fill="F0F5FA"/>
          </w:tcPr>
          <w:p>
            <w:r>
              <w:rPr>
                <w:rFonts w:ascii="Calibri" w:hAnsi="Calibri"/>
                <w:b w:val="0"/>
                <w:i w:val="0"/>
                <w:sz w:val="20"/>
              </w:rPr>
              <w:t>Model governance / drift detection</w:t>
            </w:r>
          </w:p>
        </w:tc>
        <w:tc>
          <w:tcPr>
            <w:tcW w:type="dxa" w:w="1584"/>
            <w:shd w:val="clear" w:color="auto" w:fill="F0F5FA"/>
          </w:tcPr>
          <w:p>
            <w:r>
              <w:rPr>
                <w:rFonts w:ascii="Calibri" w:hAnsi="Calibri"/>
                <w:b w:val="0"/>
                <w:i w:val="0"/>
                <w:sz w:val="20"/>
              </w:rPr>
              <w:t>Low</w:t>
            </w:r>
          </w:p>
        </w:tc>
      </w:tr>
      <w:tr>
        <w:tc>
          <w:tcPr>
            <w:tcW w:type="dxa" w:w="1296"/>
            <w:shd w:val="clear" w:color="auto" w:fill="FFFFFF"/>
          </w:tcPr>
          <w:p>
            <w:r>
              <w:rPr>
                <w:rFonts w:ascii="Calibri" w:hAnsi="Calibri"/>
                <w:b w:val="0"/>
                <w:i w:val="0"/>
                <w:sz w:val="20"/>
              </w:rPr>
              <w:t>P2 (Next Sprint)</w:t>
            </w:r>
          </w:p>
        </w:tc>
        <w:tc>
          <w:tcPr>
            <w:tcW w:type="dxa" w:w="4032"/>
            <w:shd w:val="clear" w:color="auto" w:fill="FFFFFF"/>
          </w:tcPr>
          <w:p>
            <w:r>
              <w:rPr>
                <w:rFonts w:ascii="Calibri" w:hAnsi="Calibri"/>
                <w:b w:val="0"/>
                <w:i w:val="0"/>
                <w:sz w:val="20"/>
              </w:rPr>
              <w:t>Databricks Job definition</w:t>
            </w:r>
          </w:p>
        </w:tc>
        <w:tc>
          <w:tcPr>
            <w:tcW w:type="dxa" w:w="2880"/>
            <w:shd w:val="clear" w:color="auto" w:fill="FFFFFF"/>
          </w:tcPr>
          <w:p>
            <w:r>
              <w:rPr>
                <w:rFonts w:ascii="Calibri" w:hAnsi="Calibri"/>
                <w:b w:val="0"/>
                <w:i w:val="0"/>
                <w:sz w:val="20"/>
              </w:rPr>
              <w:t>Automated weekly execution</w:t>
            </w:r>
          </w:p>
        </w:tc>
        <w:tc>
          <w:tcPr>
            <w:tcW w:type="dxa" w:w="1584"/>
            <w:shd w:val="clear" w:color="auto" w:fill="FFFFFF"/>
          </w:tcPr>
          <w:p>
            <w:r>
              <w:rPr>
                <w:rFonts w:ascii="Calibri" w:hAnsi="Calibri"/>
                <w:b w:val="0"/>
                <w:i w:val="0"/>
                <w:sz w:val="20"/>
              </w:rPr>
              <w:t>Medium</w:t>
            </w:r>
          </w:p>
        </w:tc>
      </w:tr>
      <w:tr>
        <w:tc>
          <w:tcPr>
            <w:tcW w:type="dxa" w:w="1296"/>
            <w:shd w:val="clear" w:color="auto" w:fill="F0F5FA"/>
          </w:tcPr>
          <w:p>
            <w:r>
              <w:rPr>
                <w:rFonts w:ascii="Calibri" w:hAnsi="Calibri"/>
                <w:b w:val="0"/>
                <w:i w:val="0"/>
                <w:sz w:val="20"/>
              </w:rPr>
              <w:t>P2 (Next Sprint)</w:t>
            </w:r>
          </w:p>
        </w:tc>
        <w:tc>
          <w:tcPr>
            <w:tcW w:type="dxa" w:w="4032"/>
            <w:shd w:val="clear" w:color="auto" w:fill="F0F5FA"/>
          </w:tcPr>
          <w:p>
            <w:r>
              <w:rPr>
                <w:rFonts w:ascii="Calibri" w:hAnsi="Calibri"/>
                <w:b w:val="0"/>
                <w:i w:val="0"/>
                <w:sz w:val="20"/>
              </w:rPr>
              <w:t>mlflow.register_model() for LGB</w:t>
            </w:r>
          </w:p>
        </w:tc>
        <w:tc>
          <w:tcPr>
            <w:tcW w:type="dxa" w:w="2880"/>
            <w:shd w:val="clear" w:color="auto" w:fill="F0F5FA"/>
          </w:tcPr>
          <w:p>
            <w:r>
              <w:rPr>
                <w:rFonts w:ascii="Calibri" w:hAnsi="Calibri"/>
                <w:b w:val="0"/>
                <w:i w:val="0"/>
                <w:sz w:val="20"/>
              </w:rPr>
              <w:t>Champion/Challenger governance</w:t>
            </w:r>
          </w:p>
        </w:tc>
        <w:tc>
          <w:tcPr>
            <w:tcW w:type="dxa" w:w="1584"/>
            <w:shd w:val="clear" w:color="auto" w:fill="F0F5FA"/>
          </w:tcPr>
          <w:p>
            <w:r>
              <w:rPr>
                <w:rFonts w:ascii="Calibri" w:hAnsi="Calibri"/>
                <w:b w:val="0"/>
                <w:i w:val="0"/>
                <w:sz w:val="20"/>
              </w:rPr>
              <w:t>Low</w:t>
            </w:r>
          </w:p>
        </w:tc>
      </w:tr>
      <w:tr>
        <w:tc>
          <w:tcPr>
            <w:tcW w:type="dxa" w:w="1296"/>
            <w:shd w:val="clear" w:color="auto" w:fill="FFFFFF"/>
          </w:tcPr>
          <w:p>
            <w:r>
              <w:rPr>
                <w:rFonts w:ascii="Calibri" w:hAnsi="Calibri"/>
                <w:b w:val="0"/>
                <w:i w:val="0"/>
                <w:sz w:val="20"/>
              </w:rPr>
              <w:t>P3 (Future)</w:t>
            </w:r>
          </w:p>
        </w:tc>
        <w:tc>
          <w:tcPr>
            <w:tcW w:type="dxa" w:w="4032"/>
            <w:shd w:val="clear" w:color="auto" w:fill="FFFFFF"/>
          </w:tcPr>
          <w:p>
            <w:r>
              <w:rPr>
                <w:rFonts w:ascii="Calibri" w:hAnsi="Calibri"/>
                <w:b w:val="0"/>
                <w:i w:val="0"/>
                <w:sz w:val="20"/>
              </w:rPr>
              <w:t>Conformal prediction intervals</w:t>
            </w:r>
          </w:p>
        </w:tc>
        <w:tc>
          <w:tcPr>
            <w:tcW w:type="dxa" w:w="2880"/>
            <w:shd w:val="clear" w:color="auto" w:fill="FFFFFF"/>
          </w:tcPr>
          <w:p>
            <w:r>
              <w:rPr>
                <w:rFonts w:ascii="Calibri" w:hAnsi="Calibri"/>
                <w:b w:val="0"/>
                <w:i w:val="0"/>
                <w:sz w:val="20"/>
              </w:rPr>
              <w:t>Distribution-free 80% coverage guarantee</w:t>
            </w:r>
          </w:p>
        </w:tc>
        <w:tc>
          <w:tcPr>
            <w:tcW w:type="dxa" w:w="1584"/>
            <w:shd w:val="clear" w:color="auto" w:fill="FFFFFF"/>
          </w:tcPr>
          <w:p>
            <w:r>
              <w:rPr>
                <w:rFonts w:ascii="Calibri" w:hAnsi="Calibri"/>
                <w:b w:val="0"/>
                <w:i w:val="0"/>
                <w:sz w:val="20"/>
              </w:rPr>
              <w:t>Medium</w:t>
            </w:r>
          </w:p>
        </w:tc>
      </w:tr>
      <w:tr>
        <w:tc>
          <w:tcPr>
            <w:tcW w:type="dxa" w:w="1296"/>
            <w:shd w:val="clear" w:color="auto" w:fill="F0F5FA"/>
          </w:tcPr>
          <w:p>
            <w:r>
              <w:rPr>
                <w:rFonts w:ascii="Calibri" w:hAnsi="Calibri"/>
                <w:b w:val="0"/>
                <w:i w:val="0"/>
                <w:sz w:val="20"/>
              </w:rPr>
              <w:t>P3 (Future)</w:t>
            </w:r>
          </w:p>
        </w:tc>
        <w:tc>
          <w:tcPr>
            <w:tcW w:type="dxa" w:w="4032"/>
            <w:shd w:val="clear" w:color="auto" w:fill="F0F5FA"/>
          </w:tcPr>
          <w:p>
            <w:r>
              <w:rPr>
                <w:rFonts w:ascii="Calibri" w:hAnsi="Calibri"/>
                <w:b w:val="0"/>
                <w:i w:val="0"/>
                <w:sz w:val="20"/>
              </w:rPr>
              <w:t>Feature drift monitoring (PSI)</w:t>
            </w:r>
          </w:p>
        </w:tc>
        <w:tc>
          <w:tcPr>
            <w:tcW w:type="dxa" w:w="2880"/>
            <w:shd w:val="clear" w:color="auto" w:fill="F0F5FA"/>
          </w:tcPr>
          <w:p>
            <w:r>
              <w:rPr>
                <w:rFonts w:ascii="Calibri" w:hAnsi="Calibri"/>
                <w:b w:val="0"/>
                <w:i w:val="0"/>
                <w:sz w:val="20"/>
              </w:rPr>
              <w:t>Early warning of data quality degradation</w:t>
            </w:r>
          </w:p>
        </w:tc>
        <w:tc>
          <w:tcPr>
            <w:tcW w:type="dxa" w:w="1584"/>
            <w:shd w:val="clear" w:color="auto" w:fill="F0F5FA"/>
          </w:tcPr>
          <w:p>
            <w:r>
              <w:rPr>
                <w:rFonts w:ascii="Calibri" w:hAnsi="Calibri"/>
                <w:b w:val="0"/>
                <w:i w:val="0"/>
                <w:sz w:val="20"/>
              </w:rPr>
              <w:t>Medium</w:t>
            </w:r>
          </w:p>
        </w:tc>
      </w:tr>
      <w:tr>
        <w:tc>
          <w:tcPr>
            <w:tcW w:type="dxa" w:w="1296"/>
            <w:shd w:val="clear" w:color="auto" w:fill="FFFFFF"/>
          </w:tcPr>
          <w:p>
            <w:r>
              <w:rPr>
                <w:rFonts w:ascii="Calibri" w:hAnsi="Calibri"/>
                <w:b w:val="0"/>
                <w:i w:val="0"/>
                <w:sz w:val="20"/>
              </w:rPr>
              <w:t>P3 (Future)</w:t>
            </w:r>
          </w:p>
        </w:tc>
        <w:tc>
          <w:tcPr>
            <w:tcW w:type="dxa" w:w="4032"/>
            <w:shd w:val="clear" w:color="auto" w:fill="FFFFFF"/>
          </w:tcPr>
          <w:p>
            <w:r>
              <w:rPr>
                <w:rFonts w:ascii="Calibri" w:hAnsi="Calibri"/>
                <w:b w:val="0"/>
                <w:i w:val="0"/>
                <w:sz w:val="20"/>
              </w:rPr>
              <w:t>Winkler Score / CRPS metric</w:t>
            </w:r>
          </w:p>
        </w:tc>
        <w:tc>
          <w:tcPr>
            <w:tcW w:type="dxa" w:w="2880"/>
            <w:shd w:val="clear" w:color="auto" w:fill="FFFFFF"/>
          </w:tcPr>
          <w:p>
            <w:r>
              <w:rPr>
                <w:rFonts w:ascii="Calibri" w:hAnsi="Calibri"/>
                <w:b w:val="0"/>
                <w:i w:val="0"/>
                <w:sz w:val="20"/>
              </w:rPr>
              <w:t>Interval sharpness evaluation</w:t>
            </w:r>
          </w:p>
        </w:tc>
        <w:tc>
          <w:tcPr>
            <w:tcW w:type="dxa" w:w="1584"/>
            <w:shd w:val="clear" w:color="auto" w:fill="FFFFFF"/>
          </w:tcPr>
          <w:p>
            <w:r>
              <w:rPr>
                <w:rFonts w:ascii="Calibri" w:hAnsi="Calibri"/>
                <w:b w:val="0"/>
                <w:i w:val="0"/>
                <w:sz w:val="20"/>
              </w:rPr>
              <w:t>Low</w:t>
            </w:r>
          </w:p>
        </w:tc>
      </w:tr>
      <w:tr>
        <w:tc>
          <w:tcPr>
            <w:tcW w:type="dxa" w:w="1296"/>
            <w:shd w:val="clear" w:color="auto" w:fill="F0F5FA"/>
          </w:tcPr>
          <w:p>
            <w:r>
              <w:rPr>
                <w:rFonts w:ascii="Calibri" w:hAnsi="Calibri"/>
                <w:b w:val="0"/>
                <w:i w:val="0"/>
                <w:sz w:val="20"/>
              </w:rPr>
              <w:t>P4 (Research)</w:t>
            </w:r>
          </w:p>
        </w:tc>
        <w:tc>
          <w:tcPr>
            <w:tcW w:type="dxa" w:w="4032"/>
            <w:shd w:val="clear" w:color="auto" w:fill="F0F5FA"/>
          </w:tcPr>
          <w:p>
            <w:r>
              <w:rPr>
                <w:rFonts w:ascii="Calibri" w:hAnsi="Calibri"/>
                <w:b w:val="0"/>
                <w:i w:val="0"/>
                <w:sz w:val="20"/>
              </w:rPr>
              <w:t>Temporal Fusion Transformer (TFT)</w:t>
            </w:r>
          </w:p>
        </w:tc>
        <w:tc>
          <w:tcPr>
            <w:tcW w:type="dxa" w:w="2880"/>
            <w:shd w:val="clear" w:color="auto" w:fill="F0F5FA"/>
          </w:tcPr>
          <w:p>
            <w:r>
              <w:rPr>
                <w:rFonts w:ascii="Calibri" w:hAnsi="Calibri"/>
                <w:b w:val="0"/>
                <w:i w:val="0"/>
                <w:sz w:val="20"/>
              </w:rPr>
              <w:t>Potential −3 to −7% WAPE with 3+ years data</w:t>
            </w:r>
          </w:p>
        </w:tc>
        <w:tc>
          <w:tcPr>
            <w:tcW w:type="dxa" w:w="1584"/>
            <w:shd w:val="clear" w:color="auto" w:fill="F0F5FA"/>
          </w:tcPr>
          <w:p>
            <w:r>
              <w:rPr>
                <w:rFonts w:ascii="Calibri" w:hAnsi="Calibri"/>
                <w:b w:val="0"/>
                <w:i w:val="0"/>
                <w:sz w:val="20"/>
              </w:rPr>
              <w:t>High</w:t>
            </w:r>
          </w:p>
        </w:tc>
      </w:tr>
      <w:tr>
        <w:tc>
          <w:tcPr>
            <w:tcW w:type="dxa" w:w="1296"/>
            <w:shd w:val="clear" w:color="auto" w:fill="FFFFFF"/>
          </w:tcPr>
          <w:p>
            <w:r>
              <w:rPr>
                <w:rFonts w:ascii="Calibri" w:hAnsi="Calibri"/>
                <w:b w:val="0"/>
                <w:i w:val="0"/>
                <w:sz w:val="20"/>
              </w:rPr>
              <w:t>P4 (Research)</w:t>
            </w:r>
          </w:p>
        </w:tc>
        <w:tc>
          <w:tcPr>
            <w:tcW w:type="dxa" w:w="4032"/>
            <w:shd w:val="clear" w:color="auto" w:fill="FFFFFF"/>
          </w:tcPr>
          <w:p>
            <w:r>
              <w:rPr>
                <w:rFonts w:ascii="Calibri" w:hAnsi="Calibri"/>
                <w:b w:val="0"/>
                <w:i w:val="0"/>
                <w:sz w:val="20"/>
              </w:rPr>
              <w:t>Conformal ensemble</w:t>
            </w:r>
          </w:p>
        </w:tc>
        <w:tc>
          <w:tcPr>
            <w:tcW w:type="dxa" w:w="2880"/>
            <w:shd w:val="clear" w:color="auto" w:fill="FFFFFF"/>
          </w:tcPr>
          <w:p>
            <w:r>
              <w:rPr>
                <w:rFonts w:ascii="Calibri" w:hAnsi="Calibri"/>
                <w:b w:val="0"/>
                <w:i w:val="0"/>
                <w:sz w:val="20"/>
              </w:rPr>
              <w:t>Tighter guaranteed intervals</w:t>
            </w:r>
          </w:p>
        </w:tc>
        <w:tc>
          <w:tcPr>
            <w:tcW w:type="dxa" w:w="1584"/>
            <w:shd w:val="clear" w:color="auto" w:fill="FFFFFF"/>
          </w:tcPr>
          <w:p>
            <w:r>
              <w:rPr>
                <w:rFonts w:ascii="Calibri" w:hAnsi="Calibri"/>
                <w:b w:val="0"/>
                <w:i w:val="0"/>
                <w:sz w:val="20"/>
              </w:rPr>
              <w:t>High</w:t>
            </w:r>
          </w:p>
        </w:tc>
      </w:tr>
    </w:tbl>
    <w:p/>
    <w:p>
      <w:pPr>
        <w:spacing w:before="240" w:after="80"/>
      </w:pPr>
      <w:r>
        <w:rPr>
          <w:rFonts w:ascii="Calibri" w:hAnsi="Calibri"/>
          <w:b/>
          <w:i w:val="0"/>
          <w:color w:val="2E75B6"/>
          <w:sz w:val="24"/>
        </w:rPr>
        <w:t>7.2 Remaining Gap Analysis — Why Not 100?</w:t>
      </w:r>
    </w:p>
    <w:p>
      <w:pPr>
        <w:spacing w:after="80"/>
      </w:pPr>
      <w:r>
        <w:rPr>
          <w:rFonts w:ascii="Calibri" w:hAnsi="Calibri"/>
          <w:b w:val="0"/>
          <w:i w:val="0"/>
          <w:sz w:val="21"/>
        </w:rPr>
        <w:t>The two remaining score points reflect infrastructure maturity, not forecasting correctness:</w:t>
      </w:r>
    </w:p>
    <w:p>
      <w:pPr>
        <w:pStyle w:val="ListBullet"/>
        <w:spacing w:after="40"/>
        <w:ind w:left="360"/>
      </w:pPr>
      <w:r>
        <w:rPr>
          <w:rFonts w:ascii="Calibri" w:hAnsi="Calibri"/>
          <w:b/>
          <w:i w:val="0"/>
          <w:color w:val="2E75B6"/>
          <w:sz w:val="21"/>
        </w:rPr>
        <w:t xml:space="preserve">−1 point: notebook_version = 'V8': </w:t>
      </w:r>
      <w:r>
        <w:rPr>
          <w:rFonts w:ascii="Calibri" w:hAnsi="Calibri"/>
          <w:b w:val="0"/>
          <w:i w:val="0"/>
          <w:sz w:val="21"/>
        </w:rPr>
        <w:t>A cosmetic tagging bug with real operational impact — the monitoring baseline table will show V8 for all V9 runs, making version-based debugging impossible.</w:t>
      </w:r>
    </w:p>
    <w:p>
      <w:pPr>
        <w:pStyle w:val="ListBullet"/>
        <w:spacing w:after="40"/>
        <w:ind w:left="360"/>
      </w:pPr>
      <w:r>
        <w:rPr>
          <w:rFonts w:ascii="Calibri" w:hAnsi="Calibri"/>
          <w:b/>
          <w:i w:val="0"/>
          <w:color w:val="2E75B6"/>
          <w:sz w:val="21"/>
        </w:rPr>
        <w:t xml:space="preserve">−1 point: No Databricks Job: </w:t>
      </w:r>
      <w:r>
        <w:rPr>
          <w:rFonts w:ascii="Calibri" w:hAnsi="Calibri"/>
          <w:b w:val="0"/>
          <w:i w:val="0"/>
          <w:sz w:val="21"/>
        </w:rPr>
        <w:t>The notebook must be manually triggered. An automated weekly Databricks Job with email-on-failure is the minimum production standard.</w:t>
      </w:r>
    </w:p>
    <w:p>
      <w:pPr>
        <w:pStyle w:val="ListBullet"/>
        <w:spacing w:after="40"/>
        <w:ind w:left="360"/>
      </w:pPr>
      <w:r>
        <w:rPr>
          <w:rFonts w:ascii="Calibri" w:hAnsi="Calibri"/>
          <w:b/>
          <w:i w:val="0"/>
          <w:color w:val="2E75B6"/>
          <w:sz w:val="21"/>
        </w:rPr>
        <w:t xml:space="preserve">Note on −0 for MLflow Model Registry: </w:t>
      </w:r>
      <w:r>
        <w:rPr>
          <w:rFonts w:ascii="Calibri" w:hAnsi="Calibri"/>
          <w:b w:val="0"/>
          <w:i w:val="0"/>
          <w:sz w:val="21"/>
        </w:rPr>
        <w:t>Model logging is present and comprehensive. Registry registration is strongly recommended but scored as P2 rather than a deduction from 97.</w:t>
      </w:r>
    </w:p>
    <w:p>
      <w:r>
        <w:br w:type="page"/>
      </w:r>
    </w:p>
    <w:p>
      <w:pPr>
        <w:spacing w:before="360" w:after="120"/>
        <w:pBdr>
          <w:bottom w:val="single" w:sz="6" w:space="1" w:color="1F497D"/>
        </w:pBdr>
      </w:pPr>
      <w:r>
        <w:rPr>
          <w:rFonts w:ascii="Calibri" w:hAnsi="Calibri"/>
          <w:b/>
          <w:i w:val="0"/>
          <w:color w:val="1F497D"/>
          <w:sz w:val="30"/>
        </w:rPr>
        <w:t>Section 8: Advanced Expert Recommendations</w:t>
      </w:r>
    </w:p>
    <w:p>
      <w:pPr>
        <w:spacing w:before="240" w:after="80"/>
      </w:pPr>
      <w:r>
        <w:rPr>
          <w:rFonts w:ascii="Calibri" w:hAnsi="Calibri"/>
          <w:b/>
          <w:i w:val="0"/>
          <w:color w:val="2E75B6"/>
          <w:sz w:val="24"/>
        </w:rPr>
        <w:t>8.1 What Elite Teams Do Differently</w:t>
      </w:r>
    </w:p>
    <w:p>
      <w:pPr>
        <w:pStyle w:val="ListBullet"/>
        <w:spacing w:after="40"/>
        <w:ind w:left="360"/>
      </w:pPr>
      <w:r>
        <w:rPr>
          <w:rFonts w:ascii="Calibri" w:hAnsi="Calibri"/>
          <w:b/>
          <w:i w:val="0"/>
          <w:color w:val="2E75B6"/>
          <w:sz w:val="21"/>
        </w:rPr>
        <w:t xml:space="preserve">Conformal Prediction Intervals: </w:t>
      </w:r>
      <w:r>
        <w:rPr>
          <w:rFonts w:ascii="Calibri" w:hAnsi="Calibri"/>
          <w:b w:val="0"/>
          <w:i w:val="0"/>
          <w:sz w:val="21"/>
        </w:rPr>
        <w:t>Replace LGB quantile models with split-conformal or cross-conformal intervals. These provide mathematically guaranteed 80% coverage under any model misspecification, unlike fixed quantile regression.</w:t>
      </w:r>
    </w:p>
    <w:p>
      <w:pPr>
        <w:pStyle w:val="ListBullet"/>
        <w:spacing w:after="40"/>
        <w:ind w:left="360"/>
      </w:pPr>
      <w:r>
        <w:rPr>
          <w:rFonts w:ascii="Calibri" w:hAnsi="Calibri"/>
          <w:b/>
          <w:i w:val="0"/>
          <w:color w:val="2E75B6"/>
          <w:sz w:val="21"/>
        </w:rPr>
        <w:t xml:space="preserve">Ensemble Model Registry: </w:t>
      </w:r>
      <w:r>
        <w:rPr>
          <w:rFonts w:ascii="Calibri" w:hAnsi="Calibri"/>
          <w:b w:val="0"/>
          <w:i w:val="0"/>
          <w:sz w:val="21"/>
        </w:rPr>
        <w:t>Each weekly run registers models in MLflow, automatically compares new champion vs existing, and only promotes if holdout WAPE improves. Prevents silent regressions.</w:t>
      </w:r>
    </w:p>
    <w:p>
      <w:pPr>
        <w:pStyle w:val="ListBullet"/>
        <w:spacing w:after="40"/>
        <w:ind w:left="360"/>
      </w:pPr>
      <w:r>
        <w:rPr>
          <w:rFonts w:ascii="Calibri" w:hAnsi="Calibri"/>
          <w:b/>
          <w:i w:val="0"/>
          <w:color w:val="2E75B6"/>
          <w:sz w:val="21"/>
        </w:rPr>
        <w:t xml:space="preserve">Feature Store Integration: </w:t>
      </w:r>
      <w:r>
        <w:rPr>
          <w:rFonts w:ascii="Calibri" w:hAnsi="Calibri"/>
          <w:b w:val="0"/>
          <w:i w:val="0"/>
          <w:sz w:val="21"/>
        </w:rPr>
        <w:t>Exogenous features (headcount, pipeline, marketing) are read from a Databricks Feature Store, not re-engineered in the forecast notebook. This ensures consistency with other downstream models.</w:t>
      </w:r>
    </w:p>
    <w:p>
      <w:pPr>
        <w:pStyle w:val="ListBullet"/>
        <w:spacing w:after="40"/>
        <w:ind w:left="360"/>
      </w:pPr>
      <w:r>
        <w:rPr>
          <w:rFonts w:ascii="Calibri" w:hAnsi="Calibri"/>
          <w:b/>
          <w:i w:val="0"/>
          <w:color w:val="2E75B6"/>
          <w:sz w:val="21"/>
        </w:rPr>
        <w:t xml:space="preserve">Automated Retraining Trigger: </w:t>
      </w:r>
      <w:r>
        <w:rPr>
          <w:rFonts w:ascii="Calibri" w:hAnsi="Calibri"/>
          <w:b w:val="0"/>
          <w:i w:val="0"/>
          <w:sz w:val="21"/>
        </w:rPr>
        <w:t>Elite teams don't retrain on a fixed schedule — they trigger retraining when live rolling WAPE exceeds the monitoring threshold. V9 has the threshold; just needs the trigger.</w:t>
      </w:r>
    </w:p>
    <w:p>
      <w:pPr>
        <w:pStyle w:val="ListBullet"/>
        <w:spacing w:after="40"/>
        <w:ind w:left="360"/>
      </w:pPr>
      <w:r>
        <w:rPr>
          <w:rFonts w:ascii="Calibri" w:hAnsi="Calibri"/>
          <w:b/>
          <w:i w:val="0"/>
          <w:color w:val="2E75B6"/>
          <w:sz w:val="21"/>
        </w:rPr>
        <w:t xml:space="preserve">CRPS as Primary Metric: </w:t>
      </w:r>
      <w:r>
        <w:rPr>
          <w:rFonts w:ascii="Calibri" w:hAnsi="Calibri"/>
          <w:b w:val="0"/>
          <w:i w:val="0"/>
          <w:sz w:val="21"/>
        </w:rPr>
        <w:t>Continuous Ranked Probability Score jointly measures calibration and sharpness in one number. Replace mean_wape with mean_crps as the primary model selection criterion for probabilistic forecasts.</w:t>
      </w:r>
    </w:p>
    <w:p>
      <w:pPr>
        <w:spacing w:before="240" w:after="80"/>
      </w:pPr>
      <w:r>
        <w:rPr>
          <w:rFonts w:ascii="Calibri" w:hAnsi="Calibri"/>
          <w:b/>
          <w:i w:val="0"/>
          <w:color w:val="2E75B6"/>
          <w:sz w:val="24"/>
        </w:rPr>
        <w:t>8.2 What Modern Forecasting Practices to Add</w:t>
      </w:r>
    </w:p>
    <w:p>
      <w:pPr>
        <w:pStyle w:val="ListBullet"/>
        <w:spacing w:after="40"/>
        <w:ind w:left="360"/>
      </w:pPr>
      <w:r>
        <w:rPr>
          <w:rFonts w:ascii="Calibri" w:hAnsi="Calibri"/>
          <w:b/>
          <w:i w:val="0"/>
          <w:color w:val="2E75B6"/>
          <w:sz w:val="21"/>
        </w:rPr>
        <w:t xml:space="preserve">Temporal Fusion Transformer (TFT): </w:t>
      </w:r>
      <w:r>
        <w:rPr>
          <w:rFonts w:ascii="Calibri" w:hAnsi="Calibri"/>
          <w:b w:val="0"/>
          <w:i w:val="0"/>
          <w:sz w:val="21"/>
        </w:rPr>
        <w:t>With 170+ weeks of data and 5 markets, TFT is now viable. PyTorch Forecasting on Databricks. Expected improvement: −3 to −7% WAPE on EMEA and APAC where LGB struggles with sparse history.</w:t>
      </w:r>
    </w:p>
    <w:p>
      <w:pPr>
        <w:pStyle w:val="ListBullet"/>
        <w:spacing w:after="40"/>
        <w:ind w:left="360"/>
      </w:pPr>
      <w:r>
        <w:rPr>
          <w:rFonts w:ascii="Calibri" w:hAnsi="Calibri"/>
          <w:b/>
          <w:i w:val="0"/>
          <w:color w:val="2E75B6"/>
          <w:sz w:val="21"/>
        </w:rPr>
        <w:t xml:space="preserve">Global Reconciliation via PERMBU: </w:t>
      </w:r>
      <w:r>
        <w:rPr>
          <w:rFonts w:ascii="Calibri" w:hAnsi="Calibri"/>
          <w:b w:val="0"/>
          <w:i w:val="0"/>
          <w:sz w:val="21"/>
        </w:rPr>
        <w:t>Probabilistic Empirical Reconciliation Bottom-Up: sample from bottom-level forecast distributions, aggregate, and use samples to characterize top-level uncertainty. More principled than deterministic MinT for probabilistic outputs.</w:t>
      </w:r>
    </w:p>
    <w:p>
      <w:pPr>
        <w:pStyle w:val="ListBullet"/>
        <w:spacing w:after="40"/>
        <w:ind w:left="360"/>
      </w:pPr>
      <w:r>
        <w:rPr>
          <w:rFonts w:ascii="Calibri" w:hAnsi="Calibri"/>
          <w:b/>
          <w:i w:val="0"/>
          <w:color w:val="2E75B6"/>
          <w:sz w:val="21"/>
        </w:rPr>
        <w:t xml:space="preserve">Drift Detection via PSI: </w:t>
      </w:r>
      <w:r>
        <w:rPr>
          <w:rFonts w:ascii="Calibri" w:hAnsi="Calibri"/>
          <w:b w:val="0"/>
          <w:i w:val="0"/>
          <w:sz w:val="21"/>
        </w:rPr>
        <w:t>Population Stability Index computed weekly on top-10 SHAP features. Alert if PSI &gt; 0.2 (severe drift). Catches data pipeline failures before they cause forecast degradation.</w:t>
      </w:r>
    </w:p>
    <w:p>
      <w:pPr>
        <w:pStyle w:val="ListBullet"/>
        <w:spacing w:after="40"/>
        <w:ind w:left="360"/>
      </w:pPr>
      <w:r>
        <w:rPr>
          <w:rFonts w:ascii="Calibri" w:hAnsi="Calibri"/>
          <w:b/>
          <w:i w:val="0"/>
          <w:color w:val="2E75B6"/>
          <w:sz w:val="21"/>
        </w:rPr>
        <w:t xml:space="preserve">Bayesian Optimization for LGB Hyperparameters: </w:t>
      </w:r>
      <w:r>
        <w:rPr>
          <w:rFonts w:ascii="Calibri" w:hAnsi="Calibri"/>
          <w:b w:val="0"/>
          <w:i w:val="0"/>
          <w:sz w:val="21"/>
        </w:rPr>
        <w:t>Current hyperparameters (num_leaves=31, min_data_in_leaf=20, learning_rate=0.03) are reasonable defaults but not tuned. Optuna on Databricks + MLflow can find 5–10% WAPE improvement.</w:t>
      </w:r>
    </w:p>
    <w:p>
      <w:pPr>
        <w:spacing w:before="240" w:after="80"/>
      </w:pPr>
      <w:r>
        <w:rPr>
          <w:rFonts w:ascii="Calibri" w:hAnsi="Calibri"/>
          <w:b/>
          <w:i w:val="0"/>
          <w:color w:val="2E75B6"/>
          <w:sz w:val="24"/>
        </w:rPr>
        <w:t>8.3 Production Hardening Checklist</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1F497D"/>
          </w:tcPr>
          <w:p>
            <w:pPr>
              <w:jc w:val="center"/>
            </w:pPr>
            <w:r>
              <w:rPr>
                <w:rFonts w:ascii="Calibri" w:hAnsi="Calibri"/>
                <w:b/>
                <w:i w:val="0"/>
                <w:color w:val="FFFFFF"/>
                <w:sz w:val="20"/>
              </w:rPr>
              <w:t>Item</w:t>
            </w:r>
          </w:p>
        </w:tc>
        <w:tc>
          <w:tcPr>
            <w:tcW w:type="dxa" w:w="2880"/>
            <w:shd w:val="clear" w:color="auto" w:fill="1F497D"/>
          </w:tcPr>
          <w:p>
            <w:pPr>
              <w:jc w:val="center"/>
            </w:pPr>
            <w:r>
              <w:rPr>
                <w:rFonts w:ascii="Calibri" w:hAnsi="Calibri"/>
                <w:b/>
                <w:i w:val="0"/>
                <w:color w:val="FFFFFF"/>
                <w:sz w:val="20"/>
              </w:rPr>
              <w:t>Status in V9</w:t>
            </w:r>
          </w:p>
        </w:tc>
        <w:tc>
          <w:tcPr>
            <w:tcW w:type="dxa" w:w="3888"/>
            <w:shd w:val="clear" w:color="auto" w:fill="1F497D"/>
          </w:tcPr>
          <w:p>
            <w:pPr>
              <w:jc w:val="center"/>
            </w:pPr>
            <w:r>
              <w:rPr>
                <w:rFonts w:ascii="Calibri" w:hAnsi="Calibri"/>
                <w:b/>
                <w:i w:val="0"/>
                <w:color w:val="FFFFFF"/>
                <w:sz w:val="20"/>
              </w:rPr>
              <w:t>Recommendation</w:t>
            </w:r>
          </w:p>
        </w:tc>
      </w:tr>
      <w:tr>
        <w:tc>
          <w:tcPr>
            <w:tcW w:type="dxa" w:w="3600"/>
            <w:shd w:val="clear" w:color="auto" w:fill="F0F5FA"/>
          </w:tcPr>
          <w:p>
            <w:r>
              <w:rPr>
                <w:rFonts w:ascii="Calibri" w:hAnsi="Calibri"/>
                <w:b w:val="0"/>
                <w:i w:val="0"/>
                <w:sz w:val="20"/>
              </w:rPr>
              <w:t>Walk-forward CV</w:t>
            </w:r>
          </w:p>
        </w:tc>
        <w:tc>
          <w:tcPr>
            <w:tcW w:type="dxa" w:w="2880"/>
            <w:shd w:val="clear" w:color="auto" w:fill="F0F5FA"/>
          </w:tcPr>
          <w:p>
            <w:r>
              <w:rPr>
                <w:rFonts w:ascii="Calibri" w:hAnsi="Calibri"/>
                <w:b w:val="0"/>
                <w:i w:val="0"/>
                <w:sz w:val="20"/>
              </w:rPr>
              <w:t>8 folds x 13 weeks</w:t>
            </w:r>
          </w:p>
        </w:tc>
        <w:tc>
          <w:tcPr>
            <w:tcW w:type="dxa" w:w="3888"/>
            <w:shd w:val="clear" w:color="auto" w:fill="F0F5FA"/>
          </w:tcPr>
          <w:p>
            <w:r>
              <w:rPr>
                <w:rFonts w:ascii="Calibri" w:hAnsi="Calibri"/>
                <w:b w:val="0"/>
                <w:i w:val="0"/>
                <w:sz w:val="20"/>
              </w:rPr>
              <w:t>Correct — maintain</w:t>
            </w:r>
          </w:p>
        </w:tc>
      </w:tr>
      <w:tr>
        <w:tc>
          <w:tcPr>
            <w:tcW w:type="dxa" w:w="3600"/>
            <w:shd w:val="clear" w:color="auto" w:fill="FFFFFF"/>
          </w:tcPr>
          <w:p>
            <w:r>
              <w:rPr>
                <w:rFonts w:ascii="Calibri" w:hAnsi="Calibri"/>
                <w:b w:val="0"/>
                <w:i w:val="0"/>
                <w:sz w:val="20"/>
              </w:rPr>
              <w:t>Leakage prevention</w:t>
            </w:r>
          </w:p>
        </w:tc>
        <w:tc>
          <w:tcPr>
            <w:tcW w:type="dxa" w:w="2880"/>
            <w:shd w:val="clear" w:color="auto" w:fill="FFFFFF"/>
          </w:tcPr>
          <w:p>
            <w:r>
              <w:rPr>
                <w:rFonts w:ascii="Calibri" w:hAnsi="Calibri"/>
                <w:b w:val="0"/>
                <w:i w:val="0"/>
                <w:sz w:val="20"/>
              </w:rPr>
              <w:t>LEAKY_OR_UNUSABLE_COLS documented</w:t>
            </w:r>
          </w:p>
        </w:tc>
        <w:tc>
          <w:tcPr>
            <w:tcW w:type="dxa" w:w="3888"/>
            <w:shd w:val="clear" w:color="auto" w:fill="FFFFFF"/>
          </w:tcPr>
          <w:p>
            <w:r>
              <w:rPr>
                <w:rFonts w:ascii="Calibri" w:hAnsi="Calibri"/>
                <w:b w:val="0"/>
                <w:i w:val="0"/>
                <w:sz w:val="20"/>
              </w:rPr>
              <w:t>Correct — maintain</w:t>
            </w:r>
          </w:p>
        </w:tc>
      </w:tr>
      <w:tr>
        <w:tc>
          <w:tcPr>
            <w:tcW w:type="dxa" w:w="3600"/>
            <w:shd w:val="clear" w:color="auto" w:fill="F0F5FA"/>
          </w:tcPr>
          <w:p>
            <w:r>
              <w:rPr>
                <w:rFonts w:ascii="Calibri" w:hAnsi="Calibri"/>
                <w:b w:val="0"/>
                <w:i w:val="0"/>
                <w:sz w:val="20"/>
              </w:rPr>
              <w:t>Phase-stable Fourier</w:t>
            </w:r>
          </w:p>
        </w:tc>
        <w:tc>
          <w:tcPr>
            <w:tcW w:type="dxa" w:w="2880"/>
            <w:shd w:val="clear" w:color="auto" w:fill="F0F5FA"/>
          </w:tcPr>
          <w:p>
            <w:r>
              <w:rPr>
                <w:rFonts w:ascii="Calibri" w:hAnsi="Calibri"/>
                <w:b w:val="0"/>
                <w:i w:val="0"/>
                <w:sz w:val="20"/>
              </w:rPr>
              <w:t>Fixed in V9</w:t>
            </w:r>
          </w:p>
        </w:tc>
        <w:tc>
          <w:tcPr>
            <w:tcW w:type="dxa" w:w="3888"/>
            <w:shd w:val="clear" w:color="auto" w:fill="F0F5FA"/>
          </w:tcPr>
          <w:p>
            <w:r>
              <w:rPr>
                <w:rFonts w:ascii="Calibri" w:hAnsi="Calibri"/>
                <w:b w:val="0"/>
                <w:i w:val="0"/>
                <w:sz w:val="20"/>
              </w:rPr>
              <w:t>Correct — maintain</w:t>
            </w:r>
          </w:p>
        </w:tc>
      </w:tr>
      <w:tr>
        <w:tc>
          <w:tcPr>
            <w:tcW w:type="dxa" w:w="3600"/>
            <w:shd w:val="clear" w:color="auto" w:fill="FFFFFF"/>
          </w:tcPr>
          <w:p>
            <w:r>
              <w:rPr>
                <w:rFonts w:ascii="Calibri" w:hAnsi="Calibri"/>
                <w:b w:val="0"/>
                <w:i w:val="0"/>
                <w:sz w:val="20"/>
              </w:rPr>
              <w:t>Marketing cliff fix</w:t>
            </w:r>
          </w:p>
        </w:tc>
        <w:tc>
          <w:tcPr>
            <w:tcW w:type="dxa" w:w="2880"/>
            <w:shd w:val="clear" w:color="auto" w:fill="FFFFFF"/>
          </w:tcPr>
          <w:p>
            <w:r>
              <w:rPr>
                <w:rFonts w:ascii="Calibri" w:hAnsi="Calibri"/>
                <w:b w:val="0"/>
                <w:i w:val="0"/>
                <w:sz w:val="20"/>
              </w:rPr>
              <w:t>ffill per slice_id</w:t>
            </w:r>
          </w:p>
        </w:tc>
        <w:tc>
          <w:tcPr>
            <w:tcW w:type="dxa" w:w="3888"/>
            <w:shd w:val="clear" w:color="auto" w:fill="FFFFFF"/>
          </w:tcPr>
          <w:p>
            <w:r>
              <w:rPr>
                <w:rFonts w:ascii="Calibri" w:hAnsi="Calibri"/>
                <w:b w:val="0"/>
                <w:i w:val="0"/>
                <w:sz w:val="20"/>
              </w:rPr>
              <w:t>Correct — maintain</w:t>
            </w:r>
          </w:p>
        </w:tc>
      </w:tr>
      <w:tr>
        <w:tc>
          <w:tcPr>
            <w:tcW w:type="dxa" w:w="3600"/>
            <w:shd w:val="clear" w:color="auto" w:fill="F0F5FA"/>
          </w:tcPr>
          <w:p>
            <w:r>
              <w:rPr>
                <w:rFonts w:ascii="Calibri" w:hAnsi="Calibri"/>
                <w:b w:val="0"/>
                <w:i w:val="0"/>
                <w:sz w:val="20"/>
              </w:rPr>
              <w:t>Auto-regressive rollout</w:t>
            </w:r>
          </w:p>
        </w:tc>
        <w:tc>
          <w:tcPr>
            <w:tcW w:type="dxa" w:w="2880"/>
            <w:shd w:val="clear" w:color="auto" w:fill="F0F5FA"/>
          </w:tcPr>
          <w:p>
            <w:r>
              <w:rPr>
                <w:rFonts w:ascii="Calibri" w:hAnsi="Calibri"/>
                <w:b w:val="0"/>
                <w:i w:val="0"/>
                <w:sz w:val="20"/>
              </w:rPr>
              <w:t>history_y updated per step</w:t>
            </w:r>
          </w:p>
        </w:tc>
        <w:tc>
          <w:tcPr>
            <w:tcW w:type="dxa" w:w="3888"/>
            <w:shd w:val="clear" w:color="auto" w:fill="F0F5FA"/>
          </w:tcPr>
          <w:p>
            <w:r>
              <w:rPr>
                <w:rFonts w:ascii="Calibri" w:hAnsi="Calibri"/>
                <w:b w:val="0"/>
                <w:i w:val="0"/>
                <w:sz w:val="20"/>
              </w:rPr>
              <w:t>Correct — maintain</w:t>
            </w:r>
          </w:p>
        </w:tc>
      </w:tr>
      <w:tr>
        <w:tc>
          <w:tcPr>
            <w:tcW w:type="dxa" w:w="3600"/>
            <w:shd w:val="clear" w:color="auto" w:fill="FFFFFF"/>
          </w:tcPr>
          <w:p>
            <w:r>
              <w:rPr>
                <w:rFonts w:ascii="Calibri" w:hAnsi="Calibri"/>
                <w:b w:val="0"/>
                <w:i w:val="0"/>
                <w:sz w:val="20"/>
              </w:rPr>
              <w:t>MLflow logging</w:t>
            </w:r>
          </w:p>
        </w:tc>
        <w:tc>
          <w:tcPr>
            <w:tcW w:type="dxa" w:w="2880"/>
            <w:shd w:val="clear" w:color="auto" w:fill="FFFFFF"/>
          </w:tcPr>
          <w:p>
            <w:r>
              <w:rPr>
                <w:rFonts w:ascii="Calibri" w:hAnsi="Calibri"/>
                <w:b w:val="0"/>
                <w:i w:val="0"/>
                <w:sz w:val="20"/>
              </w:rPr>
              <w:t>All 5 models logged</w:t>
            </w:r>
          </w:p>
        </w:tc>
        <w:tc>
          <w:tcPr>
            <w:tcW w:type="dxa" w:w="3888"/>
            <w:shd w:val="clear" w:color="auto" w:fill="FFFFFF"/>
          </w:tcPr>
          <w:p>
            <w:r>
              <w:rPr>
                <w:rFonts w:ascii="Calibri" w:hAnsi="Calibri"/>
                <w:b w:val="0"/>
                <w:i w:val="0"/>
                <w:sz w:val="20"/>
              </w:rPr>
              <w:t>Add: register LGB in Model Registry</w:t>
            </w:r>
          </w:p>
        </w:tc>
      </w:tr>
      <w:tr>
        <w:tc>
          <w:tcPr>
            <w:tcW w:type="dxa" w:w="3600"/>
            <w:shd w:val="clear" w:color="auto" w:fill="F0F5FA"/>
          </w:tcPr>
          <w:p>
            <w:r>
              <w:rPr>
                <w:rFonts w:ascii="Calibri" w:hAnsi="Calibri"/>
                <w:b w:val="0"/>
                <w:i w:val="0"/>
                <w:sz w:val="20"/>
              </w:rPr>
              <w:t>Monitoring baseline</w:t>
            </w:r>
          </w:p>
        </w:tc>
        <w:tc>
          <w:tcPr>
            <w:tcW w:type="dxa" w:w="2880"/>
            <w:shd w:val="clear" w:color="auto" w:fill="F0F5FA"/>
          </w:tcPr>
          <w:p>
            <w:r>
              <w:rPr>
                <w:rFonts w:ascii="Calibri" w:hAnsi="Calibri"/>
                <w:b w:val="0"/>
                <w:i w:val="0"/>
                <w:sz w:val="20"/>
              </w:rPr>
              <w:t>Written to Delta, append mode</w:t>
            </w:r>
          </w:p>
        </w:tc>
        <w:tc>
          <w:tcPr>
            <w:tcW w:type="dxa" w:w="3888"/>
            <w:shd w:val="clear" w:color="auto" w:fill="F0F5FA"/>
          </w:tcPr>
          <w:p>
            <w:r>
              <w:rPr>
                <w:rFonts w:ascii="Calibri" w:hAnsi="Calibri"/>
                <w:b w:val="0"/>
                <w:i w:val="0"/>
                <w:sz w:val="20"/>
              </w:rPr>
              <w:t>Fix: notebook_version = 'V9'</w:t>
            </w:r>
          </w:p>
        </w:tc>
      </w:tr>
      <w:tr>
        <w:tc>
          <w:tcPr>
            <w:tcW w:type="dxa" w:w="3600"/>
            <w:shd w:val="clear" w:color="auto" w:fill="FFFFFF"/>
          </w:tcPr>
          <w:p>
            <w:r>
              <w:rPr>
                <w:rFonts w:ascii="Calibri" w:hAnsi="Calibri"/>
                <w:b w:val="0"/>
                <w:i w:val="0"/>
                <w:sz w:val="20"/>
              </w:rPr>
              <w:t>CI coverage tracking</w:t>
            </w:r>
          </w:p>
        </w:tc>
        <w:tc>
          <w:tcPr>
            <w:tcW w:type="dxa" w:w="2880"/>
            <w:shd w:val="clear" w:color="auto" w:fill="FFFFFF"/>
          </w:tcPr>
          <w:p>
            <w:r>
              <w:rPr>
                <w:rFonts w:ascii="Calibri" w:hAnsi="Calibri"/>
                <w:b w:val="0"/>
                <w:i w:val="0"/>
                <w:sz w:val="20"/>
              </w:rPr>
              <w:t>Present in holdout eval</w:t>
            </w:r>
          </w:p>
        </w:tc>
        <w:tc>
          <w:tcPr>
            <w:tcW w:type="dxa" w:w="3888"/>
            <w:shd w:val="clear" w:color="auto" w:fill="FFFFFF"/>
          </w:tcPr>
          <w:p>
            <w:r>
              <w:rPr>
                <w:rFonts w:ascii="Calibri" w:hAnsi="Calibri"/>
                <w:b w:val="0"/>
                <w:i w:val="0"/>
                <w:sz w:val="20"/>
              </w:rPr>
              <w:t>Add: CRPS and Winkler Score</w:t>
            </w:r>
          </w:p>
        </w:tc>
      </w:tr>
      <w:tr>
        <w:tc>
          <w:tcPr>
            <w:tcW w:type="dxa" w:w="3600"/>
            <w:shd w:val="clear" w:color="auto" w:fill="F0F5FA"/>
          </w:tcPr>
          <w:p>
            <w:r>
              <w:rPr>
                <w:rFonts w:ascii="Calibri" w:hAnsi="Calibri"/>
                <w:b w:val="0"/>
                <w:i w:val="0"/>
                <w:sz w:val="20"/>
              </w:rPr>
              <w:t>Automated scheduling</w:t>
            </w:r>
          </w:p>
        </w:tc>
        <w:tc>
          <w:tcPr>
            <w:tcW w:type="dxa" w:w="2880"/>
            <w:shd w:val="clear" w:color="auto" w:fill="F0F5FA"/>
          </w:tcPr>
          <w:p>
            <w:r>
              <w:rPr>
                <w:rFonts w:ascii="Calibri" w:hAnsi="Calibri"/>
                <w:b w:val="0"/>
                <w:i w:val="0"/>
                <w:sz w:val="20"/>
              </w:rPr>
              <w:t>Not present</w:t>
            </w:r>
          </w:p>
        </w:tc>
        <w:tc>
          <w:tcPr>
            <w:tcW w:type="dxa" w:w="3888"/>
            <w:shd w:val="clear" w:color="auto" w:fill="F0F5FA"/>
          </w:tcPr>
          <w:p>
            <w:r>
              <w:rPr>
                <w:rFonts w:ascii="Calibri" w:hAnsi="Calibri"/>
                <w:b w:val="0"/>
                <w:i w:val="0"/>
                <w:sz w:val="20"/>
              </w:rPr>
              <w:t>Add: Databricks Job YAML</w:t>
            </w:r>
          </w:p>
        </w:tc>
      </w:tr>
      <w:tr>
        <w:tc>
          <w:tcPr>
            <w:tcW w:type="dxa" w:w="3600"/>
            <w:shd w:val="clear" w:color="auto" w:fill="FFFFFF"/>
          </w:tcPr>
          <w:p>
            <w:r>
              <w:rPr>
                <w:rFonts w:ascii="Calibri" w:hAnsi="Calibri"/>
                <w:b w:val="0"/>
                <w:i w:val="0"/>
                <w:sz w:val="20"/>
              </w:rPr>
              <w:t>Feature drift</w:t>
            </w:r>
          </w:p>
        </w:tc>
        <w:tc>
          <w:tcPr>
            <w:tcW w:type="dxa" w:w="2880"/>
            <w:shd w:val="clear" w:color="auto" w:fill="FFFFFF"/>
          </w:tcPr>
          <w:p>
            <w:r>
              <w:rPr>
                <w:rFonts w:ascii="Calibri" w:hAnsi="Calibri"/>
                <w:b w:val="0"/>
                <w:i w:val="0"/>
                <w:sz w:val="20"/>
              </w:rPr>
              <w:t>Not present</w:t>
            </w:r>
          </w:p>
        </w:tc>
        <w:tc>
          <w:tcPr>
            <w:tcW w:type="dxa" w:w="3888"/>
            <w:shd w:val="clear" w:color="auto" w:fill="FFFFFF"/>
          </w:tcPr>
          <w:p>
            <w:r>
              <w:rPr>
                <w:rFonts w:ascii="Calibri" w:hAnsi="Calibri"/>
                <w:b w:val="0"/>
                <w:i w:val="0"/>
                <w:sz w:val="20"/>
              </w:rPr>
              <w:t>Add: PSI check on top-10 features</w:t>
            </w:r>
          </w:p>
        </w:tc>
      </w:tr>
      <w:tr>
        <w:tc>
          <w:tcPr>
            <w:tcW w:type="dxa" w:w="3600"/>
            <w:shd w:val="clear" w:color="auto" w:fill="F0F5FA"/>
          </w:tcPr>
          <w:p>
            <w:r>
              <w:rPr>
                <w:rFonts w:ascii="Calibri" w:hAnsi="Calibri"/>
                <w:b w:val="0"/>
                <w:i w:val="0"/>
                <w:sz w:val="20"/>
              </w:rPr>
              <w:t>Ensemble weight logging</w:t>
            </w:r>
          </w:p>
        </w:tc>
        <w:tc>
          <w:tcPr>
            <w:tcW w:type="dxa" w:w="2880"/>
            <w:shd w:val="clear" w:color="auto" w:fill="F0F5FA"/>
          </w:tcPr>
          <w:p>
            <w:r>
              <w:rPr>
                <w:rFonts w:ascii="Calibri" w:hAnsi="Calibri"/>
                <w:b w:val="0"/>
                <w:i w:val="0"/>
                <w:sz w:val="20"/>
              </w:rPr>
              <w:t>Not present</w:t>
            </w:r>
          </w:p>
        </w:tc>
        <w:tc>
          <w:tcPr>
            <w:tcW w:type="dxa" w:w="3888"/>
            <w:shd w:val="clear" w:color="auto" w:fill="F0F5FA"/>
          </w:tcPr>
          <w:p>
            <w:r>
              <w:rPr>
                <w:rFonts w:ascii="Calibri" w:hAnsi="Calibri"/>
                <w:b w:val="0"/>
                <w:i w:val="0"/>
                <w:sz w:val="20"/>
              </w:rPr>
              <w:t>Add: log GR weights as MLflow metrics</w:t>
            </w:r>
          </w:p>
        </w:tc>
      </w:tr>
      <w:tr>
        <w:tc>
          <w:tcPr>
            <w:tcW w:type="dxa" w:w="3600"/>
            <w:shd w:val="clear" w:color="auto" w:fill="FFFFFF"/>
          </w:tcPr>
          <w:p>
            <w:r>
              <w:rPr>
                <w:rFonts w:ascii="Calibri" w:hAnsi="Calibri"/>
                <w:b w:val="0"/>
                <w:i w:val="0"/>
                <w:sz w:val="20"/>
              </w:rPr>
              <w:t>Champion/Challenger</w:t>
            </w:r>
          </w:p>
        </w:tc>
        <w:tc>
          <w:tcPr>
            <w:tcW w:type="dxa" w:w="2880"/>
            <w:shd w:val="clear" w:color="auto" w:fill="FFFFFF"/>
          </w:tcPr>
          <w:p>
            <w:r>
              <w:rPr>
                <w:rFonts w:ascii="Calibri" w:hAnsi="Calibri"/>
                <w:b w:val="0"/>
                <w:i w:val="0"/>
                <w:sz w:val="20"/>
              </w:rPr>
              <w:t>Not present</w:t>
            </w:r>
          </w:p>
        </w:tc>
        <w:tc>
          <w:tcPr>
            <w:tcW w:type="dxa" w:w="3888"/>
            <w:shd w:val="clear" w:color="auto" w:fill="FFFFFF"/>
          </w:tcPr>
          <w:p>
            <w:r>
              <w:rPr>
                <w:rFonts w:ascii="Calibri" w:hAnsi="Calibri"/>
                <w:b w:val="0"/>
                <w:i w:val="0"/>
                <w:sz w:val="20"/>
              </w:rPr>
              <w:t>Add: mlflow.register_model() with auto-promote logic</w:t>
            </w:r>
          </w:p>
        </w:tc>
      </w:tr>
    </w:tbl>
    <w:p/>
    <w:p>
      <w:pPr>
        <w:spacing w:before="240" w:after="80"/>
      </w:pPr>
      <w:r>
        <w:rPr>
          <w:rFonts w:ascii="Calibri" w:hAnsi="Calibri"/>
          <w:b/>
          <w:i w:val="0"/>
          <w:color w:val="2E75B6"/>
          <w:sz w:val="24"/>
        </w:rPr>
        <w:t>8.4 Recommended Future-State Architecture</w:t>
      </w:r>
    </w:p>
    <w:p>
      <w:pPr>
        <w:spacing w:after="80"/>
      </w:pPr>
      <w:r>
        <w:rPr>
          <w:rFonts w:ascii="Calibri" w:hAnsi="Calibri"/>
          <w:b w:val="0"/>
          <w:i w:val="0"/>
          <w:sz w:val="21"/>
        </w:rPr>
        <w:t>Given the current V9 foundation, the optimal path to an elite system over the next 6 months:</w:t>
      </w:r>
    </w:p>
    <w:p>
      <w:pPr>
        <w:pStyle w:val="ListBullet"/>
        <w:spacing w:after="40"/>
        <w:ind w:left="360"/>
      </w:pPr>
      <w:r>
        <w:rPr>
          <w:rFonts w:ascii="Calibri" w:hAnsi="Calibri"/>
          <w:b w:val="0"/>
          <w:i w:val="0"/>
          <w:sz w:val="21"/>
        </w:rPr>
        <w:t>Phase 1 (1 week): Fix notebook_version, add Databricks Job, log GR weights — gets to 99/100</w:t>
      </w:r>
    </w:p>
    <w:p>
      <w:pPr>
        <w:pStyle w:val="ListBullet"/>
        <w:spacing w:after="40"/>
        <w:ind w:left="360"/>
      </w:pPr>
      <w:r>
        <w:rPr>
          <w:rFonts w:ascii="Calibri" w:hAnsi="Calibri"/>
          <w:b w:val="0"/>
          <w:i w:val="0"/>
          <w:sz w:val="21"/>
        </w:rPr>
        <w:t>Phase 2 (2 weeks): mlflow.register_model() + Champion/Challenger + PSI drift detection</w:t>
      </w:r>
    </w:p>
    <w:p>
      <w:pPr>
        <w:pStyle w:val="ListBullet"/>
        <w:spacing w:after="40"/>
        <w:ind w:left="360"/>
      </w:pPr>
      <w:r>
        <w:rPr>
          <w:rFonts w:ascii="Calibri" w:hAnsi="Calibri"/>
          <w:b w:val="0"/>
          <w:i w:val="0"/>
          <w:sz w:val="21"/>
        </w:rPr>
        <w:t>Phase 3 (4 weeks): Conformal prediction intervals replacing LGB quantile bounds</w:t>
      </w:r>
    </w:p>
    <w:p>
      <w:pPr>
        <w:pStyle w:val="ListBullet"/>
        <w:spacing w:after="40"/>
        <w:ind w:left="360"/>
      </w:pPr>
      <w:r>
        <w:rPr>
          <w:rFonts w:ascii="Calibri" w:hAnsi="Calibri"/>
          <w:b w:val="0"/>
          <w:i w:val="0"/>
          <w:sz w:val="21"/>
        </w:rPr>
        <w:t>Phase 4 (6 weeks): TFT as optional sixth ensemble member — A/B test in shadow mode for 3 months</w:t>
      </w:r>
    </w:p>
    <w:p>
      <w:pPr>
        <w:pStyle w:val="ListBullet"/>
        <w:spacing w:after="40"/>
        <w:ind w:left="360"/>
      </w:pPr>
      <w:r>
        <w:rPr>
          <w:rFonts w:ascii="Calibri" w:hAnsi="Calibri"/>
          <w:b w:val="0"/>
          <w:i w:val="0"/>
          <w:sz w:val="21"/>
        </w:rPr>
        <w:t>Phase 5 (ongoing): CRPS-based model selection, automated retraining trigger on WAPE alert</w:t>
      </w:r>
    </w:p>
    <w:p>
      <w:r>
        <w:br w:type="page"/>
      </w:r>
    </w:p>
    <w:p>
      <w:pPr>
        <w:spacing w:before="360" w:after="120"/>
        <w:pBdr>
          <w:bottom w:val="single" w:sz="6" w:space="1" w:color="1F497D"/>
        </w:pBdr>
      </w:pPr>
      <w:r>
        <w:rPr>
          <w:rFonts w:ascii="Calibri" w:hAnsi="Calibri"/>
          <w:b/>
          <w:i w:val="0"/>
          <w:color w:val="1F497D"/>
          <w:sz w:val="30"/>
        </w:rPr>
        <w:t>Section 9: Final Executive Summary</w:t>
      </w:r>
    </w:p>
    <w:p>
      <w:pPr>
        <w:spacing w:before="120" w:after="120"/>
        <w:jc w:val="center"/>
      </w:pPr>
      <w:r>
        <w:rPr>
          <w:rFonts w:ascii="Calibri" w:hAnsi="Calibri"/>
          <w:b/>
          <w:i w:val="0"/>
          <w:color w:val="378645"/>
          <w:sz w:val="56"/>
        </w:rPr>
        <w:t xml:space="preserve">  97/100  </w:t>
      </w:r>
      <w:r>
        <w:rPr>
          <w:rFonts w:ascii="Calibri" w:hAnsi="Calibri"/>
          <w:b/>
          <w:i w:val="0"/>
          <w:color w:val="2E75B6"/>
          <w:sz w:val="28"/>
        </w:rPr>
        <w:t xml:space="preserve">  |  PRODUCTION-GRADE — ELITE-APPROACHING</w:t>
      </w:r>
    </w:p>
    <w:p>
      <w:pPr>
        <w:spacing w:before="240" w:after="80"/>
      </w:pPr>
      <w:r>
        <w:rPr>
          <w:rFonts w:ascii="Calibri" w:hAnsi="Calibri"/>
          <w:b/>
          <w:i w:val="0"/>
          <w:color w:val="2E75B6"/>
          <w:sz w:val="24"/>
        </w:rPr>
        <w:t>9.1 Candid Assessment</w:t>
      </w:r>
    </w:p>
    <w:p>
      <w:pPr>
        <w:spacing w:after="120"/>
      </w:pPr>
      <w:r>
        <w:rPr>
          <w:rFonts w:ascii="Calibri" w:hAnsi="Calibri"/>
          <w:b w:val="0"/>
          <w:i w:val="0"/>
          <w:sz w:val="21"/>
        </w:rPr>
        <w:t>UCC Forecast Foundation V9 is one of the most mature enterprise forecasting notebooks this reviewer has evaluated for a B2B SaaS revenue forecasting use case. The progression from V5 (84) to V9 (97) over five releases represents a disciplined, systematic improvement process that has addressed every category of forecasting failure mode: statistical correctness, leakage prevention, ensemble optimization, hierarchical coherence, CI calibration, and external signal integration.</w:t>
      </w:r>
    </w:p>
    <w:p>
      <w:pPr>
        <w:spacing w:after="120"/>
      </w:pPr>
      <w:r>
        <w:rPr>
          <w:rFonts w:ascii="Calibri" w:hAnsi="Calibri"/>
          <w:b w:val="0"/>
          <w:i w:val="0"/>
          <w:sz w:val="21"/>
        </w:rPr>
        <w:t>The seven V9 additions — MC calibration, sales rep ramp ratio, region-aware holidays, phase-stable Fourier, plan gap signal, authoritative actuals as regressors, and profile-based future imputation — collectively represent the kind of domain-signal engineering that separates 80% WAPE systems from 92%+ WAPE systems. Each feature has clear economic justification and is implemented with proper lag safety.</w:t>
      </w:r>
    </w:p>
    <w:p>
      <w:pPr>
        <w:spacing w:after="120"/>
      </w:pPr>
      <w:r>
        <w:rPr>
          <w:rFonts w:ascii="Calibri" w:hAnsi="Calibri"/>
          <w:b w:val="0"/>
          <w:i w:val="0"/>
          <w:sz w:val="21"/>
        </w:rPr>
        <w:t>At 97/100, the two missing points are both infrastructure items, not modeling items. The forecasting logic itself is essentially complete and production-grade. This notebook can be presented to a Chief Revenue Officer or CFO with confidence.</w:t>
      </w:r>
    </w:p>
    <w:p>
      <w:pPr>
        <w:spacing w:before="240" w:after="80"/>
      </w:pPr>
      <w:r>
        <w:rPr>
          <w:rFonts w:ascii="Calibri" w:hAnsi="Calibri"/>
          <w:b/>
          <w:i w:val="0"/>
          <w:color w:val="2E75B6"/>
          <w:sz w:val="24"/>
        </w:rPr>
        <w:t>9.2 Top 10 Improvements Ranked by Cumulative Impact</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val="clear" w:color="auto" w:fill="1F497D"/>
          </w:tcPr>
          <w:p>
            <w:pPr>
              <w:jc w:val="center"/>
            </w:pPr>
            <w:r>
              <w:rPr>
                <w:rFonts w:ascii="Calibri" w:hAnsi="Calibri"/>
                <w:b/>
                <w:i w:val="0"/>
                <w:color w:val="FFFFFF"/>
                <w:sz w:val="20"/>
              </w:rPr>
              <w:t>Rank</w:t>
            </w:r>
          </w:p>
        </w:tc>
        <w:tc>
          <w:tcPr>
            <w:tcW w:type="dxa" w:w="5040"/>
            <w:shd w:val="clear" w:color="auto" w:fill="1F497D"/>
          </w:tcPr>
          <w:p>
            <w:pPr>
              <w:jc w:val="center"/>
            </w:pPr>
            <w:r>
              <w:rPr>
                <w:rFonts w:ascii="Calibri" w:hAnsi="Calibri"/>
                <w:b/>
                <w:i w:val="0"/>
                <w:color w:val="FFFFFF"/>
                <w:sz w:val="20"/>
              </w:rPr>
              <w:t>Improvement</w:t>
            </w:r>
          </w:p>
        </w:tc>
        <w:tc>
          <w:tcPr>
            <w:tcW w:type="dxa" w:w="1296"/>
            <w:shd w:val="clear" w:color="auto" w:fill="1F497D"/>
          </w:tcPr>
          <w:p>
            <w:pPr>
              <w:jc w:val="center"/>
            </w:pPr>
            <w:r>
              <w:rPr>
                <w:rFonts w:ascii="Calibri" w:hAnsi="Calibri"/>
                <w:b/>
                <w:i w:val="0"/>
                <w:color w:val="FFFFFF"/>
                <w:sz w:val="20"/>
              </w:rPr>
              <w:t>Version</w:t>
            </w:r>
          </w:p>
        </w:tc>
        <w:tc>
          <w:tcPr>
            <w:tcW w:type="dxa" w:w="2736"/>
            <w:shd w:val="clear" w:color="auto" w:fill="1F497D"/>
          </w:tcPr>
          <w:p>
            <w:pPr>
              <w:jc w:val="center"/>
            </w:pPr>
            <w:r>
              <w:rPr>
                <w:rFonts w:ascii="Calibri" w:hAnsi="Calibri"/>
                <w:b/>
                <w:i w:val="0"/>
                <w:color w:val="FFFFFF"/>
                <w:sz w:val="20"/>
              </w:rPr>
              <w:t>Est. WAPE Impact</w:t>
            </w:r>
          </w:p>
        </w:tc>
      </w:tr>
      <w:tr>
        <w:tc>
          <w:tcPr>
            <w:tcW w:type="dxa" w:w="720"/>
            <w:shd w:val="clear" w:color="auto" w:fill="F0F5FA"/>
          </w:tcPr>
          <w:p>
            <w:r>
              <w:rPr>
                <w:rFonts w:ascii="Calibri" w:hAnsi="Calibri"/>
                <w:b w:val="0"/>
                <w:i w:val="0"/>
                <w:sz w:val="20"/>
              </w:rPr>
              <w:t>1</w:t>
            </w:r>
          </w:p>
        </w:tc>
        <w:tc>
          <w:tcPr>
            <w:tcW w:type="dxa" w:w="5040"/>
            <w:shd w:val="clear" w:color="auto" w:fill="F0F5FA"/>
          </w:tcPr>
          <w:p>
            <w:r>
              <w:rPr>
                <w:rFonts w:ascii="Calibri" w:hAnsi="Calibri"/>
                <w:b w:val="0"/>
                <w:i w:val="0"/>
                <w:sz w:val="20"/>
              </w:rPr>
              <w:t>ETS additive→multiplicative seasonal fix</w:t>
            </w:r>
          </w:p>
        </w:tc>
        <w:tc>
          <w:tcPr>
            <w:tcW w:type="dxa" w:w="1296"/>
            <w:shd w:val="clear" w:color="auto" w:fill="F0F5FA"/>
          </w:tcPr>
          <w:p>
            <w:r>
              <w:rPr>
                <w:rFonts w:ascii="Calibri" w:hAnsi="Calibri"/>
                <w:b w:val="0"/>
                <w:i w:val="0"/>
                <w:sz w:val="20"/>
              </w:rPr>
              <w:t>V6→V8</w:t>
            </w:r>
          </w:p>
        </w:tc>
        <w:tc>
          <w:tcPr>
            <w:tcW w:type="dxa" w:w="2736"/>
            <w:shd w:val="clear" w:color="auto" w:fill="F0F5FA"/>
          </w:tcPr>
          <w:p>
            <w:r>
              <w:rPr>
                <w:rFonts w:ascii="Calibri" w:hAnsi="Calibri"/>
                <w:b w:val="0"/>
                <w:i w:val="0"/>
                <w:sz w:val="20"/>
              </w:rPr>
              <w:t>−5 to −8%</w:t>
            </w:r>
          </w:p>
        </w:tc>
      </w:tr>
      <w:tr>
        <w:tc>
          <w:tcPr>
            <w:tcW w:type="dxa" w:w="720"/>
            <w:shd w:val="clear" w:color="auto" w:fill="FFFFFF"/>
          </w:tcPr>
          <w:p>
            <w:r>
              <w:rPr>
                <w:rFonts w:ascii="Calibri" w:hAnsi="Calibri"/>
                <w:b w:val="0"/>
                <w:i w:val="0"/>
                <w:sz w:val="20"/>
              </w:rPr>
              <w:t>2</w:t>
            </w:r>
          </w:p>
        </w:tc>
        <w:tc>
          <w:tcPr>
            <w:tcW w:type="dxa" w:w="5040"/>
            <w:shd w:val="clear" w:color="auto" w:fill="FFFFFF"/>
          </w:tcPr>
          <w:p>
            <w:r>
              <w:rPr>
                <w:rFonts w:ascii="Calibri" w:hAnsi="Calibri"/>
                <w:b w:val="0"/>
                <w:i w:val="0"/>
                <w:sz w:val="20"/>
              </w:rPr>
              <w:t>GR ensemble (vs equal-weight)</w:t>
            </w:r>
          </w:p>
        </w:tc>
        <w:tc>
          <w:tcPr>
            <w:tcW w:type="dxa" w:w="1296"/>
            <w:shd w:val="clear" w:color="auto" w:fill="FFFFFF"/>
          </w:tcPr>
          <w:p>
            <w:r>
              <w:rPr>
                <w:rFonts w:ascii="Calibri" w:hAnsi="Calibri"/>
                <w:b w:val="0"/>
                <w:i w:val="0"/>
                <w:sz w:val="20"/>
              </w:rPr>
              <w:t>V6+</w:t>
            </w:r>
          </w:p>
        </w:tc>
        <w:tc>
          <w:tcPr>
            <w:tcW w:type="dxa" w:w="2736"/>
            <w:shd w:val="clear" w:color="auto" w:fill="FFFFFF"/>
          </w:tcPr>
          <w:p>
            <w:r>
              <w:rPr>
                <w:rFonts w:ascii="Calibri" w:hAnsi="Calibri"/>
                <w:b w:val="0"/>
                <w:i w:val="0"/>
                <w:sz w:val="20"/>
              </w:rPr>
              <w:t>−3 to −5%</w:t>
            </w:r>
          </w:p>
        </w:tc>
      </w:tr>
      <w:tr>
        <w:tc>
          <w:tcPr>
            <w:tcW w:type="dxa" w:w="720"/>
            <w:shd w:val="clear" w:color="auto" w:fill="F0F5FA"/>
          </w:tcPr>
          <w:p>
            <w:r>
              <w:rPr>
                <w:rFonts w:ascii="Calibri" w:hAnsi="Calibri"/>
                <w:b w:val="0"/>
                <w:i w:val="0"/>
                <w:sz w:val="20"/>
              </w:rPr>
              <w:t>3</w:t>
            </w:r>
          </w:p>
        </w:tc>
        <w:tc>
          <w:tcPr>
            <w:tcW w:type="dxa" w:w="5040"/>
            <w:shd w:val="clear" w:color="auto" w:fill="F0F5FA"/>
          </w:tcPr>
          <w:p>
            <w:r>
              <w:rPr>
                <w:rFonts w:ascii="Calibri" w:hAnsi="Calibri"/>
                <w:b w:val="0"/>
                <w:i w:val="0"/>
                <w:sz w:val="20"/>
              </w:rPr>
              <w:t>MinT hierarchical reconciliation</w:t>
            </w:r>
          </w:p>
        </w:tc>
        <w:tc>
          <w:tcPr>
            <w:tcW w:type="dxa" w:w="1296"/>
            <w:shd w:val="clear" w:color="auto" w:fill="F0F5FA"/>
          </w:tcPr>
          <w:p>
            <w:r>
              <w:rPr>
                <w:rFonts w:ascii="Calibri" w:hAnsi="Calibri"/>
                <w:b w:val="0"/>
                <w:i w:val="0"/>
                <w:sz w:val="20"/>
              </w:rPr>
              <w:t>V6+</w:t>
            </w:r>
          </w:p>
        </w:tc>
        <w:tc>
          <w:tcPr>
            <w:tcW w:type="dxa" w:w="2736"/>
            <w:shd w:val="clear" w:color="auto" w:fill="F0F5FA"/>
          </w:tcPr>
          <w:p>
            <w:r>
              <w:rPr>
                <w:rFonts w:ascii="Calibri" w:hAnsi="Calibri"/>
                <w:b w:val="0"/>
                <w:i w:val="0"/>
                <w:sz w:val="20"/>
              </w:rPr>
              <w:t>−2 to −4% (market-level)</w:t>
            </w:r>
          </w:p>
        </w:tc>
      </w:tr>
      <w:tr>
        <w:tc>
          <w:tcPr>
            <w:tcW w:type="dxa" w:w="720"/>
            <w:shd w:val="clear" w:color="auto" w:fill="FFFFFF"/>
          </w:tcPr>
          <w:p>
            <w:r>
              <w:rPr>
                <w:rFonts w:ascii="Calibri" w:hAnsi="Calibri"/>
                <w:b w:val="0"/>
                <w:i w:val="0"/>
                <w:sz w:val="20"/>
              </w:rPr>
              <w:t>4</w:t>
            </w:r>
          </w:p>
        </w:tc>
        <w:tc>
          <w:tcPr>
            <w:tcW w:type="dxa" w:w="5040"/>
            <w:shd w:val="clear" w:color="auto" w:fill="FFFFFF"/>
          </w:tcPr>
          <w:p>
            <w:r>
              <w:rPr>
                <w:rFonts w:ascii="Calibri" w:hAnsi="Calibri"/>
                <w:b w:val="0"/>
                <w:i w:val="0"/>
                <w:sz w:val="20"/>
              </w:rPr>
              <w:t>Marketing cliff fix (ffill per slice)</w:t>
            </w:r>
          </w:p>
        </w:tc>
        <w:tc>
          <w:tcPr>
            <w:tcW w:type="dxa" w:w="1296"/>
            <w:shd w:val="clear" w:color="auto" w:fill="FFFFFF"/>
          </w:tcPr>
          <w:p>
            <w:r>
              <w:rPr>
                <w:rFonts w:ascii="Calibri" w:hAnsi="Calibri"/>
                <w:b w:val="0"/>
                <w:i w:val="0"/>
                <w:sz w:val="20"/>
              </w:rPr>
              <w:t>V8</w:t>
            </w:r>
          </w:p>
        </w:tc>
        <w:tc>
          <w:tcPr>
            <w:tcW w:type="dxa" w:w="2736"/>
            <w:shd w:val="clear" w:color="auto" w:fill="FFFFFF"/>
          </w:tcPr>
          <w:p>
            <w:r>
              <w:rPr>
                <w:rFonts w:ascii="Calibri" w:hAnsi="Calibri"/>
                <w:b w:val="0"/>
                <w:i w:val="0"/>
                <w:sz w:val="20"/>
              </w:rPr>
              <w:t>−2 to −4%</w:t>
            </w:r>
          </w:p>
        </w:tc>
      </w:tr>
      <w:tr>
        <w:tc>
          <w:tcPr>
            <w:tcW w:type="dxa" w:w="720"/>
            <w:shd w:val="clear" w:color="auto" w:fill="F0F5FA"/>
          </w:tcPr>
          <w:p>
            <w:r>
              <w:rPr>
                <w:rFonts w:ascii="Calibri" w:hAnsi="Calibri"/>
                <w:b w:val="0"/>
                <w:i w:val="0"/>
                <w:sz w:val="20"/>
              </w:rPr>
              <w:t>5</w:t>
            </w:r>
          </w:p>
        </w:tc>
        <w:tc>
          <w:tcPr>
            <w:tcW w:type="dxa" w:w="5040"/>
            <w:shd w:val="clear" w:color="auto" w:fill="F0F5FA"/>
          </w:tcPr>
          <w:p>
            <w:r>
              <w:rPr>
                <w:rFonts w:ascii="Calibri" w:hAnsi="Calibri"/>
                <w:b w:val="0"/>
                <w:i w:val="0"/>
                <w:sz w:val="20"/>
              </w:rPr>
              <w:t>MC calibration layer (add_monthly_mc_scale)</w:t>
            </w:r>
          </w:p>
        </w:tc>
        <w:tc>
          <w:tcPr>
            <w:tcW w:type="dxa" w:w="1296"/>
            <w:shd w:val="clear" w:color="auto" w:fill="F0F5FA"/>
          </w:tcPr>
          <w:p>
            <w:r>
              <w:rPr>
                <w:rFonts w:ascii="Calibri" w:hAnsi="Calibri"/>
                <w:b w:val="0"/>
                <w:i w:val="0"/>
                <w:sz w:val="20"/>
              </w:rPr>
              <w:t>V9</w:t>
            </w:r>
          </w:p>
        </w:tc>
        <w:tc>
          <w:tcPr>
            <w:tcW w:type="dxa" w:w="2736"/>
            <w:shd w:val="clear" w:color="auto" w:fill="F0F5FA"/>
          </w:tcPr>
          <w:p>
            <w:r>
              <w:rPr>
                <w:rFonts w:ascii="Calibri" w:hAnsi="Calibri"/>
                <w:b w:val="0"/>
                <w:i w:val="0"/>
                <w:sz w:val="20"/>
              </w:rPr>
              <w:t>−3 to −5% bias</w:t>
            </w:r>
          </w:p>
        </w:tc>
      </w:tr>
      <w:tr>
        <w:tc>
          <w:tcPr>
            <w:tcW w:type="dxa" w:w="720"/>
            <w:shd w:val="clear" w:color="auto" w:fill="FFFFFF"/>
          </w:tcPr>
          <w:p>
            <w:r>
              <w:rPr>
                <w:rFonts w:ascii="Calibri" w:hAnsi="Calibri"/>
                <w:b w:val="0"/>
                <w:i w:val="0"/>
                <w:sz w:val="20"/>
              </w:rPr>
              <w:t>6</w:t>
            </w:r>
          </w:p>
        </w:tc>
        <w:tc>
          <w:tcPr>
            <w:tcW w:type="dxa" w:w="5040"/>
            <w:shd w:val="clear" w:color="auto" w:fill="FFFFFF"/>
          </w:tcPr>
          <w:p>
            <w:r>
              <w:rPr>
                <w:rFonts w:ascii="Calibri" w:hAnsi="Calibri"/>
                <w:b w:val="0"/>
                <w:i w:val="0"/>
                <w:sz w:val="20"/>
              </w:rPr>
              <w:t>LGB early stopping (prevent overfit)</w:t>
            </w:r>
          </w:p>
        </w:tc>
        <w:tc>
          <w:tcPr>
            <w:tcW w:type="dxa" w:w="1296"/>
            <w:shd w:val="clear" w:color="auto" w:fill="FFFFFF"/>
          </w:tcPr>
          <w:p>
            <w:r>
              <w:rPr>
                <w:rFonts w:ascii="Calibri" w:hAnsi="Calibri"/>
                <w:b w:val="0"/>
                <w:i w:val="0"/>
                <w:sz w:val="20"/>
              </w:rPr>
              <w:t>V8</w:t>
            </w:r>
          </w:p>
        </w:tc>
        <w:tc>
          <w:tcPr>
            <w:tcW w:type="dxa" w:w="2736"/>
            <w:shd w:val="clear" w:color="auto" w:fill="FFFFFF"/>
          </w:tcPr>
          <w:p>
            <w:r>
              <w:rPr>
                <w:rFonts w:ascii="Calibri" w:hAnsi="Calibri"/>
                <w:b w:val="0"/>
                <w:i w:val="0"/>
                <w:sz w:val="20"/>
              </w:rPr>
              <w:t>−1 to −3%</w:t>
            </w:r>
          </w:p>
        </w:tc>
      </w:tr>
      <w:tr>
        <w:tc>
          <w:tcPr>
            <w:tcW w:type="dxa" w:w="720"/>
            <w:shd w:val="clear" w:color="auto" w:fill="F0F5FA"/>
          </w:tcPr>
          <w:p>
            <w:r>
              <w:rPr>
                <w:rFonts w:ascii="Calibri" w:hAnsi="Calibri"/>
                <w:b w:val="0"/>
                <w:i w:val="0"/>
                <w:sz w:val="20"/>
              </w:rPr>
              <w:t>7</w:t>
            </w:r>
          </w:p>
        </w:tc>
        <w:tc>
          <w:tcPr>
            <w:tcW w:type="dxa" w:w="5040"/>
            <w:shd w:val="clear" w:color="auto" w:fill="F0F5FA"/>
          </w:tcPr>
          <w:p>
            <w:r>
              <w:rPr>
                <w:rFonts w:ascii="Calibri" w:hAnsi="Calibri"/>
                <w:b w:val="0"/>
                <w:i w:val="0"/>
                <w:sz w:val="20"/>
              </w:rPr>
              <w:t>Plan gap + miradore_lag4 features</w:t>
            </w:r>
          </w:p>
        </w:tc>
        <w:tc>
          <w:tcPr>
            <w:tcW w:type="dxa" w:w="1296"/>
            <w:shd w:val="clear" w:color="auto" w:fill="F0F5FA"/>
          </w:tcPr>
          <w:p>
            <w:r>
              <w:rPr>
                <w:rFonts w:ascii="Calibri" w:hAnsi="Calibri"/>
                <w:b w:val="0"/>
                <w:i w:val="0"/>
                <w:sz w:val="20"/>
              </w:rPr>
              <w:t>V9</w:t>
            </w:r>
          </w:p>
        </w:tc>
        <w:tc>
          <w:tcPr>
            <w:tcW w:type="dxa" w:w="2736"/>
            <w:shd w:val="clear" w:color="auto" w:fill="F0F5FA"/>
          </w:tcPr>
          <w:p>
            <w:r>
              <w:rPr>
                <w:rFonts w:ascii="Calibri" w:hAnsi="Calibri"/>
                <w:b w:val="0"/>
                <w:i w:val="0"/>
                <w:sz w:val="20"/>
              </w:rPr>
              <w:t>−1 to −2%</w:t>
            </w:r>
          </w:p>
        </w:tc>
      </w:tr>
      <w:tr>
        <w:tc>
          <w:tcPr>
            <w:tcW w:type="dxa" w:w="720"/>
            <w:shd w:val="clear" w:color="auto" w:fill="FFFFFF"/>
          </w:tcPr>
          <w:p>
            <w:r>
              <w:rPr>
                <w:rFonts w:ascii="Calibri" w:hAnsi="Calibri"/>
                <w:b w:val="0"/>
                <w:i w:val="0"/>
                <w:sz w:val="20"/>
              </w:rPr>
              <w:t>8</w:t>
            </w:r>
          </w:p>
        </w:tc>
        <w:tc>
          <w:tcPr>
            <w:tcW w:type="dxa" w:w="5040"/>
            <w:shd w:val="clear" w:color="auto" w:fill="FFFFFF"/>
          </w:tcPr>
          <w:p>
            <w:r>
              <w:rPr>
                <w:rFonts w:ascii="Calibri" w:hAnsi="Calibri"/>
                <w:b w:val="0"/>
                <w:i w:val="0"/>
                <w:sz w:val="20"/>
              </w:rPr>
              <w:t>Phase-stable Fourier terms in DHR</w:t>
            </w:r>
          </w:p>
        </w:tc>
        <w:tc>
          <w:tcPr>
            <w:tcW w:type="dxa" w:w="1296"/>
            <w:shd w:val="clear" w:color="auto" w:fill="FFFFFF"/>
          </w:tcPr>
          <w:p>
            <w:r>
              <w:rPr>
                <w:rFonts w:ascii="Calibri" w:hAnsi="Calibri"/>
                <w:b w:val="0"/>
                <w:i w:val="0"/>
                <w:sz w:val="20"/>
              </w:rPr>
              <w:t>V9</w:t>
            </w:r>
          </w:p>
        </w:tc>
        <w:tc>
          <w:tcPr>
            <w:tcW w:type="dxa" w:w="2736"/>
            <w:shd w:val="clear" w:color="auto" w:fill="FFFFFF"/>
          </w:tcPr>
          <w:p>
            <w:r>
              <w:rPr>
                <w:rFonts w:ascii="Calibri" w:hAnsi="Calibri"/>
                <w:b w:val="0"/>
                <w:i w:val="0"/>
                <w:sz w:val="20"/>
              </w:rPr>
              <w:t>−0.5 to −1% (DHR only)</w:t>
            </w:r>
          </w:p>
        </w:tc>
      </w:tr>
      <w:tr>
        <w:tc>
          <w:tcPr>
            <w:tcW w:type="dxa" w:w="720"/>
            <w:shd w:val="clear" w:color="auto" w:fill="F0F5FA"/>
          </w:tcPr>
          <w:p>
            <w:r>
              <w:rPr>
                <w:rFonts w:ascii="Calibri" w:hAnsi="Calibri"/>
                <w:b w:val="0"/>
                <w:i w:val="0"/>
                <w:sz w:val="20"/>
              </w:rPr>
              <w:t>9</w:t>
            </w:r>
          </w:p>
        </w:tc>
        <w:tc>
          <w:tcPr>
            <w:tcW w:type="dxa" w:w="5040"/>
            <w:shd w:val="clear" w:color="auto" w:fill="F0F5FA"/>
          </w:tcPr>
          <w:p>
            <w:r>
              <w:rPr>
                <w:rFonts w:ascii="Calibri" w:hAnsi="Calibri"/>
                <w:b w:val="0"/>
                <w:i w:val="0"/>
                <w:sz w:val="20"/>
              </w:rPr>
              <w:t>sales_rep_ramp_ratio feature</w:t>
            </w:r>
          </w:p>
        </w:tc>
        <w:tc>
          <w:tcPr>
            <w:tcW w:type="dxa" w:w="1296"/>
            <w:shd w:val="clear" w:color="auto" w:fill="F0F5FA"/>
          </w:tcPr>
          <w:p>
            <w:r>
              <w:rPr>
                <w:rFonts w:ascii="Calibri" w:hAnsi="Calibri"/>
                <w:b w:val="0"/>
                <w:i w:val="0"/>
                <w:sz w:val="20"/>
              </w:rPr>
              <w:t>V9</w:t>
            </w:r>
          </w:p>
        </w:tc>
        <w:tc>
          <w:tcPr>
            <w:tcW w:type="dxa" w:w="2736"/>
            <w:shd w:val="clear" w:color="auto" w:fill="F0F5FA"/>
          </w:tcPr>
          <w:p>
            <w:r>
              <w:rPr>
                <w:rFonts w:ascii="Calibri" w:hAnsi="Calibri"/>
                <w:b w:val="0"/>
                <w:i w:val="0"/>
                <w:sz w:val="20"/>
              </w:rPr>
              <w:t>−1 to −2% (APAC/EMEA)</w:t>
            </w:r>
          </w:p>
        </w:tc>
      </w:tr>
      <w:tr>
        <w:tc>
          <w:tcPr>
            <w:tcW w:type="dxa" w:w="720"/>
            <w:shd w:val="clear" w:color="auto" w:fill="FFFFFF"/>
          </w:tcPr>
          <w:p>
            <w:r>
              <w:rPr>
                <w:rFonts w:ascii="Calibri" w:hAnsi="Calibri"/>
                <w:b w:val="0"/>
                <w:i w:val="0"/>
                <w:sz w:val="20"/>
              </w:rPr>
              <w:t>10</w:t>
            </w:r>
          </w:p>
        </w:tc>
        <w:tc>
          <w:tcPr>
            <w:tcW w:type="dxa" w:w="5040"/>
            <w:shd w:val="clear" w:color="auto" w:fill="FFFFFF"/>
          </w:tcPr>
          <w:p>
            <w:r>
              <w:rPr>
                <w:rFonts w:ascii="Calibri" w:hAnsi="Calibri"/>
                <w:b w:val="0"/>
                <w:i w:val="0"/>
                <w:sz w:val="20"/>
              </w:rPr>
              <w:t>region_holiday per market</w:t>
            </w:r>
          </w:p>
        </w:tc>
        <w:tc>
          <w:tcPr>
            <w:tcW w:type="dxa" w:w="1296"/>
            <w:shd w:val="clear" w:color="auto" w:fill="FFFFFF"/>
          </w:tcPr>
          <w:p>
            <w:r>
              <w:rPr>
                <w:rFonts w:ascii="Calibri" w:hAnsi="Calibri"/>
                <w:b w:val="0"/>
                <w:i w:val="0"/>
                <w:sz w:val="20"/>
              </w:rPr>
              <w:t>V9</w:t>
            </w:r>
          </w:p>
        </w:tc>
        <w:tc>
          <w:tcPr>
            <w:tcW w:type="dxa" w:w="2736"/>
            <w:shd w:val="clear" w:color="auto" w:fill="FFFFFF"/>
          </w:tcPr>
          <w:p>
            <w:r>
              <w:rPr>
                <w:rFonts w:ascii="Calibri" w:hAnsi="Calibri"/>
                <w:b w:val="0"/>
                <w:i w:val="0"/>
                <w:sz w:val="20"/>
              </w:rPr>
              <w:t>−0.5 to −1%</w:t>
            </w:r>
          </w:p>
        </w:tc>
      </w:tr>
    </w:tbl>
    <w:p/>
    <w:p>
      <w:pPr>
        <w:spacing w:before="240" w:after="80"/>
      </w:pPr>
      <w:r>
        <w:rPr>
          <w:rFonts w:ascii="Calibri" w:hAnsi="Calibri"/>
          <w:b/>
          <w:i w:val="0"/>
          <w:color w:val="2E75B6"/>
          <w:sz w:val="24"/>
        </w:rPr>
        <w:t>9.3 Recommended Production Stack</w:t>
      </w:r>
    </w:p>
    <w:p>
      <w:pPr>
        <w:pStyle w:val="ListBullet"/>
        <w:spacing w:after="40"/>
        <w:ind w:left="360"/>
      </w:pPr>
      <w:r>
        <w:rPr>
          <w:rFonts w:ascii="Calibri" w:hAnsi="Calibri"/>
          <w:b/>
          <w:i w:val="0"/>
          <w:color w:val="2E75B6"/>
          <w:sz w:val="21"/>
        </w:rPr>
        <w:t xml:space="preserve">Primary model: </w:t>
      </w:r>
      <w:r>
        <w:rPr>
          <w:rFonts w:ascii="Calibri" w:hAnsi="Calibri"/>
          <w:b w:val="0"/>
          <w:i w:val="0"/>
          <w:sz w:val="21"/>
        </w:rPr>
        <w:t>Adaptive_Ensemble (GR-weighted combination of MSTL, ETS, Prophet, DHR, Global_LGB)</w:t>
      </w:r>
    </w:p>
    <w:p>
      <w:pPr>
        <w:pStyle w:val="ListBullet"/>
        <w:spacing w:after="40"/>
        <w:ind w:left="360"/>
      </w:pPr>
      <w:r>
        <w:rPr>
          <w:rFonts w:ascii="Calibri" w:hAnsi="Calibri"/>
          <w:b/>
          <w:i w:val="0"/>
          <w:color w:val="2E75B6"/>
          <w:sz w:val="21"/>
        </w:rPr>
        <w:t xml:space="preserve">P10/P90 intervals: </w:t>
      </w:r>
      <w:r>
        <w:rPr>
          <w:rFonts w:ascii="Calibri" w:hAnsi="Calibri"/>
          <w:b w:val="0"/>
          <w:i w:val="0"/>
          <w:sz w:val="21"/>
        </w:rPr>
        <w:t>Global_LGB_Q50_UCC quantile bounds, MinT-reconciled to market level</w:t>
      </w:r>
    </w:p>
    <w:p>
      <w:pPr>
        <w:pStyle w:val="ListBullet"/>
        <w:spacing w:after="40"/>
        <w:ind w:left="360"/>
      </w:pPr>
      <w:r>
        <w:rPr>
          <w:rFonts w:ascii="Calibri" w:hAnsi="Calibri"/>
          <w:b/>
          <w:i w:val="0"/>
          <w:color w:val="2E75B6"/>
          <w:sz w:val="21"/>
        </w:rPr>
        <w:t xml:space="preserve">Compute: </w:t>
      </w:r>
      <w:r>
        <w:rPr>
          <w:rFonts w:ascii="Calibri" w:hAnsi="Calibri"/>
          <w:b w:val="0"/>
          <w:i w:val="0"/>
          <w:sz w:val="21"/>
        </w:rPr>
        <w:t>Databricks ML Runtime 14+ on Standard_DS3_v2 or equivalent; LGB benefits from 4+ cores</w:t>
      </w:r>
    </w:p>
    <w:p>
      <w:pPr>
        <w:pStyle w:val="ListBullet"/>
        <w:spacing w:after="40"/>
        <w:ind w:left="360"/>
      </w:pPr>
      <w:r>
        <w:rPr>
          <w:rFonts w:ascii="Calibri" w:hAnsi="Calibri"/>
          <w:b/>
          <w:i w:val="0"/>
          <w:color w:val="2E75B6"/>
          <w:sz w:val="21"/>
        </w:rPr>
        <w:t xml:space="preserve">Scheduling: </w:t>
      </w:r>
      <w:r>
        <w:rPr>
          <w:rFonts w:ascii="Calibri" w:hAnsi="Calibri"/>
          <w:b w:val="0"/>
          <w:i w:val="0"/>
          <w:sz w:val="21"/>
        </w:rPr>
        <w:t>Databricks Job triggered Monday morning after SFDC Sunday close, 07:00 UTC</w:t>
      </w:r>
    </w:p>
    <w:p>
      <w:pPr>
        <w:pStyle w:val="ListBullet"/>
        <w:spacing w:after="40"/>
        <w:ind w:left="360"/>
      </w:pPr>
      <w:r>
        <w:rPr>
          <w:rFonts w:ascii="Calibri" w:hAnsi="Calibri"/>
          <w:b/>
          <w:i w:val="0"/>
          <w:color w:val="2E75B6"/>
          <w:sz w:val="21"/>
        </w:rPr>
        <w:t xml:space="preserve">Outputs: </w:t>
      </w:r>
      <w:r>
        <w:rPr>
          <w:rFonts w:ascii="Calibri" w:hAnsi="Calibri"/>
          <w:b w:val="0"/>
          <w:i w:val="0"/>
          <w:sz w:val="21"/>
        </w:rPr>
        <w:t>ucc_forecast_v5 (primary) + ucc_forecast_v4 (legacy) + ucc_forecast_monitoring_baseline</w:t>
      </w:r>
    </w:p>
    <w:p>
      <w:pPr>
        <w:pStyle w:val="ListBullet"/>
        <w:spacing w:after="40"/>
        <w:ind w:left="360"/>
      </w:pPr>
      <w:r>
        <w:rPr>
          <w:rFonts w:ascii="Calibri" w:hAnsi="Calibri"/>
          <w:b/>
          <w:i w:val="0"/>
          <w:color w:val="2E75B6"/>
          <w:sz w:val="21"/>
        </w:rPr>
        <w:t xml:space="preserve">Monitoring: </w:t>
      </w:r>
      <w:r>
        <w:rPr>
          <w:rFonts w:ascii="Calibri" w:hAnsi="Calibri"/>
          <w:b w:val="0"/>
          <w:i w:val="0"/>
          <w:sz w:val="21"/>
        </w:rPr>
        <w:t>Weekly WAPE vs rolling_4w_wape_alert_threshold; alert to Slack/email if exceeded</w:t>
      </w:r>
    </w:p>
    <w:p>
      <w:pPr>
        <w:pStyle w:val="ListBullet"/>
        <w:spacing w:after="40"/>
        <w:ind w:left="360"/>
      </w:pPr>
      <w:r>
        <w:rPr>
          <w:rFonts w:ascii="Calibri" w:hAnsi="Calibri"/>
          <w:b/>
          <w:i w:val="0"/>
          <w:color w:val="2E75B6"/>
          <w:sz w:val="21"/>
        </w:rPr>
        <w:t xml:space="preserve">MLflow: </w:t>
      </w:r>
      <w:r>
        <w:rPr>
          <w:rFonts w:ascii="Calibri" w:hAnsi="Calibri"/>
          <w:b w:val="0"/>
          <w:i w:val="0"/>
          <w:sz w:val="21"/>
        </w:rPr>
        <w:t>Databricks managed MLflow; register LGB in Model Registry; log GR weights as metrics</w:t>
      </w:r>
    </w:p>
    <w:p>
      <w:pPr>
        <w:spacing w:before="240" w:after="80"/>
      </w:pPr>
      <w:r>
        <w:rPr>
          <w:rFonts w:ascii="Calibri" w:hAnsi="Calibri"/>
          <w:b/>
          <w:i w:val="0"/>
          <w:color w:val="2E75B6"/>
          <w:sz w:val="24"/>
        </w:rPr>
        <w:t>9.4 Model Strategy Going Forward</w:t>
      </w:r>
    </w:p>
    <w:p>
      <w:pPr>
        <w:spacing w:after="80"/>
      </w:pPr>
      <w:r>
        <w:rPr>
          <w:rFonts w:ascii="Calibri" w:hAnsi="Calibri"/>
          <w:b w:val="0"/>
          <w:i w:val="0"/>
          <w:sz w:val="21"/>
        </w:rPr>
        <w:t>The current 5-model ensemble is close to optimal for the available data volume (~170 weeks). Adding a sixth model should only be done if:</w:t>
      </w:r>
    </w:p>
    <w:p>
      <w:pPr>
        <w:pStyle w:val="ListBullet"/>
        <w:spacing w:after="40"/>
        <w:ind w:left="360"/>
      </w:pPr>
      <w:r>
        <w:rPr>
          <w:rFonts w:ascii="Calibri" w:hAnsi="Calibri"/>
          <w:b w:val="0"/>
          <w:i w:val="0"/>
          <w:sz w:val="21"/>
        </w:rPr>
        <w:t>It decorrelates from existing models (check pairwise error correlation &lt; 0.4)</w:t>
      </w:r>
    </w:p>
    <w:p>
      <w:pPr>
        <w:pStyle w:val="ListBullet"/>
        <w:spacing w:after="40"/>
        <w:ind w:left="360"/>
      </w:pPr>
      <w:r>
        <w:rPr>
          <w:rFonts w:ascii="Calibri" w:hAnsi="Calibri"/>
          <w:b w:val="0"/>
          <w:i w:val="0"/>
          <w:sz w:val="21"/>
        </w:rPr>
        <w:t>It improves ensemble WAPE by ≥ 1 percentage point in hold-out CV</w:t>
      </w:r>
    </w:p>
    <w:p>
      <w:pPr>
        <w:pStyle w:val="ListBullet"/>
        <w:spacing w:after="40"/>
        <w:ind w:left="360"/>
      </w:pPr>
      <w:r>
        <w:rPr>
          <w:rFonts w:ascii="Calibri" w:hAnsi="Calibri"/>
          <w:b w:val="0"/>
          <w:i w:val="0"/>
          <w:sz w:val="21"/>
        </w:rPr>
        <w:t>It does not increase run time beyond the weekly SLA</w:t>
      </w:r>
    </w:p>
    <w:p>
      <w:pPr>
        <w:spacing w:after="80"/>
      </w:pPr>
      <w:r>
        <w:rPr>
          <w:rFonts w:ascii="Calibri" w:hAnsi="Calibri"/>
          <w:b w:val="0"/>
          <w:i w:val="0"/>
          <w:sz w:val="21"/>
        </w:rPr>
        <w:t>The most promising candidates are: (1) TFT with 3+ years of data, (2) Global Chronos fine-tuned on UCC data, (3) NHITS from statsforecast. All should be shadow-tested for 12+ weeks before promotion.</w:t>
      </w:r>
    </w:p>
    <w:p>
      <w:pPr>
        <w:spacing w:before="240" w:after="80"/>
      </w:pPr>
      <w:r>
        <w:rPr>
          <w:rFonts w:ascii="Calibri" w:hAnsi="Calibri"/>
          <w:b/>
          <w:i w:val="0"/>
          <w:color w:val="2E75B6"/>
          <w:sz w:val="24"/>
        </w:rPr>
        <w:t>9.5 Three-Line Summary for Executives</w:t>
      </w:r>
    </w:p>
    <w:p>
      <w:pPr>
        <w:spacing w:after="80"/>
      </w:pPr>
      <w:r>
        <w:rPr>
          <w:rFonts w:ascii="Calibri" w:hAnsi="Calibri"/>
          <w:b w:val="0"/>
          <w:i w:val="0"/>
          <w:sz w:val="21"/>
        </w:rPr>
        <w:t>V9 is production-ready and elite-approaching at 97/100. Every major modeling risk has been addressed through rigorous statistical engineering — leakage-free features, hierarchically coherent market splits, GR-optimal ensemble weights, and MC-calibrated baseline signals. Fix the notebook version tag and add a Databricks Job to reach 99/100 — the forecasting itself is done.</w:t>
      </w:r>
    </w:p>
    <w:p/>
    <w:p/>
    <w:p>
      <w:pPr>
        <w:jc w:val="center"/>
      </w:pPr>
      <w:r>
        <w:rPr>
          <w:rFonts w:ascii="Calibri" w:hAnsi="Calibri"/>
          <w:b w:val="0"/>
          <w:i/>
          <w:color w:val="595959"/>
          <w:sz w:val="22"/>
        </w:rPr>
        <w:t>— End of Report —</w:t>
      </w:r>
    </w:p>
    <w:p>
      <w:pPr>
        <w:jc w:val="center"/>
      </w:pPr>
      <w:r>
        <w:rPr>
          <w:rFonts w:ascii="Calibri" w:hAnsi="Calibri"/>
          <w:b w:val="0"/>
          <w:i w:val="0"/>
          <w:color w:val="595959"/>
          <w:sz w:val="18"/>
        </w:rPr>
        <w:t>GoTo Technologies | UCC Growth ARR Forecasting | Expert Review | July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