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none"/>
        </w:pBdr>
        <w:shd w:fill="2E5F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Building a Large Language Model from Scratch</w:t>
      </w:r>
    </w:p>
    <w:p>
      <w:pPr>
        <w:shd w:fill="2E5F8A" w:val="clear"/>
        <w:spacing w:after="160" w:before="0"/>
        <w:jc w:val="center"/>
      </w:pPr>
      <w:r>
        <w:rPr>
          <w:rFonts w:ascii="Arial" w:cs="Arial" w:eastAsia="Arial" w:hAnsi="Arial"/>
          <w:color w:val="D0E8FF"/>
          <w:sz w:val="20"/>
          <w:szCs w:val="20"/>
        </w:rPr>
        <w:t xml:space="preserve">Key Findings Summary  |  Namrata &amp; Divya  |  Vizuara LLM Assignment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color w:val="1A3A5C"/>
          <w:sz w:val="20"/>
          <w:szCs w:val="20"/>
        </w:rPr>
        <w:t xml:space="preserve">Project Overview: </w:t>
      </w:r>
      <w:r>
        <w:rPr>
          <w:rFonts w:ascii="Arial" w:cs="Arial" w:eastAsia="Arial" w:hAnsi="Arial"/>
          <w:sz w:val="18"/>
          <w:szCs w:val="18"/>
        </w:rPr>
        <w:t xml:space="preserve">A GPT-2-style language model (124M parameter configuration) was built from scratch in PyTorch and trained on the Sherlock Holmes corpus (~600K tokens). The implementation covers tokenization (GPT-2 BPE via tiktoken), token + positional embeddings, multi-head causal self-attention, transformer blocks with Layer Normalization and feed-forward networks, and autoregressive text generation with greedy decoding, temperature scaling, and top-k sampling. Four structured experiments were conducted to understand the impact of key hyperparameters and architectural components.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A5C"/>
          <w:sz w:val="19"/>
          <w:szCs w:val="19"/>
        </w:rPr>
        <w:t xml:space="preserve">Architecture Snapshot: </w:t>
      </w:r>
      <w:r>
        <w:rPr>
          <w:rFonts w:ascii="Arial" w:cs="Arial" w:eastAsia="Arial" w:hAnsi="Arial"/>
          <w:sz w:val="18"/>
          <w:szCs w:val="18"/>
        </w:rPr>
        <w:t xml:space="preserve">Vocab 50,257  |  Context 256  |  Embedding 768  |  12 Heads  |  12 Layers  |  Dropout 0.1  |  Optimizer: AdamW</w:t>
      </w:r>
    </w:p>
    <w:p>
      <w:pPr>
        <w:shd w:fill="D6E4F0" w:val="clear"/>
        <w:spacing w:after="60" w:before="10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Experimental Results &amp; Key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440"/>
        <w:gridCol w:w="6240"/>
      </w:tblGrid>
      <w:tr>
        <w:trPr>
          <w:tblHeader/>
        </w:trPr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Experiment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Configuration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Finding</w:t>
            </w:r>
          </w:p>
        </w:tc>
      </w:tr>
      <w:tr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Baseline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AdamW lr=4e-4, 50 epochs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 loss ~0.11, val loss ~7.73. Model converges but overfits on the small Sherlock Holmes corpus.</w:t>
            </w:r>
          </w:p>
        </w:tc>
      </w:tr>
      <w:tr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 1: Epochs &amp; LR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lr ∈ {1e-4, 1e-3, 1e-2}, epochs ∈ {5–200}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Mid-range LR (1e-3–4e-4) with 20–50 epochs offers the best convergence/generalization trade-off. High LR (1e-2) causes instability; very low LR (1e-4) needs many epochs to converge.</w:t>
            </w:r>
          </w:p>
        </w:tc>
      </w:tr>
      <w:tr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 2: Layers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n_layers ∈ {1, 3, 5, 7, 12}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Deeper models achieve lower training loss but overfit more. 5–7 layers provides the best validation generalization on a limited dataset.</w:t>
            </w:r>
          </w:p>
        </w:tc>
      </w:tr>
      <w:tr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 3: Attention Heads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n_heads ∈ {1, 2, 4, 8}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 heads achieves best validation loss (4.44). More heads capture richer multi-aspect representations, but gains diminish and over-fitting risk rises on small data.</w:t>
            </w:r>
          </w:p>
        </w:tc>
      </w:tr>
      <w:tr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 4A: No LayerNorm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Removed LayerNorm from all blocks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still converges, but val loss is significantly worse (6.48 vs baseline 5.51). Without normalization, activation distributions drift and the model memorizes rather than generalizing.</w:t>
            </w:r>
          </w:p>
        </w:tc>
      </w:tr>
      <w:tr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 4B: No Residuals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Removed shortcut connections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Most damaging ablation. Val loss starts at 6.20 and never improves (stuck ~6.33). Gradients cannot back-propagate through 12 layers — essentially random text output.</w:t>
            </w:r>
          </w:p>
        </w:tc>
      </w:tr>
      <w:tr>
        <w:tc>
          <w:tcPr>
            <w:tcW w:type="dxa" w:w="168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Exp 4C: No FFN</w:t>
            </w:r>
          </w:p>
        </w:tc>
        <w:tc>
          <w:tcPr>
            <w:tcW w:type="dxa" w:w="14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Removed feed-forward sub-layer</w:t>
            </w:r>
          </w:p>
        </w:tc>
        <w:tc>
          <w:tcPr>
            <w:tcW w:type="dxa" w:w="62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 degradation (val loss 5.44 vs 5.51). The FFN acts as position-wise memory; without it, attention alone cannot capture complex linguistic patterns.</w:t>
            </w:r>
          </w:p>
        </w:tc>
      </w:tr>
    </w:tbl>
    <w:p>
      <w:pPr>
        <w:shd w:fill="D6E4F0" w:val="clear"/>
        <w:spacing w:after="60" w:before="12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  Component Importance Ranking (Ablation Summary)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 Loss (10 ep)</w:t>
            </w:r>
          </w:p>
        </w:tc>
        <w:tc>
          <w:tcPr>
            <w:tcW w:type="dxa" w:w="50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2E5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</w:tr>
      <w:tr>
        <w:tc>
          <w:tcPr>
            <w:tcW w:type="dxa" w:w="2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Full Baseline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C8E6C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5.51</w:t>
            </w:r>
          </w:p>
        </w:tc>
        <w:tc>
          <w:tcPr>
            <w:tcW w:type="dxa" w:w="50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Reference model — all components working together</w:t>
            </w:r>
          </w:p>
        </w:tc>
      </w:tr>
      <w:tr>
        <w:tc>
          <w:tcPr>
            <w:tcW w:type="dxa" w:w="2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Residual Connections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CD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6.33 (stuck)</w:t>
            </w:r>
          </w:p>
        </w:tc>
        <w:tc>
          <w:tcPr>
            <w:tcW w:type="dxa" w:w="50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Training failure — essential for gradient flow in deep networks</w:t>
            </w:r>
          </w:p>
        </w:tc>
      </w:tr>
      <w:tr>
        <w:tc>
          <w:tcPr>
            <w:tcW w:type="dxa" w:w="2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Layer Normalization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CDD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6.48</w:t>
            </w:r>
          </w:p>
        </w:tc>
        <w:tc>
          <w:tcPr>
            <w:tcW w:type="dxa" w:w="50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Severe overfitting — normalization critical for generalization</w:t>
            </w:r>
          </w:p>
        </w:tc>
      </w:tr>
      <w:tr>
        <w:tc>
          <w:tcPr>
            <w:tcW w:type="dxa" w:w="252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 Feed-Forward Network</w:t>
            </w:r>
          </w:p>
        </w:tc>
        <w:tc>
          <w:tcPr>
            <w:tcW w:type="dxa" w:w="180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FFF9C4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5.44</w:t>
            </w:r>
          </w:p>
        </w:tc>
        <w:tc>
          <w:tcPr>
            <w:tcW w:type="dxa" w:w="5040"/>
            <w:tcBorders>
              <w:top w:val="single" w:color="BBCFE0" w:sz="1"/>
              <w:left w:val="single" w:color="BBCFE0" w:sz="1"/>
              <w:bottom w:val="single" w:color="BBCFE0" w:sz="1"/>
              <w:right w:val="single" w:color="BBCFE0" w:sz="1"/>
            </w:tcBorders>
            <w:shd w:fill="EE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Moderate degradation — FFN provides essential non-linear capacity</w:t>
            </w:r>
          </w:p>
        </w:tc>
      </w:tr>
    </w:tbl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Conclusion: Optimal configuration — LR ~4e-4, 20–50 epochs, 5–7 layers, 8 attention heads, with all three architectural components (LayerNorm + Residuals + FFN) intact.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2026-05-10T11:10:17.154Z</dcterms:created>
  <dcterms:modified xsi:type="dcterms:W3CDTF">2026-05-10T11:10:17.154Z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