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2024-03-10.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2024-03-10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Folyamatok ábrázolása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2024-03-10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Fekete Antal Kristóf </w:t>
              <w:t xml:space="preserve">Dr. Drig Dávid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-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27.  UML diagramok bemutatása: Use case és osztálydiagram. A szekvencia diagram.
Állapotdiagram és aktivitás diagram. Komponens diagram.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2024-03-10T09:29:54Z</dcterms:created>
  <dc:creator>Apache POI</dc:creator>
</cp:coreProperties>
</file>