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 to 4 Progress)</w:t>
      </w:r>
    </w:p>
    <w:p/>
    <w:p>
      <w:pPr>
        <w:jc w:val="center"/>
      </w:pPr>
      <w:r>
        <w:rPr>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rFonts w:ascii="Times New Roman" w:hAnsi="Times New Roman"/>
                <w:sz w:val="24"/>
              </w:rPr>
              <w:t>(102303312)</w:t>
            </w:r>
          </w:p>
        </w:tc>
        <w:tc>
          <w:tcPr>
            <w:tcW w:type="dxa" w:w="4154"/>
          </w:tcPr>
          <w:p>
            <w:r>
              <w:rPr>
                <w:rFonts w:ascii="Times New Roman" w:hAnsi="Times New Roman"/>
                <w:b/>
                <w:sz w:val="24"/>
              </w:rPr>
              <w:t>ANOUSHKA SINGH</w:t>
            </w:r>
          </w:p>
        </w:tc>
      </w:tr>
      <w:tr>
        <w:tc>
          <w:tcPr>
            <w:tcW w:type="dxa" w:w="4154"/>
          </w:tcPr>
          <w:p>
            <w:pPr>
              <w:jc w:val="right"/>
            </w:pPr>
            <w:r>
              <w:rPr>
                <w:rFonts w:ascii="Times New Roman" w:hAnsi="Times New Roman"/>
                <w:sz w:val="24"/>
              </w:rPr>
              <w:t>(102303315)</w:t>
            </w:r>
          </w:p>
        </w:tc>
        <w:tc>
          <w:tcPr>
            <w:tcW w:type="dxa" w:w="4154"/>
          </w:tcPr>
          <w:p>
            <w:r>
              <w:rPr>
                <w:rFonts w:ascii="Times New Roman" w:hAnsi="Times New Roman"/>
                <w:b/>
                <w:sz w:val="24"/>
              </w:rPr>
              <w:t>TARUN KRISHNA SHASTRI</w:t>
            </w:r>
          </w:p>
        </w:tc>
      </w:tr>
      <w:tr>
        <w:tc>
          <w:tcPr>
            <w:tcW w:type="dxa" w:w="4154"/>
          </w:tcPr>
          <w:p>
            <w:pPr>
              <w:jc w:val="right"/>
            </w:pPr>
            <w:r>
              <w:rPr>
                <w:rFonts w:ascii="Times New Roman" w:hAnsi="Times New Roman"/>
                <w:sz w:val="24"/>
              </w:rPr>
              <w:t>(102303631)</w:t>
            </w:r>
          </w:p>
        </w:tc>
        <w:tc>
          <w:tcPr>
            <w:tcW w:type="dxa" w:w="4154"/>
          </w:tcPr>
          <w:p>
            <w:r>
              <w:rPr>
                <w:rFonts w:ascii="Times New Roman" w:hAnsi="Times New Roman"/>
                <w:b/>
                <w:sz w:val="24"/>
              </w:rPr>
              <w:t>DEVANSH WADHWANI</w:t>
            </w:r>
          </w:p>
        </w:tc>
      </w:tr>
      <w:tr>
        <w:tc>
          <w:tcPr>
            <w:tcW w:type="dxa" w:w="4154"/>
          </w:tcPr>
          <w:p>
            <w:pPr>
              <w:jc w:val="right"/>
            </w:pPr>
            <w:r>
              <w:rPr>
                <w:rFonts w:ascii="Times New Roman" w:hAnsi="Times New Roman"/>
                <w:sz w:val="24"/>
              </w:rPr>
              <w:t>(102303684)</w:t>
            </w:r>
          </w:p>
        </w:tc>
        <w:tc>
          <w:tcPr>
            <w:tcW w:type="dxa" w:w="4154"/>
          </w:tcPr>
          <w:p>
            <w:r>
              <w:rPr>
                <w:rFonts w:ascii="Times New Roman" w:hAnsi="Times New Roman"/>
                <w:b/>
                <w:sz w:val="24"/>
              </w:rPr>
              <w:t>SHREYA GIRI</w:t>
            </w:r>
          </w:p>
        </w:tc>
      </w:tr>
    </w:tbl>
    <w:p/>
    <w:p>
      <w:pPr>
        <w:jc w:val="center"/>
      </w:pPr>
      <w:r>
        <w:rPr>
          <w:b/>
          <w:sz w:val="24"/>
        </w:rPr>
        <w:t>BE Third Year, Computer Engineering (CoE)</w:t>
        <w:br/>
        <w:t>CPG No: 75</w:t>
      </w:r>
    </w:p>
    <w:p/>
    <w:p>
      <w:pPr>
        <w:jc w:val="center"/>
      </w:pPr>
      <w:r>
        <w:rPr>
          <w:sz w:val="24"/>
        </w:rPr>
        <w:t>Under the Mentorship of:</w:t>
        <w:br/>
        <w:t>Dr. Saif Nalband</w:t>
        <w:br/>
        <w:t>Assistant 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sub-millisecond Tier-1 statistical classifier with an authoritative 8B moderation model governed by a custom prompt injection policy, achieving a 98.3% detection rate on adversarial jailbreaks at a 0.0% False Positive Rate (FPR) on benign domain traffic; (3) a containerized zero-trust deception sandbox termed the Mirror Maze running an LLM-driven decoy persona that dynamic-hallucinates synthetic bait to absorb attacker reconnaissance (verified 5/5 on container isolation tests); and (4) an Autonomous Guardrail Synthesis feedback loop that distills captured exploit patterns into formal NVIDIA NeMo Colang rules,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PyRIT campaigns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Saif Nalband</w:t>
        <w:tab/>
        <w:tab/>
        <w:tab/>
        <w:tab/>
        <w:t>Dr. Neeraj Kumar</w:t>
        <w:br/>
        <w:t>Assistant 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(102303312), Tarun Krishna Shastri (102303315),</w:t>
        <w:br/>
        <w:t>Devansh Wadhwani (102303631), Shreya Giri (102303684)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(achieving 98.3% detection at 0.0% FPR).</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While over 91% of enterprise technology leaders report aggressive deployment of conversational AI agents, defensive tooling has lagged severely. Industry audits indicate that 97% of organizations suffering AI-related security breaches lacked semantic access controls [9]. Static honeypots are quickly identified and abandoned by automated scanners. In contrast, generative honeypots have been proven to increase adversary dwell time by 3x to 5x, creating an essential observation window to capture zero-day exploitation techniques before they touch production.</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over 80% of customer support workflows handled by conversational LLMs [7], adversarial techniques have shifted from manual, one-off jailbreaks to automated, machine-speed offensive agents (such as ARACNE, Garak, and PyRIT). AI-driven offensive agents can discover exploitable prompt sequences in fewer than 5 interaction turns, compressing multi-month penetration campaigns into 24 to 48 hours and rendering human-reliant SOC triage obsolete.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recognized as the #1 vulnerability in the OWASP Top 10 for Large Language Model Applications [9]. Because corporate agents are granted operational trust to execute database lookups and internal APIs, a compromised prompt inherits the agent's broad permissions. In multi-turn dialogue, cumulative semantic drift yields a 78.5% jailbreak success rate against unprotected commercial systems.</w:t>
      </w:r>
    </w:p>
    <w:p>
      <w:pPr>
        <w:keepNext/>
        <w:spacing w:before="200" w:after="60"/>
      </w:pPr>
      <w:r>
        <w:rPr>
          <w:rFonts w:ascii="Times New Roman" w:hAnsi="Times New Roman"/>
          <w:b/>
          <w:sz w:val="26"/>
        </w:rPr>
        <w:t>1.2.4 The 16-Minute Failure Window: Addressing Reactive Lag</w:t>
      </w:r>
    </w:p>
    <w:p>
      <w:pPr>
        <w:spacing w:line="360" w:lineRule="auto" w:after="120"/>
        <w:ind w:firstLine="432"/>
        <w:jc w:val="both"/>
      </w:pPr>
      <w:r>
        <w:rPr>
          <w:rFonts w:ascii="Times New Roman" w:hAnsi="Times New Roman"/>
          <w:sz w:val="24"/>
        </w:rPr>
        <w:t>Empirical red-team studies indicate that uncontrolled autonomous agents reach a critical security failure in a median time of just 16 minutes from the start of an adversarial probe. In stark contrast, traditional enterprise incident response requires a median of 204 days to discover and patch a breach. Honey-LLM fundamentally closes this gap by automating guardrail synthesis, achieving automated time-to-patch in 10.4 seconds.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parameter models (Llama-Guard 3 and Llama-3) execute concurrently on 16 GB unified GPU memory with zero host swapping.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realistic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backend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w:t>
      </w:r>
    </w:p>
    <w:p>
      <w:pPr>
        <w:keepNext/>
        <w:spacing w:before="240" w:after="80"/>
      </w:pPr>
      <w:r>
        <w:rPr>
          <w:rFonts w:ascii="Times New Roman" w:hAnsi="Times New Roman"/>
          <w:b/>
          <w:sz w:val="28"/>
        </w:rPr>
        <w:t>1.7 Approved Objectives (Proposal Evaluation)</w:t>
      </w:r>
    </w:p>
    <w:p>
      <w:pPr>
        <w:pStyle w:val="ListBullet"/>
        <w:spacing w:line="336" w:lineRule="auto" w:after="80"/>
        <w:jc w:val="both"/>
      </w:pPr>
      <w:r>
        <w:rPr>
          <w:rFonts w:ascii="Times New Roman" w:hAnsi="Times New Roman"/>
          <w:sz w:val="24"/>
        </w:rPr>
        <w:t>1. Develop a High-Accuracy Intent Sieve Classifier (&gt;95% detection on JailbreakBench,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pPr>
        <w:keepNext/>
        <w:spacing w:before="240" w:after="80"/>
      </w:pPr>
      <w:r>
        <w:rPr>
          <w:rFonts w:ascii="Times New Roman" w:hAnsi="Times New Roman"/>
          <w:b/>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Phases 0 through 4 represent the completed mid-semester scope, while Phases 5 and 6 form the planned end-semester roadmap.</w:t>
      </w:r>
    </w:p>
    <w:p>
      <w:pPr>
        <w:keepNext/>
        <w:spacing w:before="240" w:after="80"/>
      </w:pPr>
      <w:r>
        <w:rPr>
          <w:rFonts w:ascii="Times New Roman" w:hAnsi="Times New Roman"/>
          <w:b/>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ensemble sieve; (3) a containerized Mirror Maze decoy running the 'Sarah' persona with synthetic bait; (4) an autonomous NeMo Guardrail synthesis engine; and (5) empirical validation benchmarks across 889 curated and in-the-wild prompt samples.</w:t>
      </w:r>
    </w:p>
    <w:p>
      <w:pPr>
        <w:keepNext/>
        <w:spacing w:before="240" w:after="80"/>
      </w:pPr>
      <w:r>
        <w:rPr>
          <w:rFonts w:ascii="Times New Roman" w:hAnsi="Times New Roman"/>
          <w:b/>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with unified memory, the architecture completely eliminates recurring per-token cloud API costs while maintaining zero data egress.</w:t>
      </w:r>
    </w:p>
    <w:p>
      <w:pPr>
        <w:keepNext/>
        <w:spacing w:before="120" w:after="80"/>
        <w:jc w:val="left"/>
      </w:pPr>
      <w:r>
        <w:rPr>
          <w:rFonts w:ascii="Times New Roman" w:hAnsi="Times New Roman"/>
          <w:b/>
          <w:sz w:val="20"/>
        </w:rPr>
        <w:t>TABLE 2.2: Computational Resource Feasibility &amp; Cloud Cost Comparison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19"/>
              </w:rPr>
              <w:t>Compute Environment</w:t>
            </w:r>
          </w:p>
        </w:tc>
        <w:tc>
          <w:tcPr>
            <w:tcW w:type="dxa" w:w="2770"/>
          </w:tcPr>
          <w:p>
            <w:r>
              <w:rPr>
                <w:rFonts w:ascii="Times New Roman" w:hAnsi="Times New Roman"/>
                <w:sz w:val="19"/>
              </w:rPr>
              <w:t>Local 16 GB Unified Memory (Ollama runtime)</w:t>
            </w:r>
          </w:p>
        </w:tc>
        <w:tc>
          <w:tcPr>
            <w:tcW w:type="dxa" w:w="2770"/>
          </w:tcPr>
          <w:p>
            <w:r>
              <w:rPr>
                <w:rFonts w:ascii="Times New Roman" w:hAnsi="Times New Roman"/>
                <w:sz w:val="19"/>
              </w:rPr>
              <w:t>Hosted Cloud Server Cluster ($450/month)</w:t>
            </w:r>
          </w:p>
        </w:tc>
      </w:tr>
      <w:tr>
        <w:tc>
          <w:tcPr>
            <w:tcW w:type="dxa" w:w="2770"/>
          </w:tcPr>
          <w:p>
            <w:r>
              <w:rPr>
                <w:rFonts w:ascii="Times New Roman" w:hAnsi="Times New Roman"/>
                <w:sz w:val="19"/>
              </w:rPr>
              <w:t>Inference Token Cost</w:t>
            </w:r>
          </w:p>
        </w:tc>
        <w:tc>
          <w:tcPr>
            <w:tcW w:type="dxa" w:w="2770"/>
          </w:tcPr>
          <w:p>
            <w:r>
              <w:rPr>
                <w:rFonts w:ascii="Times New Roman" w:hAnsi="Times New Roman"/>
                <w:sz w:val="19"/>
              </w:rPr>
              <w:t>$0.00 (Self-hosted open weights)</w:t>
            </w:r>
          </w:p>
        </w:tc>
        <w:tc>
          <w:tcPr>
            <w:tcW w:type="dxa" w:w="2770"/>
          </w:tcPr>
          <w:p>
            <w:r>
              <w:rPr>
                <w:rFonts w:ascii="Times New Roman" w:hAnsi="Times New Roman"/>
                <w:sz w:val="19"/>
              </w:rPr>
              <w:t>~$0.018 per conversational turn</w:t>
            </w:r>
          </w:p>
        </w:tc>
      </w:tr>
      <w:tr>
        <w:tc>
          <w:tcPr>
            <w:tcW w:type="dxa" w:w="2770"/>
          </w:tcPr>
          <w:p>
            <w:r>
              <w:rPr>
                <w:rFonts w:ascii="Times New Roman" w:hAnsi="Times New Roman"/>
                <w:sz w:val="19"/>
              </w:rPr>
              <w:t>Data Privacy / Egress</w:t>
            </w:r>
          </w:p>
        </w:tc>
        <w:tc>
          <w:tcPr>
            <w:tcW w:type="dxa" w:w="2770"/>
          </w:tcPr>
          <w:p>
            <w:r>
              <w:rPr>
                <w:rFonts w:ascii="Times New Roman" w:hAnsi="Times New Roman"/>
                <w:sz w:val="19"/>
              </w:rPr>
              <w:t>100% on-premise, zero external API transmission</w:t>
            </w:r>
          </w:p>
        </w:tc>
        <w:tc>
          <w:tcPr>
            <w:tcW w:type="dxa" w:w="2770"/>
          </w:tcPr>
          <w:p>
            <w:r>
              <w:rPr>
                <w:rFonts w:ascii="Times New Roman" w:hAnsi="Times New Roman"/>
                <w:sz w:val="19"/>
              </w:rPr>
              <w:t>Third-party cloud transmission and storage</w:t>
            </w:r>
          </w:p>
        </w:tc>
      </w:tr>
      <w:tr>
        <w:tc>
          <w:tcPr>
            <w:tcW w:type="dxa" w:w="2770"/>
          </w:tcPr>
          <w:p>
            <w:r>
              <w:rPr>
                <w:rFonts w:ascii="Times New Roman" w:hAnsi="Times New Roman"/>
                <w:sz w:val="19"/>
              </w:rPr>
              <w:t>Hot-Patch Latency</w:t>
            </w:r>
          </w:p>
        </w:tc>
        <w:tc>
          <w:tcPr>
            <w:tcW w:type="dxa" w:w="2770"/>
          </w:tcPr>
          <w:p>
            <w:r>
              <w:rPr>
                <w:rFonts w:ascii="Times New Roman" w:hAnsi="Times New Roman"/>
                <w:sz w:val="19"/>
              </w:rPr>
              <w:t>10.4s local Colang rule compilation</w:t>
            </w:r>
          </w:p>
        </w:tc>
        <w:tc>
          <w:tcPr>
            <w:tcW w:type="dxa" w:w="2770"/>
          </w:tcPr>
          <w:p>
            <w:r>
              <w:rPr>
                <w:rFonts w:ascii="Times New Roman" w:hAnsi="Times New Roman"/>
                <w:sz w:val="19"/>
              </w:rPr>
              <w:t>Manual portal re-configuration / retraining</w:t>
            </w:r>
          </w:p>
        </w:tc>
      </w:tr>
    </w:tbl>
    <w:p>
      <w:pPr>
        <w:keepNext/>
        <w:spacing w:before="240" w:after="80"/>
      </w:pPr>
      <w:r>
        <w:rPr>
          <w:rFonts w:ascii="Times New Roman" w:hAnsi="Times New Roman"/>
          <w:b/>
          <w:sz w:val="28"/>
        </w:rPr>
        <w:t>2.4 Risk Analysis and Mitigation Strategies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classifying prompt injection vectors across enterprise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across default and custom policies,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measuring 98.3% in-the-wild detection at 0.0% benign FPR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resolving known techniques in 10 to 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40" w:after="80"/>
      </w:pPr>
      <w:r>
        <w:rPr>
          <w:rFonts w:ascii="Times New Roman" w:hAnsi="Times New Roman"/>
          <w:b/>
          <w:sz w:val="28"/>
        </w:rPr>
        <w:t>3.4 Hardware, Software, and Framework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Silicon / 16 GB Unified RAM / Ollama</w:t>
            </w:r>
          </w:p>
        </w:tc>
        <w:tc>
          <w:tcPr>
            <w:tcW w:type="dxa" w:w="2770"/>
          </w:tcPr>
          <w:p>
            <w:r>
              <w:rPr>
                <w:rFonts w:ascii="Times New Roman" w:hAnsi="Times New Roman"/>
                <w:sz w:val="19"/>
              </w:rPr>
              <w:t>Local execution for Llama-Guard 3 8B and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orchestration, session state, and routing.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w:t>
            </w:r>
          </w:p>
        </w:tc>
        <w:tc>
          <w:tcPr>
            <w:tcW w:type="dxa" w:w="2770"/>
          </w:tcPr>
          <w:p>
            <w:r>
              <w:rPr>
                <w:rFonts w:ascii="Times New Roman" w:hAnsi="Times New Roman"/>
                <w:sz w:val="19"/>
              </w:rPr>
              <w:t>Formal rule validation, pattern extraction, and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 topology.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customer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Sieve Gateway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&amp; Sticky Quarantine State Machine</w:t>
      </w:r>
    </w:p>
    <w:p>
      <w:pPr>
        <w:keepNext/>
        <w:spacing w:before="120" w:after="80"/>
        <w:jc w:val="left"/>
      </w:pPr>
      <w:r>
        <w:rPr>
          <w:rFonts w:ascii="Times New Roman" w:hAnsi="Times New Roman"/>
          <w:b/>
          <w:sz w:val="20"/>
        </w:rPr>
        <w:t>TABLE 4.1: Adversarial Threat Taxonomy Mappings and Severity Classification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Direct command override seeking admin codes</w:t>
            </w:r>
          </w:p>
        </w:tc>
        <w:tc>
          <w:tcPr>
            <w:tcW w:type="dxa" w:w="2077"/>
          </w:tcPr>
          <w:p>
            <w:r>
              <w:rPr>
                <w:rFonts w:ascii="Times New Roman" w:hAnsi="Times New Roman"/>
                <w:sz w:val="19"/>
              </w:rPr>
              <w:t>Critical</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Probing for internal gateway IPs or core routing</w:t>
            </w:r>
          </w:p>
        </w:tc>
        <w:tc>
          <w:tcPr>
            <w:tcW w:type="dxa" w:w="2077"/>
          </w:tcPr>
          <w:p>
            <w:r>
              <w:rPr>
                <w:rFonts w:ascii="Times New Roman" w:hAnsi="Times New Roman"/>
                <w:sz w:val="19"/>
              </w:rPr>
              <w:t>Critical</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DAN or persona hijack seeking unconstrained mode</w:t>
            </w:r>
          </w:p>
        </w:tc>
        <w:tc>
          <w:tcPr>
            <w:tcW w:type="dxa" w:w="2077"/>
          </w:tcPr>
          <w:p>
            <w:r>
              <w:rPr>
                <w:rFonts w:ascii="Times New Roman" w:hAnsi="Times New Roman"/>
                <w:sz w:val="19"/>
              </w:rPr>
              <w:t>High</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Impersonating IT Security Auditor for token release</w:t>
            </w:r>
          </w:p>
        </w:tc>
        <w:tc>
          <w:tcPr>
            <w:tcW w:type="dxa" w:w="2077"/>
          </w:tcPr>
          <w:p>
            <w:r>
              <w:rPr>
                <w:rFonts w:ascii="Times New Roman" w:hAnsi="Times New Roman"/>
                <w:sz w:val="19"/>
              </w:rPr>
              <w:t>High</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Extracting verbatim system prompts and rules</w:t>
            </w:r>
          </w:p>
        </w:tc>
        <w:tc>
          <w:tcPr>
            <w:tcW w:type="dxa" w:w="2077"/>
          </w:tcPr>
          <w:p>
            <w:r>
              <w:rPr>
                <w:rFonts w:ascii="Times New Roman" w:hAnsi="Times New Roman"/>
                <w:sz w:val="19"/>
              </w:rPr>
              <w:t>Medium</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dialogue turns</w:t>
            </w:r>
          </w:p>
        </w:tc>
        <w:tc>
          <w:tcPr>
            <w:tcW w:type="dxa" w:w="2077"/>
          </w:tcPr>
          <w:p>
            <w:r>
              <w:rPr>
                <w:rFonts w:ascii="Times New Roman" w:hAnsi="Times New Roman"/>
                <w:sz w:val="19"/>
              </w:rPr>
              <w:t>High</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Suppression of standard model refusal prefixes</w:t>
            </w:r>
          </w:p>
        </w:tc>
        <w:tc>
          <w:tcPr>
            <w:tcW w:type="dxa" w:w="2077"/>
          </w:tcPr>
          <w:p>
            <w:r>
              <w:rPr>
                <w:rFonts w:ascii="Times New Roman" w:hAnsi="Times New Roman"/>
                <w:sz w:val="19"/>
              </w:rPr>
              <w:t>Medium</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Critical</w:t>
            </w:r>
          </w:p>
        </w:tc>
      </w:tr>
    </w:tbl>
    <w:p>
      <w:pPr>
        <w:keepNext/>
        <w:spacing w:before="240" w:after="80"/>
      </w:pPr>
      <w:r>
        <w:rPr>
          <w:rFonts w:ascii="Times New Roman" w:hAnsi="Times New Roman"/>
          <w:b/>
          <w:sz w:val="28"/>
        </w:rPr>
        <w:t>4.3 User Interface Specifications &amp; Designed Surfaces</w:t>
      </w:r>
    </w:p>
    <w:p>
      <w:pPr>
        <w:spacing w:line="360" w:lineRule="auto" w:after="120"/>
        <w:ind w:firstLine="432"/>
        <w:jc w:val="both"/>
      </w:pPr>
      <w:r>
        <w:rPr>
          <w:rFonts w:ascii="Times New Roman" w:hAnsi="Times New Roman"/>
          <w:sz w:val="24"/>
        </w:rPr>
        <w:t>Honey-LLM designs three user interface surfaces: (1) NexTel Customer Chat Widget (/chat): Clean corporate telecom aesthetic with zero visual indicators of the security layer; (2) Dark SOC Threat Intelligence Dashboard (/dashboard): Designed monitor for real-time attack frequency, taxonomy breakdown, detection tier ratios, and measured dwell times (Phase 5 implementation); and (3) Admin &amp; Demo Control Panel (/admin): Authenticated control surface allowing evaluation panels to trigger benign and malicious scenarios live and trace the tier-by-tier decision path in real time.</w:t>
      </w:r>
    </w:p>
    <w:p>
      <w:pPr>
        <w:keepNext/>
        <w:spacing w:before="240" w:after="80"/>
      </w:pPr>
      <w:r>
        <w:rPr>
          <w:rFonts w:ascii="Times New Roman" w:hAnsi="Times New Roman"/>
          <w:b/>
          <w:sz w:val="28"/>
        </w:rPr>
        <w:t>4.4 Working Prototype Execution (Phases 1 to 4 Verified)</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 / 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FPR &lt;1%</w:t>
            </w:r>
          </w:p>
        </w:tc>
        <w:tc>
          <w:tcPr>
            <w:tcW w:type="dxa" w:w="2077"/>
          </w:tcPr>
          <w:p>
            <w:r>
              <w:rPr>
                <w:rFonts w:ascii="Times New Roman" w:hAnsi="Times New Roman"/>
                <w:sz w:val="19"/>
              </w:rPr>
              <w:t>98.3% detection on in-the-wild attacks; 0.0% benign FPR;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and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without penalizing benign customer traffic; (2) generative honeypots running on zero-trust containerization effectively contain attacker reconnaissance; and (3) closed-loop self-healing can compile and hot-patch permanent NeMo Colang rules within seconds.</w:t>
      </w:r>
    </w:p>
    <w:p>
      <w:pPr>
        <w:keepNext/>
        <w:spacing w:before="120" w:after="80"/>
        <w:jc w:val="left"/>
      </w:pPr>
      <w:r>
        <w:rPr>
          <w:rFonts w:ascii="Times New Roman" w:hAnsi="Times New Roman"/>
          <w:b/>
          <w:sz w:val="20"/>
        </w:rPr>
        <w:t>TABLE 5.2: Intent Sieve Benchmark Evaluation on In-The-Wild Adversarial Datasets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Model / Sieve Configuration</w:t>
            </w:r>
          </w:p>
        </w:tc>
        <w:tc>
          <w:tcPr>
            <w:tcW w:type="dxa" w:w="1662"/>
            <w:shd w:fill="F1F5F9"/>
          </w:tcPr>
          <w:p>
            <w:r>
              <w:rPr>
                <w:b/>
              </w:rPr>
              <w:t>Dataset Scope</w:t>
            </w:r>
          </w:p>
        </w:tc>
        <w:tc>
          <w:tcPr>
            <w:tcW w:type="dxa" w:w="1662"/>
            <w:shd w:fill="F1F5F9"/>
          </w:tcPr>
          <w:p>
            <w:r>
              <w:rPr>
                <w:b/>
              </w:rPr>
              <w:t>Detection Rate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19"/>
              </w:rPr>
              <w:t>Default Llama-Guard 3 (1B)</w:t>
            </w:r>
          </w:p>
        </w:tc>
        <w:tc>
          <w:tcPr>
            <w:tcW w:type="dxa" w:w="1662"/>
          </w:tcPr>
          <w:p>
            <w:r>
              <w:rPr>
                <w:rFonts w:ascii="Times New Roman" w:hAnsi="Times New Roman"/>
                <w:sz w:val="19"/>
              </w:rPr>
              <w:t>JailbreakBench (100)</w:t>
            </w:r>
          </w:p>
        </w:tc>
        <w:tc>
          <w:tcPr>
            <w:tcW w:type="dxa" w:w="1662"/>
          </w:tcPr>
          <w:p>
            <w:r>
              <w:rPr>
                <w:rFonts w:ascii="Times New Roman" w:hAnsi="Times New Roman"/>
                <w:sz w:val="19"/>
              </w:rPr>
              <w:t>37.5%</w:t>
            </w:r>
          </w:p>
        </w:tc>
        <w:tc>
          <w:tcPr>
            <w:tcW w:type="dxa" w:w="1662"/>
          </w:tcPr>
          <w:p>
            <w:r>
              <w:rPr>
                <w:rFonts w:ascii="Times New Roman" w:hAnsi="Times New Roman"/>
                <w:sz w:val="19"/>
              </w:rPr>
              <w:t>0.0%</w:t>
            </w:r>
          </w:p>
        </w:tc>
        <w:tc>
          <w:tcPr>
            <w:tcW w:type="dxa" w:w="1662"/>
          </w:tcPr>
          <w:p>
            <w:r>
              <w:rPr>
                <w:rFonts w:ascii="Times New Roman" w:hAnsi="Times New Roman"/>
                <w:sz w:val="19"/>
              </w:rPr>
              <w:t>180 ms</w:t>
            </w:r>
          </w:p>
        </w:tc>
      </w:tr>
      <w:tr>
        <w:tc>
          <w:tcPr>
            <w:tcW w:type="dxa" w:w="1662"/>
          </w:tcPr>
          <w:p>
            <w:r>
              <w:rPr>
                <w:rFonts w:ascii="Times New Roman" w:hAnsi="Times New Roman"/>
                <w:sz w:val="19"/>
              </w:rPr>
              <w:t>Default Llama-Guard 3 (8B)</w:t>
            </w:r>
          </w:p>
        </w:tc>
        <w:tc>
          <w:tcPr>
            <w:tcW w:type="dxa" w:w="1662"/>
          </w:tcPr>
          <w:p>
            <w:r>
              <w:rPr>
                <w:rFonts w:ascii="Times New Roman" w:hAnsi="Times New Roman"/>
                <w:sz w:val="19"/>
              </w:rPr>
              <w:t>JailbreakBench (100)</w:t>
            </w:r>
          </w:p>
        </w:tc>
        <w:tc>
          <w:tcPr>
            <w:tcW w:type="dxa" w:w="1662"/>
          </w:tcPr>
          <w:p>
            <w:r>
              <w:rPr>
                <w:rFonts w:ascii="Times New Roman" w:hAnsi="Times New Roman"/>
                <w:sz w:val="19"/>
              </w:rPr>
              <w:t>62.5%</w:t>
            </w:r>
          </w:p>
        </w:tc>
        <w:tc>
          <w:tcPr>
            <w:tcW w:type="dxa" w:w="1662"/>
          </w:tcPr>
          <w:p>
            <w:r>
              <w:rPr>
                <w:rFonts w:ascii="Times New Roman" w:hAnsi="Times New Roman"/>
                <w:sz w:val="19"/>
              </w:rPr>
              <w:t>0.0%</w:t>
            </w:r>
          </w:p>
        </w:tc>
        <w:tc>
          <w:tcPr>
            <w:tcW w:type="dxa" w:w="1662"/>
          </w:tcPr>
          <w:p>
            <w:r>
              <w:rPr>
                <w:rFonts w:ascii="Times New Roman" w:hAnsi="Times New Roman"/>
                <w:sz w:val="19"/>
              </w:rPr>
              <w:t>720 ms</w:t>
            </w:r>
          </w:p>
        </w:tc>
      </w:tr>
      <w:tr>
        <w:tc>
          <w:tcPr>
            <w:tcW w:type="dxa" w:w="1662"/>
          </w:tcPr>
          <w:p>
            <w:r>
              <w:rPr>
                <w:rFonts w:ascii="Times New Roman" w:hAnsi="Times New Roman"/>
                <w:sz w:val="19"/>
              </w:rPr>
              <w:t>Custom-Policy Llama-Guard 3 (8B)</w:t>
            </w:r>
          </w:p>
        </w:tc>
        <w:tc>
          <w:tcPr>
            <w:tcW w:type="dxa" w:w="1662"/>
          </w:tcPr>
          <w:p>
            <w:r>
              <w:rPr>
                <w:rFonts w:ascii="Times New Roman" w:hAnsi="Times New Roman"/>
                <w:sz w:val="19"/>
              </w:rPr>
              <w:t>JailbreakBench (100)</w:t>
            </w:r>
          </w:p>
        </w:tc>
        <w:tc>
          <w:tcPr>
            <w:tcW w:type="dxa" w:w="1662"/>
          </w:tcPr>
          <w:p>
            <w:r>
              <w:rPr>
                <w:rFonts w:ascii="Times New Roman" w:hAnsi="Times New Roman"/>
                <w:sz w:val="19"/>
              </w:rPr>
              <w:t>95.8%</w:t>
            </w:r>
          </w:p>
        </w:tc>
        <w:tc>
          <w:tcPr>
            <w:tcW w:type="dxa" w:w="1662"/>
          </w:tcPr>
          <w:p>
            <w:r>
              <w:rPr>
                <w:rFonts w:ascii="Times New Roman" w:hAnsi="Times New Roman"/>
                <w:sz w:val="19"/>
              </w:rPr>
              <w:t>0.0%</w:t>
            </w:r>
          </w:p>
        </w:tc>
        <w:tc>
          <w:tcPr>
            <w:tcW w:type="dxa" w:w="1662"/>
          </w:tcPr>
          <w:p>
            <w:r>
              <w:rPr>
                <w:rFonts w:ascii="Times New Roman" w:hAnsi="Times New Roman"/>
                <w:sz w:val="19"/>
              </w:rPr>
              <w:t>740 ms</w:t>
            </w:r>
          </w:p>
        </w:tc>
      </w:tr>
      <w:tr>
        <w:tc>
          <w:tcPr>
            <w:tcW w:type="dxa" w:w="1662"/>
          </w:tcPr>
          <w:p>
            <w:r>
              <w:rPr>
                <w:rFonts w:ascii="Times New Roman" w:hAnsi="Times New Roman"/>
                <w:b/>
                <w:sz w:val="19"/>
              </w:rPr>
              <w:t>Honey-LLM Two-Tier Sieve (Ensemble)</w:t>
            </w:r>
          </w:p>
        </w:tc>
        <w:tc>
          <w:tcPr>
            <w:tcW w:type="dxa" w:w="1662"/>
          </w:tcPr>
          <w:p>
            <w:r>
              <w:rPr>
                <w:rFonts w:ascii="Times New Roman" w:hAnsi="Times New Roman"/>
                <w:b/>
                <w:sz w:val="19"/>
              </w:rPr>
              <w:t>Curated + Wild (889)</w:t>
            </w:r>
          </w:p>
        </w:tc>
        <w:tc>
          <w:tcPr>
            <w:tcW w:type="dxa" w:w="1662"/>
          </w:tcPr>
          <w:p>
            <w:r>
              <w:rPr>
                <w:rFonts w:ascii="Times New Roman" w:hAnsi="Times New Roman"/>
                <w:b/>
                <w:sz w:val="19"/>
              </w:rPr>
              <w:t>98.3%</w:t>
            </w:r>
          </w:p>
        </w:tc>
        <w:tc>
          <w:tcPr>
            <w:tcW w:type="dxa" w:w="1662"/>
          </w:tcPr>
          <w:p>
            <w:r>
              <w:rPr>
                <w:rFonts w:ascii="Times New Roman" w:hAnsi="Times New Roman"/>
                <w:b/>
                <w:sz w:val="19"/>
              </w:rPr>
              <w:t>0.0%</w:t>
            </w:r>
          </w:p>
        </w:tc>
        <w:tc>
          <w:tcPr>
            <w:tcW w:type="dxa" w:w="1662"/>
          </w:tcPr>
          <w:p>
            <w:r>
              <w:rPr>
                <w:rFonts w:ascii="Times New Roman" w:hAnsi="Times New Roman"/>
                <w:b/>
                <w:sz w:val="19"/>
              </w:rPr>
              <w:t>~2.1 ms (benign)</w:t>
            </w:r>
          </w:p>
        </w:tc>
      </w:tr>
    </w:tbl>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commercial API token expenditures (~$27,000/year savings for high-throughput enterprises) and protects sensitive corporate data from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pPr>
        <w:spacing w:line="276" w:lineRule="auto" w:after="80"/>
        <w:jc w:val="both"/>
      </w:pPr>
      <w:r>
        <w:rPr>
          <w:rFonts w:ascii="Times New Roman" w:hAnsi="Times New Roman"/>
          <w:sz w:val="21"/>
        </w:rPr>
        <w:t>[14] T. Anderson, L. Peterson, S. Shenker, and J. Turner. "Overcoming the Internet impasse through virtualization." IEEE Computer, vol. 38(4), pp. 34-41, Jan. 2005.</w:t>
      </w:r>
    </w:p>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