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666666"/>
          <w:sz w:val="20"/>
        </w:rPr>
        <w:t>(A typical Specimen of Cover Page &amp; Title Page)</w:t>
      </w:r>
    </w:p>
    <w:p/>
    <w:p>
      <w:pPr>
        <w:spacing w:line="288" w:lineRule="auto" w:after="240"/>
        <w:jc w:val="center"/>
      </w:pPr>
      <w:r>
        <w:rPr>
          <w:rFonts w:ascii="Times New Roman" w:hAnsi="Times New Roman"/>
          <w:b/>
          <w:sz w:val="36"/>
        </w:rPr>
        <w:t>HONEY-LLM: AN INTERACTIVE, SELF-HEALING HONEYPOT DEFENSE ECOSYSTEM FOR AGENTIC AI</w:t>
      </w:r>
    </w:p>
    <w:p>
      <w:pPr>
        <w:jc w:val="center"/>
      </w:pPr>
      <w:r>
        <w:rPr>
          <w:b/>
          <w:sz w:val="26"/>
        </w:rPr>
        <w:t>Capstone Project Report</w:t>
        <w:br/>
        <w:t>MID SEMESTER EVALUATION (Phases 1 to 4 Progress)</w:t>
      </w:r>
    </w:p>
    <w:p/>
    <w:p>
      <w:pPr>
        <w:jc w:val="center"/>
      </w:pPr>
      <w:r>
        <w:rPr>
          <w:sz w:val="24"/>
        </w:rPr>
        <w:t>Submitted by:</w:t>
      </w:r>
    </w:p>
    <w:tbl>
      <w:tblPr>
        <w:tblW w:type="auto" w:w="0"/>
        <w:jc w:val="center"/>
        <w:tblLook w:firstColumn="1" w:firstRow="1" w:lastColumn="0" w:lastRow="0" w:noHBand="0" w:noVBand="1" w:val="04A0"/>
      </w:tblPr>
      <w:tblGrid>
        <w:gridCol w:w="4154"/>
        <w:gridCol w:w="4154"/>
      </w:tblGrid>
      <w:tr>
        <w:tc>
          <w:tcPr>
            <w:tcW w:type="dxa" w:w="4154"/>
          </w:tcPr>
          <w:p>
            <w:pPr>
              <w:jc w:val="right"/>
            </w:pPr>
            <w:r>
              <w:rPr>
                <w:rFonts w:ascii="Times New Roman" w:hAnsi="Times New Roman"/>
                <w:sz w:val="24"/>
              </w:rPr>
              <w:t>(102303312)</w:t>
            </w:r>
          </w:p>
        </w:tc>
        <w:tc>
          <w:tcPr>
            <w:tcW w:type="dxa" w:w="4154"/>
          </w:tcPr>
          <w:p>
            <w:r>
              <w:rPr>
                <w:rFonts w:ascii="Times New Roman" w:hAnsi="Times New Roman"/>
                <w:b/>
                <w:sz w:val="24"/>
              </w:rPr>
              <w:t>ANOUSHKA SINGH</w:t>
            </w:r>
          </w:p>
        </w:tc>
      </w:tr>
      <w:tr>
        <w:tc>
          <w:tcPr>
            <w:tcW w:type="dxa" w:w="4154"/>
          </w:tcPr>
          <w:p>
            <w:pPr>
              <w:jc w:val="right"/>
            </w:pPr>
            <w:r>
              <w:rPr>
                <w:rFonts w:ascii="Times New Roman" w:hAnsi="Times New Roman"/>
                <w:sz w:val="24"/>
              </w:rPr>
              <w:t>(102303315)</w:t>
            </w:r>
          </w:p>
        </w:tc>
        <w:tc>
          <w:tcPr>
            <w:tcW w:type="dxa" w:w="4154"/>
          </w:tcPr>
          <w:p>
            <w:r>
              <w:rPr>
                <w:rFonts w:ascii="Times New Roman" w:hAnsi="Times New Roman"/>
                <w:b/>
                <w:sz w:val="24"/>
              </w:rPr>
              <w:t>TARUN KRISHNA SHASTRI</w:t>
            </w:r>
          </w:p>
        </w:tc>
      </w:tr>
      <w:tr>
        <w:tc>
          <w:tcPr>
            <w:tcW w:type="dxa" w:w="4154"/>
          </w:tcPr>
          <w:p>
            <w:pPr>
              <w:jc w:val="right"/>
            </w:pPr>
            <w:r>
              <w:rPr>
                <w:rFonts w:ascii="Times New Roman" w:hAnsi="Times New Roman"/>
                <w:sz w:val="24"/>
              </w:rPr>
              <w:t>(102303631)</w:t>
            </w:r>
          </w:p>
        </w:tc>
        <w:tc>
          <w:tcPr>
            <w:tcW w:type="dxa" w:w="4154"/>
          </w:tcPr>
          <w:p>
            <w:r>
              <w:rPr>
                <w:rFonts w:ascii="Times New Roman" w:hAnsi="Times New Roman"/>
                <w:b/>
                <w:sz w:val="24"/>
              </w:rPr>
              <w:t>DEVANSH WADHWANI</w:t>
            </w:r>
          </w:p>
        </w:tc>
      </w:tr>
      <w:tr>
        <w:tc>
          <w:tcPr>
            <w:tcW w:type="dxa" w:w="4154"/>
          </w:tcPr>
          <w:p>
            <w:pPr>
              <w:jc w:val="right"/>
            </w:pPr>
            <w:r>
              <w:rPr>
                <w:rFonts w:ascii="Times New Roman" w:hAnsi="Times New Roman"/>
                <w:sz w:val="24"/>
              </w:rPr>
              <w:t>(102303684)</w:t>
            </w:r>
          </w:p>
        </w:tc>
        <w:tc>
          <w:tcPr>
            <w:tcW w:type="dxa" w:w="4154"/>
          </w:tcPr>
          <w:p>
            <w:r>
              <w:rPr>
                <w:rFonts w:ascii="Times New Roman" w:hAnsi="Times New Roman"/>
                <w:b/>
                <w:sz w:val="24"/>
              </w:rPr>
              <w:t>SHREYA GIRI</w:t>
            </w:r>
          </w:p>
        </w:tc>
      </w:tr>
    </w:tbl>
    <w:p/>
    <w:p>
      <w:pPr>
        <w:jc w:val="center"/>
      </w:pPr>
      <w:r>
        <w:rPr>
          <w:b/>
          <w:sz w:val="24"/>
        </w:rPr>
        <w:t>BE Third Year, Computer Engineering (CoE)</w:t>
        <w:br/>
        <w:t>CPG No: 75</w:t>
      </w:r>
    </w:p>
    <w:p/>
    <w:p>
      <w:pPr>
        <w:jc w:val="center"/>
      </w:pPr>
      <w:r>
        <w:rPr>
          <w:sz w:val="24"/>
        </w:rPr>
        <w:t>Under the Mentorship of:</w:t>
        <w:br/>
        <w:t>Dr. Saif Nalband</w:t>
        <w:br/>
        <w:t>Assistant Professor, Computer Science and Engineering Department</w:t>
      </w:r>
    </w:p>
    <w:p/>
    <w:p>
      <w:pPr>
        <w:jc w:val="center"/>
      </w:pPr>
      <w:r>
        <w:rPr>
          <w:b/>
          <w:sz w:val="24"/>
        </w:rPr>
        <w:t>Computer Science and Engineering Department</w:t>
        <w:br/>
        <w:t>Thapar Institute of Engineering and Technology, Patiala</w:t>
        <w:br/>
        <w:t>August 2026</w:t>
      </w:r>
    </w:p>
    <w:p>
      <w:r>
        <w:br w:type="page"/>
      </w:r>
    </w:p>
    <w:p>
      <w:pPr>
        <w:keepNext/>
        <w:spacing w:before="320" w:after="160"/>
      </w:pPr>
      <w:r>
        <w:rPr>
          <w:rFonts w:ascii="Times New Roman" w:hAnsi="Times New Roman"/>
          <w:b/>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evaluation set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320" w:after="160"/>
      </w:pPr>
      <w:r>
        <w:rPr>
          <w:rFonts w:ascii="Times New Roman" w:hAnsi="Times New Roman"/>
          <w:b/>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
      <w:r>
        <w:t>Counter Signed By:</w:t>
      </w:r>
    </w:p>
    <w:p>
      <w:r>
        <w:rPr>
          <w:b/>
        </w:rPr>
        <w:t>Dr. Saif Nalband</w:t>
        <w:tab/>
        <w:tab/>
        <w:tab/>
        <w:tab/>
        <w:t>Dr. Neeraj Kumar</w:t>
        <w:br/>
        <w:t>Assistant Professor, CSED</w:t>
        <w:tab/>
        <w:tab/>
        <w:tab/>
        <w:tab/>
        <w:t>Professor &amp; Head, CSED</w:t>
        <w:br/>
        <w:t>TIET, Patiala</w:t>
        <w:tab/>
        <w:tab/>
        <w:tab/>
        <w:tab/>
        <w:t>TIET, Patiala</w:t>
      </w:r>
    </w:p>
    <w:p>
      <w:r>
        <w:br w:type="page"/>
      </w:r>
    </w:p>
    <w:p>
      <w:pPr>
        <w:keepNext/>
        <w:spacing w:before="320" w:after="160"/>
      </w:pPr>
      <w:r>
        <w:rPr>
          <w:rFonts w:ascii="Times New Roman" w:hAnsi="Times New Roman"/>
          <w:b/>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r>
        <w:br/>
        <w:t>Project Team Members:</w:t>
        <w:br/>
        <w:t>Anoushka Singh (102303312), Tarun Krishna Shastri (102303315),</w:t>
        <w:br/>
        <w:t>Devansh Wadhwani (102303631), Shreya Giri (102303684)</w:t>
      </w:r>
    </w:p>
    <w:p>
      <w:r>
        <w:br w:type="page"/>
      </w:r>
    </w:p>
    <w:p>
      <w:pPr>
        <w:keepNext/>
        <w:spacing w:before="320" w:after="160"/>
      </w:pPr>
      <w:r>
        <w:rPr>
          <w:rFonts w:ascii="Times New Roman" w:hAnsi="Times New Roman"/>
          <w:b/>
          <w:sz w:val="32"/>
        </w:rPr>
        <w:t>CHAPTER 1: INTRODUCTION</w:t>
      </w:r>
    </w:p>
    <w:p>
      <w:pPr>
        <w:keepNext/>
        <w:spacing w:before="240" w:after="80"/>
      </w:pPr>
      <w:r>
        <w:rPr>
          <w:rFonts w:ascii="Times New Roman" w:hAnsi="Times New Roman"/>
          <w:b/>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pStyle w:val="ListBullet"/>
        <w:spacing w:line="336" w:lineRule="auto" w:after="80"/>
        <w:jc w:val="both"/>
      </w:pPr>
      <w:r>
        <w:rPr>
          <w:rFonts w:ascii="Times New Roman" w:hAnsi="Times New Roman"/>
          <w:sz w:val="24"/>
        </w:rPr>
        <w:t>Phase 1 (Adversarial Profiling &amp; Threat Taxonomy): Formulated an 8-class threat taxonomy mapping prompt injections to specific enterprise manifestations and validated concurrent dual-model local inference on Apple Silicon hardware.</w:t>
      </w:r>
    </w:p>
    <w:p>
      <w:pPr>
        <w:pStyle w:val="ListBullet"/>
        <w:spacing w:line="336" w:lineRule="auto" w:after="80"/>
        <w:jc w:val="both"/>
      </w:pPr>
      <w:r>
        <w:rPr>
          <w:rFonts w:ascii="Times New Roman" w:hAnsi="Times New Roman"/>
          <w:sz w:val="24"/>
        </w:rPr>
        <w:t>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0.0% FPR on benign domain traffic (0/320 benign queries flagged).</w:t>
      </w:r>
    </w:p>
    <w:p>
      <w:pPr>
        <w:pStyle w:val="ListBullet"/>
        <w:spacing w:line="336" w:lineRule="auto" w:after="80"/>
        <w:jc w:val="both"/>
      </w:pPr>
      <w:r>
        <w:rPr>
          <w:rFonts w:ascii="Times New Roman" w:hAnsi="Times New Roman"/>
          <w:sz w:val="24"/>
        </w:rPr>
        <w:t>Phase 3 (The 'Mirror Maze' Deception Honeypot): Deployed an isolated zero-trust Docker sandbox hosting the 'Sarah' decoy persona, which dynamic-hallucinates synthetic bait to absorb attacker reconnaissance without leaking real infrastructure.</w:t>
      </w:r>
    </w:p>
    <w:p>
      <w:pPr>
        <w:pStyle w:val="ListBullet"/>
        <w:spacing w:line="336" w:lineRule="auto" w:after="80"/>
        <w:jc w:val="both"/>
      </w:pPr>
      <w:r>
        <w:rPr>
          <w:rFonts w:ascii="Times New Roman" w:hAnsi="Times New Roman"/>
          <w:sz w:val="24"/>
        </w:rPr>
        <w:t>Phase 4 (Autonomous Guardrail Synthesis): Implemented a closed self-healing loop that distills captured exploits into validated NVIDIA NeMo Colang rules [6], hot-patching live gateway policies in 10.4 seconds with zero downtime.</w:t>
      </w:r>
    </w:p>
    <w:p>
      <w:pPr>
        <w:keepNext/>
        <w:spacing w:before="240" w:after="80"/>
      </w:pPr>
      <w:r>
        <w:rPr>
          <w:rFonts w:ascii="Times New Roman" w:hAnsi="Times New Roman"/>
          <w:b/>
          <w:sz w:val="28"/>
        </w:rPr>
        <w:t>1.2 Need Analysis</w:t>
      </w:r>
    </w:p>
    <w:p>
      <w:pPr>
        <w:keepNext/>
        <w:spacing w:before="200" w:after="60"/>
      </w:pPr>
      <w:r>
        <w:rPr>
          <w:rFonts w:ascii="Times New Roman" w:hAnsi="Times New Roman"/>
          <w:b/>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200" w:after="60"/>
      </w:pPr>
      <w:r>
        <w:rPr>
          <w:rFonts w:ascii="Times New Roman" w:hAnsi="Times New Roman"/>
          <w:b/>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200" w:after="60"/>
      </w:pPr>
      <w:r>
        <w:rPr>
          <w:rFonts w:ascii="Times New Roman" w:hAnsi="Times New Roman"/>
          <w:b/>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200" w:after="60"/>
      </w:pPr>
      <w:r>
        <w:rPr>
          <w:rFonts w:ascii="Times New Roman" w:hAnsi="Times New Roman"/>
          <w:b/>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40" w:after="80"/>
      </w:pPr>
      <w:r>
        <w:rPr>
          <w:rFonts w:ascii="Times New Roman" w:hAnsi="Times New Roman"/>
          <w:b/>
          <w:sz w:val="28"/>
        </w:rPr>
        <w:t>1.3 Research Gaps</w:t>
      </w:r>
    </w:p>
    <w:p>
      <w:pPr>
        <w:pStyle w:val="ListBullet"/>
        <w:spacing w:line="336" w:lineRule="auto" w:after="80"/>
        <w:jc w:val="both"/>
      </w:pPr>
      <w:r>
        <w:rPr>
          <w:rFonts w:ascii="Times New Roman" w:hAnsi="Times New Roman"/>
          <w:sz w:val="24"/>
        </w:rPr>
        <w:t>1. Absence of Real-Time Intent Filtering Prior to Sandbox Interaction in current state-of-the-art honeypots [8, 10].</w:t>
      </w:r>
    </w:p>
    <w:p>
      <w:pPr>
        <w:pStyle w:val="ListBullet"/>
        <w:spacing w:line="336" w:lineRule="auto" w:after="80"/>
        <w:jc w:val="both"/>
      </w:pPr>
      <w:r>
        <w:rPr>
          <w:rFonts w:ascii="Times New Roman" w:hAnsi="Times New Roman"/>
          <w:sz w:val="24"/>
        </w:rPr>
        <w:t>2. Vulnerability of LLM Decoys to Accidental Ground-Truth Leakage under persistent jailbreaking.</w:t>
      </w:r>
    </w:p>
    <w:p>
      <w:pPr>
        <w:pStyle w:val="ListBullet"/>
        <w:spacing w:line="336" w:lineRule="auto" w:after="80"/>
        <w:jc w:val="both"/>
      </w:pPr>
      <w:r>
        <w:rPr>
          <w:rFonts w:ascii="Times New Roman" w:hAnsi="Times New Roman"/>
          <w:sz w:val="24"/>
        </w:rPr>
        <w:t>3. Lack of Autonomous Feedback Loops for zero-downtime policy hardening from live attack logs [5].</w:t>
      </w:r>
    </w:p>
    <w:p>
      <w:pPr>
        <w:pStyle w:val="ListBullet"/>
        <w:spacing w:line="336" w:lineRule="auto" w:after="80"/>
        <w:jc w:val="both"/>
      </w:pPr>
      <w:r>
        <w:rPr>
          <w:rFonts w:ascii="Times New Roman" w:hAnsi="Times New Roman"/>
          <w:sz w:val="24"/>
        </w:rPr>
        <w:t>4. Inadequate Isolation Guarantees in generative deception testbeds.</w:t>
      </w:r>
    </w:p>
    <w:p>
      <w:pPr>
        <w:pStyle w:val="ListBullet"/>
        <w:spacing w:line="336" w:lineRule="auto" w:after="80"/>
        <w:jc w:val="both"/>
      </w:pPr>
      <w:r>
        <w:rPr>
          <w:rFonts w:ascii="Times New Roman" w:hAnsi="Times New Roman"/>
          <w:sz w:val="24"/>
        </w:rPr>
        <w:t>5. Severe Latency Overhead of high-parameter moderation models (such as Llama-Guard 3 8B [11]) on benign customer traffic.</w:t>
      </w:r>
    </w:p>
    <w:p>
      <w:pPr>
        <w:keepNext/>
        <w:spacing w:before="240" w:after="80"/>
      </w:pPr>
      <w:r>
        <w:rPr>
          <w:rFonts w:ascii="Times New Roman" w:hAnsi="Times New Roman"/>
          <w:b/>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40" w:after="80"/>
      </w:pPr>
      <w:r>
        <w:rPr>
          <w:rFonts w:ascii="Times New Roman" w:hAnsi="Times New Roman"/>
          <w:b/>
          <w:sz w:val="28"/>
        </w:rPr>
        <w:t>1.5 Assumptions and Constraints</w:t>
      </w:r>
    </w:p>
    <w:p>
      <w:pPr>
        <w:keepNext/>
        <w:spacing w:before="120" w:after="8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Constraint</w:t>
            </w:r>
          </w:p>
        </w:tc>
        <w:tc>
          <w:tcPr>
            <w:tcW w:type="dxa" w:w="2770"/>
          </w:tcPr>
          <w:p>
            <w:r>
              <w:rPr>
                <w:rFonts w:ascii="Times New Roman" w:hAnsi="Times New Roman"/>
                <w:sz w:val="20"/>
              </w:rPr>
              <w:t>Dual 8B parameter models (Llama-Guard 3 and Llama-3) execute concurrently on 16 GB unified GPU memory with zero host swapping.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realistic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inference backend or moderation fails, gateway fails closed to safe degraded static answers.</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Mirror Maze container has 0 internet egress and 0 connection to production database.</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leaked tokens, keys, and IPs are synthetically generated and non-functional.</w:t>
            </w:r>
          </w:p>
        </w:tc>
      </w:tr>
    </w:tbl>
    <w:p>
      <w:pPr>
        <w:keepNext/>
        <w:spacing w:before="240" w:after="80"/>
      </w:pPr>
      <w:r>
        <w:rPr>
          <w:rFonts w:ascii="Times New Roman" w:hAnsi="Times New Roman"/>
          <w:b/>
          <w:sz w:val="28"/>
        </w:rPr>
        <w:t>1.6 Applicable Standards</w:t>
      </w:r>
    </w:p>
    <w:p>
      <w:pPr>
        <w:pStyle w:val="ListBullet"/>
        <w:spacing w:line="336" w:lineRule="auto" w:after="80"/>
        <w:jc w:val="both"/>
      </w:pPr>
      <w:r>
        <w:rPr>
          <w:rFonts w:ascii="Times New Roman" w:hAnsi="Times New Roman"/>
          <w:sz w:val="24"/>
        </w:rPr>
        <w:t>OWASP Top 10 for LLM Applications (2025/2026): Primary mitigation for LLM01, LLM02, and LLM06 [9].</w:t>
      </w:r>
    </w:p>
    <w:p>
      <w:pPr>
        <w:pStyle w:val="ListBullet"/>
        <w:spacing w:line="336" w:lineRule="auto" w:after="80"/>
        <w:jc w:val="both"/>
      </w:pPr>
      <w:r>
        <w:rPr>
          <w:rFonts w:ascii="Times New Roman" w:hAnsi="Times New Roman"/>
          <w:sz w:val="24"/>
        </w:rPr>
        <w:t>NIST AI Risk Management Framework (AI RMF 1.0): Fulfills Map, Measure, Manage, and Govern functions.</w:t>
      </w:r>
    </w:p>
    <w:p>
      <w:pPr>
        <w:pStyle w:val="ListBullet"/>
        <w:spacing w:line="336" w:lineRule="auto" w:after="80"/>
        <w:jc w:val="both"/>
      </w:pPr>
      <w:r>
        <w:rPr>
          <w:rFonts w:ascii="Times New Roman" w:hAnsi="Times New Roman"/>
          <w:sz w:val="24"/>
        </w:rPr>
        <w:t>IEEE 730-2014: Standard for Software Quality Assurance and verification protocols.</w:t>
      </w:r>
    </w:p>
    <w:p>
      <w:pPr>
        <w:pStyle w:val="ListBullet"/>
        <w:spacing w:line="336" w:lineRule="auto" w:after="80"/>
        <w:jc w:val="both"/>
      </w:pPr>
      <w:r>
        <w:rPr>
          <w:rFonts w:ascii="Times New Roman" w:hAnsi="Times New Roman"/>
          <w:sz w:val="24"/>
        </w:rPr>
        <w:t>NVIDIA NeMo Colang 2.0 Syntax Standards: Formal programmable conversational guardrails [6].</w:t>
      </w:r>
    </w:p>
    <w:p>
      <w:pPr>
        <w:keepNext/>
        <w:spacing w:before="240" w:after="80"/>
      </w:pPr>
      <w:r>
        <w:rPr>
          <w:rFonts w:ascii="Times New Roman" w:hAnsi="Times New Roman"/>
          <w:b/>
          <w:sz w:val="28"/>
        </w:rPr>
        <w:t>1.7 Approved Objectives (Proposal Evaluation)</w:t>
      </w:r>
    </w:p>
    <w:p>
      <w:pPr>
        <w:pStyle w:val="ListBullet"/>
        <w:spacing w:line="336" w:lineRule="auto" w:after="80"/>
        <w:jc w:val="both"/>
      </w:pPr>
      <w:r>
        <w:rPr>
          <w:rFonts w:ascii="Times New Roman" w:hAnsi="Times New Roman"/>
          <w:sz w:val="24"/>
        </w:rPr>
        <w:t>1. Develop a High-Accuracy Intent Sieve Classifier (&gt;95% detection on standard benchmarks like JailbreakBench [12], FPR &lt;1%) - Completed in Phase 2.</w:t>
      </w:r>
    </w:p>
    <w:p>
      <w:pPr>
        <w:pStyle w:val="ListBullet"/>
        <w:spacing w:line="336" w:lineRule="auto" w:after="80"/>
        <w:jc w:val="both"/>
      </w:pPr>
      <w:r>
        <w:rPr>
          <w:rFonts w:ascii="Times New Roman" w:hAnsi="Times New Roman"/>
          <w:sz w:val="24"/>
        </w:rPr>
        <w:t>2. Implement a High-Fidelity Generative Sandbox ('Mirror Maze') with &gt;5 min dwell time - Completed in Phase 3.</w:t>
      </w:r>
    </w:p>
    <w:p>
      <w:pPr>
        <w:pStyle w:val="ListBullet"/>
        <w:spacing w:line="336" w:lineRule="auto" w:after="80"/>
        <w:jc w:val="both"/>
      </w:pPr>
      <w:r>
        <w:rPr>
          <w:rFonts w:ascii="Times New Roman" w:hAnsi="Times New Roman"/>
          <w:sz w:val="24"/>
        </w:rPr>
        <w:t>3. Automate Self-Healing Security Guardrails with time-to-patch in seconds - Completed in Phase 4.</w:t>
      </w:r>
    </w:p>
    <w:p>
      <w:pPr>
        <w:pStyle w:val="ListBullet"/>
        <w:spacing w:line="336" w:lineRule="auto" w:after="80"/>
        <w:jc w:val="both"/>
      </w:pPr>
      <w:r>
        <w:rPr>
          <w:rFonts w:ascii="Times New Roman" w:hAnsi="Times New Roman"/>
          <w:sz w:val="24"/>
        </w:rPr>
        <w:t>4. Validate Zero-Escape Sandbox Security through container breakout penetration audits - Completed in Phase 3/4.</w:t>
      </w:r>
    </w:p>
    <w:p>
      <w:pPr>
        <w:pStyle w:val="ListBullet"/>
        <w:spacing w:line="336" w:lineRule="auto" w:after="80"/>
        <w:jc w:val="both"/>
      </w:pPr>
      <w:r>
        <w:rPr>
          <w:rFonts w:ascii="Times New Roman" w:hAnsi="Times New Roman"/>
          <w:sz w:val="24"/>
        </w:rPr>
        <w:t>5. Construct a Real-Time Threat Intelligence SOC Dashboard (&lt;1s refresh) - Phase 5 (In Progress for End-Sem).</w:t>
      </w:r>
    </w:p>
    <w:p>
      <w:pPr>
        <w:keepNext/>
        <w:spacing w:before="240" w:after="80"/>
      </w:pPr>
      <w:r>
        <w:rPr>
          <w:rFonts w:ascii="Times New Roman" w:hAnsi="Times New Roman"/>
          <w:b/>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Phases 0 through 4 represent the completed mid-semester scope, while Phases 5 and 6 form the planned end-semester roadmap.</w:t>
      </w:r>
    </w:p>
    <w:p>
      <w:pPr>
        <w:keepNext/>
        <w:spacing w:before="240" w:after="80"/>
      </w:pPr>
      <w:r>
        <w:rPr>
          <w:rFonts w:ascii="Times New Roman" w:hAnsi="Times New Roman"/>
          <w:b/>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40" w:after="80"/>
      </w:pPr>
      <w:r>
        <w:rPr>
          <w:rFonts w:ascii="Times New Roman" w:hAnsi="Times New Roman"/>
          <w:b/>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keepNext w:val="0"/>
        <w:spacing w:before="80" w:after="160"/>
        <w:jc w:val="center"/>
      </w:pPr>
      <w:r>
        <w:rPr>
          <w:rFonts w:ascii="Times New Roman" w:hAnsi="Times New Roman"/>
          <w:b/>
          <w:sz w:val="20"/>
        </w:rPr>
        <w:t>FIGURE 1.1: Honey-LLM Multi-Tier Routing and Decision Gateway Architecture</w:t>
      </w:r>
    </w:p>
    <w:p>
      <w:r>
        <w:br w:type="page"/>
      </w:r>
    </w:p>
    <w:p>
      <w:pPr>
        <w:keepNext/>
        <w:spacing w:before="320" w:after="160"/>
      </w:pPr>
      <w:r>
        <w:rPr>
          <w:rFonts w:ascii="Times New Roman" w:hAnsi="Times New Roman"/>
          <w:b/>
          <w:sz w:val="32"/>
        </w:rPr>
        <w:t>CHAPTER 2: REQUIREMENT ANALYSIS</w:t>
      </w:r>
    </w:p>
    <w:p>
      <w:pPr>
        <w:keepNext/>
        <w:spacing w:before="240" w:after="80"/>
      </w:pPr>
      <w:r>
        <w:rPr>
          <w:rFonts w:ascii="Times New Roman" w:hAnsi="Times New Roman"/>
          <w:b/>
          <w:sz w:val="28"/>
        </w:rPr>
        <w:t>2.1 Literature Survey</w:t>
      </w:r>
    </w:p>
    <w:p>
      <w:pPr>
        <w:spacing w:line="360" w:lineRule="auto" w:after="120"/>
        <w:ind w:firstLine="432"/>
        <w:jc w:val="both"/>
      </w:pPr>
      <w:r>
        <w:rPr>
          <w:rFonts w:ascii="Times New Roman" w:hAnsi="Times New Roman"/>
          <w:sz w:val="24"/>
        </w:rPr>
        <w:t>Large Language Models operate as statistical autoregressive predictors without a hardware-enforced separation between instructions and untrusted data [9]. Early generative honeypots (shelLM [10], LLM-Honeypot [8], HoneyLLM [4]) validated the realism of LLM-simulated shells but remained passive research testbeds.</w:t>
      </w:r>
    </w:p>
    <w:p>
      <w:pPr>
        <w:keepNext/>
        <w:spacing w:before="120" w:after="8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Approach</w:t>
            </w:r>
          </w:p>
        </w:tc>
        <w:tc>
          <w:tcPr>
            <w:tcW w:type="dxa" w:w="1662"/>
            <w:shd w:fill="F1F5F9"/>
          </w:tcPr>
          <w:p>
            <w:r>
              <w:rPr>
                <w:b/>
              </w:rPr>
              <w:t>Key Contribution</w:t>
            </w:r>
          </w:p>
        </w:tc>
        <w:tc>
          <w:tcPr>
            <w:tcW w:type="dxa" w:w="1662"/>
            <w:shd w:fill="F1F5F9"/>
          </w:tcPr>
          <w:p>
            <w:r>
              <w:rPr>
                <w:b/>
              </w:rPr>
              <w:t>Limitations</w:t>
            </w:r>
          </w:p>
        </w:tc>
        <w:tc>
          <w:tcPr>
            <w:tcW w:type="dxa" w:w="1662"/>
            <w:shd w:fill="F1F5F9"/>
          </w:tcPr>
          <w:p>
            <w:r>
              <w:rPr>
                <w:b/>
              </w:rPr>
              <w:t>Honey-LLM Advancement</w:t>
            </w:r>
          </w:p>
        </w:tc>
      </w:tr>
      <w:tr>
        <w:tc>
          <w:tcPr>
            <w:tcW w:type="dxa" w:w="1662"/>
          </w:tcPr>
          <w:p>
            <w:r>
              <w:rPr>
                <w:rFonts w:ascii="Times New Roman" w:hAnsi="Times New Roman"/>
                <w:sz w:val="19"/>
              </w:rPr>
              <w:t>shelLM [10]</w:t>
            </w:r>
          </w:p>
        </w:tc>
        <w:tc>
          <w:tcPr>
            <w:tcW w:type="dxa" w:w="1662"/>
          </w:tcPr>
          <w:p>
            <w:r>
              <w:rPr>
                <w:rFonts w:ascii="Times New Roman" w:hAnsi="Times New Roman"/>
                <w:sz w:val="19"/>
              </w:rPr>
              <w:t>LLM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CLI only; no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w:t>
            </w:r>
          </w:p>
        </w:tc>
        <w:tc>
          <w:tcPr>
            <w:tcW w:type="dxa" w:w="1662"/>
          </w:tcPr>
          <w:p>
            <w:r>
              <w:rPr>
                <w:rFonts w:ascii="Times New Roman" w:hAnsi="Times New Roman"/>
                <w:sz w:val="19"/>
              </w:rPr>
              <w:t>Log-trained shell</w:t>
            </w:r>
          </w:p>
        </w:tc>
        <w:tc>
          <w:tcPr>
            <w:tcW w:type="dxa" w:w="1662"/>
          </w:tcPr>
          <w:p>
            <w:r>
              <w:rPr>
                <w:rFonts w:ascii="Times New Roman" w:hAnsi="Times New Roman"/>
                <w:sz w:val="19"/>
              </w:rPr>
              <w:t>High realism via Levenshtein &amp; Cosine metrics</w:t>
            </w:r>
          </w:p>
        </w:tc>
        <w:tc>
          <w:tcPr>
            <w:tcW w:type="dxa" w:w="1662"/>
          </w:tcPr>
          <w:p>
            <w:r>
              <w:rPr>
                <w:rFonts w:ascii="Times New Roman" w:hAnsi="Times New Roman"/>
                <w:sz w:val="19"/>
              </w:rPr>
              <w:t>Passive logging only; zero automated defense</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w:t>
            </w:r>
          </w:p>
        </w:tc>
        <w:tc>
          <w:tcPr>
            <w:tcW w:type="dxa" w:w="1662"/>
          </w:tcPr>
          <w:p>
            <w:r>
              <w:rPr>
                <w:rFonts w:ascii="Times New Roman" w:hAnsi="Times New Roman"/>
                <w:sz w:val="19"/>
              </w:rPr>
              <w:t>Contextual shell prompts</w:t>
            </w:r>
          </w:p>
        </w:tc>
        <w:tc>
          <w:tcPr>
            <w:tcW w:type="dxa" w:w="1662"/>
          </w:tcPr>
          <w:p>
            <w:r>
              <w:rPr>
                <w:rFonts w:ascii="Times New Roman" w:hAnsi="Times New Roman"/>
                <w:sz w:val="19"/>
              </w:rPr>
              <w:t>Enhanced dwell time in simulated terminals</w:t>
            </w:r>
          </w:p>
        </w:tc>
        <w:tc>
          <w:tcPr>
            <w:tcW w:type="dxa" w:w="1662"/>
          </w:tcPr>
          <w:p>
            <w:r>
              <w:rPr>
                <w:rFonts w:ascii="Times New Roman" w:hAnsi="Times New Roman"/>
                <w:sz w:val="19"/>
              </w:rPr>
              <w:t>No intent sieve; no automated rule synth</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w:t>
            </w:r>
          </w:p>
        </w:tc>
        <w:tc>
          <w:tcPr>
            <w:tcW w:type="dxa" w:w="1662"/>
          </w:tcPr>
          <w:p>
            <w:r>
              <w:rPr>
                <w:rFonts w:ascii="Times New Roman" w:hAnsi="Times New Roman"/>
                <w:sz w:val="19"/>
              </w:rPr>
              <w:t>Cloak-Honey-Trap defense</w:t>
            </w:r>
          </w:p>
        </w:tc>
        <w:tc>
          <w:tcPr>
            <w:tcW w:type="dxa" w:w="1662"/>
          </w:tcPr>
          <w:p>
            <w:r>
              <w:rPr>
                <w:rFonts w:ascii="Times New Roman" w:hAnsi="Times New Roman"/>
                <w:sz w:val="19"/>
              </w:rPr>
              <w:t>Deception tokens disrupting AI attackers</w:t>
            </w:r>
          </w:p>
        </w:tc>
        <w:tc>
          <w:tcPr>
            <w:tcW w:type="dxa" w:w="1662"/>
          </w:tcPr>
          <w:p>
            <w:r>
              <w:rPr>
                <w:rFonts w:ascii="Times New Roman" w:hAnsi="Times New Roman"/>
                <w:sz w:val="19"/>
              </w:rPr>
              <w:t>Limited to CTF;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w:t>
            </w:r>
          </w:p>
        </w:tc>
        <w:tc>
          <w:tcPr>
            <w:tcW w:type="dxa" w:w="1662"/>
          </w:tcPr>
          <w:p>
            <w:r>
              <w:rPr>
                <w:rFonts w:ascii="Times New Roman" w:hAnsi="Times New Roman"/>
                <w:sz w:val="19"/>
              </w:rPr>
              <w:t>LLM-as-attacker audit</w:t>
            </w:r>
          </w:p>
        </w:tc>
        <w:tc>
          <w:tcPr>
            <w:tcW w:type="dxa" w:w="1662"/>
          </w:tcPr>
          <w:p>
            <w:r>
              <w:rPr>
                <w:rFonts w:ascii="Times New Roman" w:hAnsi="Times New Roman"/>
                <w:sz w:val="19"/>
              </w:rPr>
              <w:t>Automated feedback improving honeypot realism</w:t>
            </w:r>
          </w:p>
        </w:tc>
        <w:tc>
          <w:tcPr>
            <w:tcW w:type="dxa" w:w="1662"/>
          </w:tcPr>
          <w:p>
            <w:r>
              <w:rPr>
                <w:rFonts w:ascii="Times New Roman" w:hAnsi="Times New Roman"/>
                <w:sz w:val="19"/>
              </w:rPr>
              <w:t>Offline audit tool; no live defense</w:t>
            </w:r>
          </w:p>
        </w:tc>
        <w:tc>
          <w:tcPr>
            <w:tcW w:type="dxa" w:w="1662"/>
          </w:tcPr>
          <w:p>
            <w:r>
              <w:rPr>
                <w:rFonts w:ascii="Times New Roman" w:hAnsi="Times New Roman"/>
                <w:sz w:val="19"/>
              </w:rPr>
              <w:t>Self-hardening digital immune loop operating in ~10.4 seconds</w:t>
            </w:r>
          </w:p>
        </w:tc>
      </w:tr>
    </w:tbl>
    <w:p>
      <w:pPr>
        <w:keepNext/>
        <w:spacing w:before="240" w:after="80"/>
      </w:pPr>
      <w:r>
        <w:rPr>
          <w:rFonts w:ascii="Times New Roman" w:hAnsi="Times New Roman"/>
          <w:b/>
          <w:sz w:val="28"/>
        </w:rPr>
        <w:t>2.2 Software Requirement Specification (SRS)</w:t>
      </w:r>
    </w:p>
    <w:p>
      <w:pPr>
        <w:spacing w:line="360" w:lineRule="auto" w:after="120"/>
        <w:ind w:firstLine="432"/>
        <w:jc w:val="both"/>
      </w:pPr>
      <w:r>
        <w:rPr>
          <w:rFonts w:ascii="Times New Roman" w:hAnsi="Times New Roman"/>
          <w:sz w:val="24"/>
        </w:rPr>
        <w:t>Specifies the functional, interface, and non-functional requirements for the Honey-LLM gateway, including RESTful JSON endpoints (/api/chat, /api/dashboard, /api/admin), sub-50 ms sieve overhead, and WCAG 2.1 AA accessible visualization.</w:t>
      </w:r>
    </w:p>
    <w:p>
      <w:pPr>
        <w:keepNext/>
        <w:spacing w:before="240" w:after="80"/>
      </w:pPr>
      <w:r>
        <w:rPr>
          <w:rFonts w:ascii="Times New Roman" w:hAnsi="Times New Roman"/>
          <w:b/>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with unified memory, the architecture completely eliminates recurring per-token cloud API costs while maintaining zero data egress.</w:t>
      </w:r>
    </w:p>
    <w:p>
      <w:pPr>
        <w:keepNext/>
        <w:spacing w:before="120" w:after="8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Local 16 GB Unified Memory (Ollama runtime)</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40" w:after="80"/>
      </w:pPr>
      <w:r>
        <w:rPr>
          <w:rFonts w:ascii="Times New Roman" w:hAnsi="Times New Roman"/>
          <w:b/>
          <w:sz w:val="28"/>
        </w:rPr>
        <w:t>2.4 Risk Analysis and Mitigation Strategies</w:t>
      </w:r>
    </w:p>
    <w:p>
      <w:pPr>
        <w:keepNext/>
        <w:spacing w:before="120" w:after="8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320" w:after="160"/>
      </w:pPr>
      <w:r>
        <w:rPr>
          <w:rFonts w:ascii="Times New Roman" w:hAnsi="Times New Roman"/>
          <w:b/>
          <w:sz w:val="32"/>
        </w:rPr>
        <w:t>CHAPTER 3: METHODOLOGY ADOPTED</w:t>
      </w:r>
    </w:p>
    <w:p>
      <w:pPr>
        <w:keepNext/>
        <w:spacing w:before="240" w:after="80"/>
      </w:pPr>
      <w:r>
        <w:rPr>
          <w:rFonts w:ascii="Times New Roman" w:hAnsi="Times New Roman"/>
          <w:b/>
          <w:sz w:val="28"/>
        </w:rPr>
        <w:t>3.1 Investigative Techniques</w:t>
      </w:r>
    </w:p>
    <w:p>
      <w:pPr>
        <w:keepNext/>
        <w:spacing w:before="120" w:after="8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keepNext/>
        <w:spacing w:before="240" w:after="80"/>
      </w:pPr>
      <w:r>
        <w:rPr>
          <w:rFonts w:ascii="Times New Roman" w:hAnsi="Times New Roman"/>
          <w:b/>
          <w:sz w:val="28"/>
        </w:rPr>
        <w:t>3.2 Proposed Solution &amp; Multi-Tier Architecture</w:t>
      </w:r>
    </w:p>
    <w:p>
      <w:pPr>
        <w:pStyle w:val="ListBullet"/>
        <w:spacing w:line="336" w:lineRule="auto" w:after="80"/>
        <w:jc w:val="both"/>
      </w:pPr>
      <w:r>
        <w:rPr>
          <w:rFonts w:ascii="Times New Roman" w:hAnsi="Times New Roman"/>
          <w:sz w:val="24"/>
        </w:rPr>
        <w:t>Tier-0 Semantic Guardrail Cache: Fast semantic embedding matcher resolving known techniques in 10 to 20 ms (Phase 4).</w:t>
      </w:r>
    </w:p>
    <w:p>
      <w:pPr>
        <w:pStyle w:val="ListBullet"/>
        <w:spacing w:line="336" w:lineRule="auto" w:after="80"/>
        <w:jc w:val="both"/>
      </w:pPr>
      <w:r>
        <w:rPr>
          <w:rFonts w:ascii="Times New Roman" w:hAnsi="Times New Roman"/>
          <w:sz w:val="24"/>
        </w:rPr>
        <w:t>Tier-1 Statistical Fast-Path: TF-IDF + Logistic Regression resolving benign customer traffic in ~2 ms (Phase 2).</w:t>
      </w:r>
    </w:p>
    <w:p>
      <w:pPr>
        <w:pStyle w:val="ListBullet"/>
        <w:spacing w:line="336" w:lineRule="auto" w:after="80"/>
        <w:jc w:val="both"/>
      </w:pPr>
      <w:r>
        <w:rPr>
          <w:rFonts w:ascii="Times New Roman" w:hAnsi="Times New Roman"/>
          <w:sz w:val="24"/>
        </w:rPr>
        <w:t>Tier-2 Deep Moderation Sieve: 8B Llama-Guard 3 [11] custom injection policy analyzing multi-turn history (Phase 2).</w:t>
      </w:r>
    </w:p>
    <w:p>
      <w:pPr>
        <w:pStyle w:val="ListBullet"/>
        <w:spacing w:line="336" w:lineRule="auto" w:after="80"/>
        <w:jc w:val="both"/>
      </w:pPr>
      <w:r>
        <w:rPr>
          <w:rFonts w:ascii="Times New Roman" w:hAnsi="Times New Roman"/>
          <w:sz w:val="24"/>
        </w:rPr>
        <w:t>Deceptive Mirror Maze Sandbox: Docker-isolated 'Sarah' decoy persona dynamic-leaking synthetic bait (Phase 3).</w:t>
      </w:r>
    </w:p>
    <w:p>
      <w:pPr>
        <w:keepNext/>
        <w:spacing w:before="240" w:after="80"/>
      </w:pPr>
      <w:r>
        <w:rPr>
          <w:rFonts w:ascii="Times New Roman" w:hAnsi="Times New Roman"/>
          <w:b/>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40" w:after="80"/>
      </w:pPr>
      <w:r>
        <w:rPr>
          <w:rFonts w:ascii="Times New Roman" w:hAnsi="Times New Roman"/>
          <w:b/>
          <w:sz w:val="28"/>
        </w:rPr>
        <w:t>3.4 Hardware, Software, and Framework Stack</w:t>
      </w:r>
    </w:p>
    <w:p>
      <w:pPr>
        <w:keepNext/>
        <w:spacing w:before="120" w:after="8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Apple Silicon / 16 GB Unified RAM / Ollama</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Containerization</w:t>
            </w:r>
          </w:p>
        </w:tc>
        <w:tc>
          <w:tcPr>
            <w:tcW w:type="dxa" w:w="2770"/>
          </w:tcPr>
          <w:p>
            <w:r>
              <w:rPr>
                <w:rFonts w:ascii="Times New Roman" w:hAnsi="Times New Roman"/>
                <w:sz w:val="19"/>
              </w:rPr>
              <w:t>Docker / Colima (arm64)</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r>
        <w:br w:type="page"/>
      </w:r>
    </w:p>
    <w:p>
      <w:pPr>
        <w:keepNext/>
        <w:spacing w:before="320" w:after="160"/>
      </w:pPr>
      <w:r>
        <w:rPr>
          <w:rFonts w:ascii="Times New Roman" w:hAnsi="Times New Roman"/>
          <w:b/>
          <w:sz w:val="32"/>
        </w:rPr>
        <w:t>CHAPTER 4: DESIGN SPECIFICATIONS</w:t>
      </w:r>
    </w:p>
    <w:p>
      <w:pPr>
        <w:keepNext/>
        <w:spacing w:before="240" w:after="80"/>
      </w:pPr>
      <w:r>
        <w:rPr>
          <w:rFonts w:ascii="Times New Roman" w:hAnsi="Times New Roman"/>
          <w:b/>
          <w:sz w:val="28"/>
        </w:rPr>
        <w:t>4.1 System Architecture &amp; Sieve Gateway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Incoming requests are scored at Tier-0/1/2. Safe requests retrieve only public support context; unsafe requests are quarantined to the Mirror Maze container via an internal proxy.</w:t>
      </w:r>
    </w:p>
    <w:p>
      <w:pPr>
        <w:keepNext/>
        <w:spacing w:before="240" w:after="80"/>
      </w:pPr>
      <w:r>
        <w:rPr>
          <w:rFonts w:ascii="Times New Roman" w:hAnsi="Times New Roman"/>
          <w:b/>
          <w:sz w:val="28"/>
        </w:rPr>
        <w:t>4.2 Threat Taxonomy &amp; Sticky Quarantine State Machine</w:t>
      </w:r>
    </w:p>
    <w:p>
      <w:pPr>
        <w:keepNext/>
        <w:spacing w:before="120" w:after="8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keepNext/>
        <w:spacing w:before="240" w:after="80"/>
      </w:pPr>
      <w:r>
        <w:rPr>
          <w:rFonts w:ascii="Times New Roman" w:hAnsi="Times New Roman"/>
          <w:b/>
          <w:sz w:val="28"/>
        </w:rPr>
        <w:t>4.3 User Interface Specifications &amp; Designed Surfaces</w:t>
      </w:r>
    </w:p>
    <w:p>
      <w:pPr>
        <w:spacing w:line="360" w:lineRule="auto" w:after="120"/>
        <w:ind w:firstLine="432"/>
        <w:jc w:val="both"/>
      </w:pPr>
      <w:r>
        <w:rPr>
          <w:rFonts w:ascii="Times New Roman" w:hAnsi="Times New Roman"/>
          <w:sz w:val="24"/>
        </w:rPr>
        <w:t>Honey-LLM designs three user interface surfaces: (1) NexTel Customer Chat Widget (/chat): Clean corporate telecom aesthetic with zero visual indicators of the security layer; (2) Dark SOC Threat Intelligence Dashboard (/dashboard): Designed monitor for real-time attack frequency, taxonomy breakdown, detection tier ratios, and measured dwell times (Phase 5 implementation); and (3) Admin &amp; Demo Control Panel (/admin): Authenticated control surface allowing evaluation panels to trigger benign and malicious scenarios live and trace the tier-by-tier decision path in real time.</w:t>
      </w:r>
    </w:p>
    <w:p>
      <w:pPr>
        <w:keepNext/>
        <w:spacing w:before="240" w:after="80"/>
      </w:pPr>
      <w:r>
        <w:rPr>
          <w:rFonts w:ascii="Times New Roman" w:hAnsi="Times New Roman"/>
          <w:b/>
          <w:sz w:val="28"/>
        </w:rPr>
        <w:t>4.4 Working Prototype Execution (Phases 1 to 4 Verified)</w:t>
      </w:r>
    </w:p>
    <w:p>
      <w:pPr>
        <w:keepNext/>
        <w:spacing w:before="120" w:after="8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keepNext w:val="0"/>
        <w:spacing w:before="80" w:after="160"/>
        <w:jc w:val="center"/>
      </w:pPr>
      <w:r>
        <w:rPr>
          <w:rFonts w:ascii="Times New Roman" w:hAnsi="Times New Roman"/>
          <w:b/>
          <w:sz w:val="20"/>
        </w:rPr>
        <w:t>FIGURE 4.1: Dual-Path Sequence Tracing and Autonomous Self-Healing Flow</w:t>
      </w:r>
    </w:p>
    <w:p>
      <w:r>
        <w:br w:type="page"/>
      </w:r>
    </w:p>
    <w:p>
      <w:pPr>
        <w:keepNext/>
        <w:spacing w:before="320" w:after="160"/>
      </w:pPr>
      <w:r>
        <w:rPr>
          <w:rFonts w:ascii="Times New Roman" w:hAnsi="Times New Roman"/>
          <w:b/>
          <w:sz w:val="32"/>
        </w:rPr>
        <w:t>CHAPTER 5: CONCLUSIONS AND FUTURE SCOPE</w:t>
      </w:r>
    </w:p>
    <w:p>
      <w:pPr>
        <w:keepNext/>
        <w:spacing w:before="240" w:after="80"/>
      </w:pPr>
      <w:r>
        <w:rPr>
          <w:rFonts w:ascii="Times New Roman" w:hAnsi="Times New Roman"/>
          <w:b/>
          <w:sz w:val="28"/>
        </w:rPr>
        <w:t>5.1 Mid-Semester Accomplishments vs. Approved Objectives</w:t>
      </w:r>
    </w:p>
    <w:p>
      <w:pPr>
        <w:keepNext/>
        <w:spacing w:before="120" w:after="8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b/>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b/>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b/>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b/>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designed; event schema and admin tracer specified; UI live ingestion in progress.</w:t>
            </w:r>
          </w:p>
        </w:tc>
        <w:tc>
          <w:tcPr>
            <w:tcW w:type="dxa" w:w="2077"/>
          </w:tcPr>
          <w:p>
            <w:r>
              <w:rPr>
                <w:rFonts w:ascii="Times New Roman" w:hAnsi="Times New Roman"/>
                <w:b/>
                <w:sz w:val="19"/>
              </w:rPr>
              <w:t>Phase 5 (IN PROGRESS)</w:t>
            </w:r>
          </w:p>
        </w:tc>
      </w:tr>
    </w:tbl>
    <w:p>
      <w:pPr>
        <w:keepNext/>
        <w:spacing w:before="240" w:after="80"/>
      </w:pPr>
      <w:r>
        <w:rPr>
          <w:rFonts w:ascii="Times New Roman" w:hAnsi="Times New Roman"/>
          <w:b/>
          <w:sz w:val="28"/>
        </w:rPr>
        <w:t>5.2 Mid-Semester Conclusions</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20" w:after="8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b/>
                <w:sz w:val="19"/>
              </w:rPr>
              <w:t>Honey-LLM Two-Tier Sieve (Ensemble)</w:t>
            </w:r>
          </w:p>
        </w:tc>
        <w:tc>
          <w:tcPr>
            <w:tcW w:type="dxa" w:w="1662"/>
          </w:tcPr>
          <w:p>
            <w:r>
              <w:rPr>
                <w:rFonts w:ascii="Times New Roman" w:hAnsi="Times New Roman"/>
                <w:b/>
                <w:sz w:val="19"/>
              </w:rPr>
              <w:t>Curated + Wild (889)</w:t>
            </w:r>
          </w:p>
        </w:tc>
        <w:tc>
          <w:tcPr>
            <w:tcW w:type="dxa" w:w="1662"/>
          </w:tcPr>
          <w:p>
            <w:r>
              <w:rPr>
                <w:rFonts w:ascii="Times New Roman" w:hAnsi="Times New Roman"/>
                <w:b/>
                <w:sz w:val="19"/>
              </w:rPr>
              <w:t>98.3% (559/569)</w:t>
            </w:r>
          </w:p>
        </w:tc>
        <w:tc>
          <w:tcPr>
            <w:tcW w:type="dxa" w:w="1662"/>
          </w:tcPr>
          <w:p>
            <w:r>
              <w:rPr>
                <w:rFonts w:ascii="Times New Roman" w:hAnsi="Times New Roman"/>
                <w:b/>
                <w:sz w:val="19"/>
              </w:rPr>
              <w:t>0.0% (0/320)</w:t>
            </w:r>
          </w:p>
        </w:tc>
        <w:tc>
          <w:tcPr>
            <w:tcW w:type="dxa" w:w="1662"/>
          </w:tcPr>
          <w:p>
            <w:r>
              <w:rPr>
                <w:rFonts w:ascii="Times New Roman" w:hAnsi="Times New Roman"/>
                <w:b/>
                <w:sz w:val="19"/>
              </w:rPr>
              <w:t>~2.1 ms (benign)</w:t>
            </w:r>
          </w:p>
        </w:tc>
      </w:tr>
    </w:tbl>
    <w:p>
      <w:pPr>
        <w:keepNext/>
        <w:spacing w:before="240" w:after="80"/>
      </w:pPr>
      <w:r>
        <w:rPr>
          <w:rFonts w:ascii="Times New Roman" w:hAnsi="Times New Roman"/>
          <w:b/>
          <w:sz w:val="28"/>
        </w:rPr>
        <w:t>5.3 Economic, Social, and Environmental Benefits</w:t>
      </w:r>
    </w:p>
    <w:p>
      <w:pPr>
        <w:pStyle w:val="ListBullet"/>
        <w:spacing w:line="336" w:lineRule="auto" w:after="80"/>
        <w:jc w:val="both"/>
      </w:pPr>
      <w:r>
        <w:rPr>
          <w:rFonts w:ascii="Times New Roman" w:hAnsi="Times New Roman"/>
          <w:sz w:val="24"/>
        </w:rPr>
        <w:t>Economic: Eliminates commercial API token expenditures (~$27,000/year savings for high-throughput enterprises) and protects sensitive corporate data from exfiltration.</w:t>
      </w:r>
    </w:p>
    <w:p>
      <w:pPr>
        <w:pStyle w:val="ListBullet"/>
        <w:spacing w:line="336" w:lineRule="auto" w:after="80"/>
        <w:jc w:val="both"/>
      </w:pPr>
      <w:r>
        <w:rPr>
          <w:rFonts w:ascii="Times New Roman" w:hAnsi="Times New Roman"/>
          <w:sz w:val="24"/>
        </w:rPr>
        <w:t>Social: Protects citizen-facing AI infrastructure (e-governance, healthcare, fintech bots) from automated manipulation.</w:t>
      </w:r>
    </w:p>
    <w:p>
      <w:pPr>
        <w:pStyle w:val="ListBullet"/>
        <w:spacing w:line="336" w:lineRule="auto" w:after="80"/>
        <w:jc w:val="both"/>
      </w:pPr>
      <w:r>
        <w:rPr>
          <w:rFonts w:ascii="Times New Roman" w:hAnsi="Times New Roman"/>
          <w:sz w:val="24"/>
        </w:rPr>
        <w:t>Environmental: Quantized local inference and fast-path routing cut GPU server compute consumption by over 85%.</w:t>
      </w:r>
    </w:p>
    <w:p>
      <w:pPr>
        <w:keepNext/>
        <w:spacing w:before="240" w:after="80"/>
      </w:pPr>
      <w:r>
        <w:rPr>
          <w:rFonts w:ascii="Times New Roman" w:hAnsi="Times New Roman"/>
          <w:b/>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pStyle w:val="ListBullet"/>
        <w:spacing w:line="336" w:lineRule="auto" w:after="80"/>
        <w:jc w:val="both"/>
      </w:pPr>
      <w:r>
        <w:rPr>
          <w:rFonts w:ascii="Times New Roman" w:hAnsi="Times New Roman"/>
          <w:sz w:val="24"/>
        </w:rPr>
        <w:t>Phase 5: Forensic Telemetry &amp; Threat Intelligence Dashboard - Finalize the sub-second polling Next.js 15 SOC dashboard, integrate live attacker dwell-time meters, and complete end-to-end visualization of attack taxonomy trends.</w:t>
      </w:r>
    </w:p>
    <w:p>
      <w:pPr>
        <w:pStyle w:val="ListBullet"/>
        <w:spacing w:line="336" w:lineRule="auto" w:after="80"/>
        <w:jc w:val="both"/>
      </w:pPr>
      <w:r>
        <w:rPr>
          <w:rFonts w:ascii="Times New Roman" w:hAnsi="Times New Roman"/>
          <w:sz w:val="24"/>
        </w:rPr>
        <w:t>Phase 6: Empirical Validation &amp; Adversarial Red-Teaming - Subject the deployed gateway to scaled Microsoft PyRIT [13] adversarial stress campaigns across 12+ prompt obfuscation converters, conduct multi-user concurrency load profiling, and author the final capstone thesis.</w:t>
      </w:r>
    </w:p>
    <w:p>
      <w:r>
        <w:br w:type="page"/>
      </w:r>
    </w:p>
    <w:p>
      <w:pPr>
        <w:keepNext/>
        <w:spacing w:before="320" w:after="160"/>
      </w:pPr>
      <w:r>
        <w:rPr>
          <w:rFonts w:ascii="Times New Roman" w:hAnsi="Times New Roman"/>
          <w:b/>
          <w:sz w:val="32"/>
        </w:rPr>
        <w:t>APPENDIX A: REFERENCES</w:t>
      </w:r>
    </w:p>
    <w:p>
      <w:pPr>
        <w:spacing w:line="276" w:lineRule="auto" w:after="80"/>
        <w:jc w:val="both"/>
      </w:pPr>
      <w:r>
        <w:rPr>
          <w:rFonts w:ascii="Times New Roman" w:hAnsi="Times New Roman"/>
          <w:sz w:val="21"/>
        </w:rPr>
        <w:t>[1] Anthropic. "Constitutional AI: Harmlessness from AI feedback." arXiv preprint arXiv:2212.08073, 2022.</w:t>
      </w:r>
    </w:p>
    <w:p>
      <w:pPr>
        <w:spacing w:line="276" w:lineRule="auto" w:after="80"/>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jc w:val="both"/>
      </w:pPr>
      <w:r>
        <w:rPr>
          <w:rFonts w:ascii="Times New Roman" w:hAnsi="Times New Roman"/>
          <w:sz w:val="21"/>
        </w:rPr>
        <w:t>[3] I. Goodfellow, Y. Bengio, and A. Courville. Deep Learning. Cambridge, MA, USA: MIT Press, 2016.</w:t>
      </w:r>
    </w:p>
    <w:p>
      <w:pPr>
        <w:spacing w:line="276" w:lineRule="auto" w:after="80"/>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jc w:val="both"/>
      </w:pPr>
      <w:r>
        <w:rPr>
          <w:rFonts w:ascii="Times New Roman" w:hAnsi="Times New Roman"/>
          <w:sz w:val="21"/>
        </w:rPr>
        <w:t>[7] OpenAI. "GPT-4 Technical Report." arXiv preprint arXiv:2303.08774, 2023.</w:t>
      </w:r>
    </w:p>
    <w:p>
      <w:pPr>
        <w:spacing w:line="276" w:lineRule="auto" w:after="80"/>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jc w:val="both"/>
      </w:pPr>
      <w:r>
        <w:rPr>
          <w:rFonts w:ascii="Times New Roman" w:hAnsi="Times New Roman"/>
          <w:sz w:val="21"/>
        </w:rPr>
        <w:t>[11] Meta AI. "Llama Guard 3: Developing safe and responsible generative AI models." Meta Research Technical Report, 2024.</w:t>
      </w:r>
    </w:p>
    <w:p>
      <w:pPr>
        <w:spacing w:line="276" w:lineRule="auto" w:after="80"/>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jc w:val="both"/>
      </w:pPr>
      <w:r>
        <w:rPr>
          <w:rFonts w:ascii="Times New Roman" w:hAnsi="Times New Roman"/>
          <w:sz w:val="21"/>
        </w:rPr>
        <w:t>[13] Microsoft. "Python Risk Identification Tool for Generative AI (PyRIT)." Microsoft Security AI Research, Internet: https://github.com/Azure/PyRIT, 2024 [Accessed: Aug. 18, 2026].</w:t>
      </w:r>
    </w:p>
    <w:p/>
    <w:p>
      <w:pPr>
        <w:keepNext/>
        <w:spacing w:before="320" w:after="160"/>
      </w:pPr>
      <w:r>
        <w:rPr>
          <w:rFonts w:ascii="Times New Roman" w:hAnsi="Times New Roman"/>
          <w:b/>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