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HONEY-LLM: AN INTERACTIVE, SELF-HEALING HONEYPOT DEFENSE ECOSYSTEM FOR AGENTIC AI</w:t>
      </w:r>
    </w:p>
    <w:p>
      <w:pPr>
        <w:jc w:val="center"/>
      </w:pPr>
      <w:r>
        <w:rPr>
          <w:b/>
          <w:sz w:val="24"/>
        </w:rPr>
        <w:t>Capstone Project Report</w:t>
        <w:br/>
        <w:t>MID SEMESTER EVALUATION (Phases 1 to 4 Progress)</w:t>
      </w:r>
    </w:p>
    <w:p>
      <w:pPr>
        <w:jc w:val="center"/>
      </w:pPr>
      <w:r>
        <w:rPr>
          <w:b/>
          <w:sz w:val="24"/>
        </w:rPr>
        <w:t>Submitted by:</w:t>
        <w:br/>
        <w:t>(102303312) ANOUSHKA SINGH</w:t>
        <w:br/>
        <w:t>(102303315) TARUN KRISHNA SHASTRI</w:t>
        <w:br/>
        <w:t>(102303631) DEVANSH WADHWANI</w:t>
        <w:br/>
        <w:t>(102303684) SHREYA GIRI</w:t>
      </w:r>
    </w:p>
    <w:p>
      <w:pPr>
        <w:jc w:val="center"/>
      </w:pPr>
      <w:r>
        <w:rPr>
          <w:b/>
          <w:sz w:val="24"/>
        </w:rPr>
        <w:t>BE Third Year, Computer Engineering (CoE)</w:t>
        <w:br/>
        <w:t>CPG No: 75</w:t>
      </w:r>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240" w:after="120"/>
      </w:pPr>
      <w:r>
        <w:rPr>
          <w:rFonts w:ascii="Times New Roman" w:hAnsi="Times New Roman"/>
          <w:b/>
          <w:color w:val="0F172A"/>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(Llama-Guard 3 [11]), achieving a 98.3% detection rate (559/569 adversarial payloads intercepted) while maintaining a 0.0% False Positive Rate on the benign domain evaluation split (0/320 legitimate customer queries flagged);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240" w:after="120"/>
      </w:pPr>
      <w:r>
        <w:rPr>
          <w:rFonts w:ascii="Times New Roman" w:hAnsi="Times New Roman"/>
          <w:b/>
          <w:color w:val="0F172A"/>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pPr>
        <w:spacing w:line="360" w:lineRule="auto" w:after="120"/>
        <w:jc w:val="both"/>
      </w:pPr>
      <w:r>
        <w:rPr>
          <w:rFonts w:ascii="Times New Roman" w:hAnsi="Times New Roman"/>
          <w:sz w:val="24"/>
        </w:rP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Pr>
        <w:spacing w:before="400"/>
      </w:pPr>
    </w:p>
    <w:p>
      <w:r>
        <w:rPr>
          <w:b/>
        </w:rPr>
        <w:t>Counter Signed By:</w:t>
      </w:r>
    </w:p>
    <w:p>
      <w:r>
        <w:drawing>
          <wp:inline xmlns:a="http://schemas.openxmlformats.org/drawingml/2006/main" xmlns:pic="http://schemas.openxmlformats.org/drawingml/2006/picture">
            <wp:extent cx="1097280" cy="765908"/>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97280" cy="765908"/>
                    </a:xfrm>
                    <a:prstGeom prst="rect"/>
                  </pic:spPr>
                </pic:pic>
              </a:graphicData>
            </a:graphic>
          </wp:inline>
        </w:drawing>
      </w:r>
    </w:p>
    <w:p>
      <w:r>
        <w:rPr>
          <w:sz w:val="22"/>
        </w:rPr>
        <w:t>Dr. Saif Nalband</w:t>
        <w:tab/>
        <w:tab/>
        <w:tab/>
        <w:tab/>
        <w:tab/>
        <w:tab/>
        <w:t>Dr. Neeraj Kumar</w:t>
        <w:br/>
        <w:t>Assistant Professor, CSED</w:t>
        <w:tab/>
        <w:tab/>
        <w:tab/>
        <w:tab/>
        <w:t>Professor &amp; Head, CSED</w:t>
        <w:br/>
        <w:t>TIET, Patiala</w:t>
        <w:tab/>
        <w:tab/>
        <w:tab/>
        <w:tab/>
        <w:tab/>
        <w:tab/>
        <w:t>TIET, Patiala</w:t>
      </w:r>
    </w:p>
    <w:p>
      <w:r>
        <w:br w:type="page"/>
      </w:r>
    </w:p>
    <w:p>
      <w:pPr>
        <w:keepNext/>
        <w:spacing w:before="240" w:after="120"/>
      </w:pPr>
      <w:r>
        <w:rPr>
          <w:rFonts w:ascii="Times New Roman" w:hAnsi="Times New Roman"/>
          <w:b/>
          <w:color w:val="0F172A"/>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pPr>
        <w:spacing w:line="360" w:lineRule="auto" w:after="120"/>
        <w:jc w:val="both"/>
      </w:pPr>
      <w:r>
        <w:rPr>
          <w:rFonts w:ascii="Times New Roman" w:hAnsi="Times New Roman"/>
          <w:sz w:val="24"/>
        </w:rPr>
        <w:t>Project Team Members:</w:t>
        <w:br/>
        <w:t>Anoushka Singh (102303312), Tarun Krishna Shastri (102303315),</w:t>
        <w:br/>
        <w:t>Devansh Wadhwani (102303631), Shreya Giri (102303684)</w:t>
      </w:r>
    </w:p>
    <w:p>
      <w:r>
        <w:br w:type="page"/>
      </w:r>
    </w:p>
    <w:p>
      <w:pPr>
        <w:keepNext/>
        <w:spacing w:before="240" w:after="120"/>
      </w:pPr>
      <w:r>
        <w:rPr>
          <w:rFonts w:ascii="Times New Roman" w:hAnsi="Times New Roman"/>
          <w:b/>
          <w:color w:val="0F172A"/>
          <w:sz w:val="32"/>
        </w:rPr>
        <w:t>TABLE OF CONTENTS</w:t>
      </w:r>
    </w:p>
    <w:p>
      <w:pPr>
        <w:spacing w:line="276" w:lineRule="auto" w:after="40"/>
      </w:pPr>
      <w:r>
        <w:rPr>
          <w:rFonts w:ascii="Times New Roman" w:hAnsi="Times New Roman"/>
          <w:b/>
          <w:sz w:val="20"/>
        </w:rPr>
        <w:t>ABSTRACT</w:t>
      </w:r>
      <w:r>
        <w:rPr>
          <w:rFonts w:ascii="Times New Roman" w:hAnsi="Times New Roman"/>
          <w:sz w:val="20"/>
        </w:rPr>
        <w:tab/>
        <w:tab/>
        <w:tab/>
        <w:tab/>
        <w:tab/>
        <w:tab/>
        <w:tab/>
        <w:t>i</w:t>
      </w:r>
    </w:p>
    <w:p>
      <w:pPr>
        <w:spacing w:line="276" w:lineRule="auto" w:after="40"/>
      </w:pPr>
      <w:r>
        <w:rPr>
          <w:rFonts w:ascii="Times New Roman" w:hAnsi="Times New Roman"/>
          <w:b/>
          <w:sz w:val="20"/>
        </w:rPr>
        <w:t>DECLARATION</w:t>
      </w:r>
      <w:r>
        <w:rPr>
          <w:rFonts w:ascii="Times New Roman" w:hAnsi="Times New Roman"/>
          <w:sz w:val="20"/>
        </w:rPr>
        <w:tab/>
        <w:tab/>
        <w:tab/>
        <w:tab/>
        <w:tab/>
        <w:tab/>
        <w:tab/>
        <w:t>ii</w:t>
      </w:r>
    </w:p>
    <w:p>
      <w:pPr>
        <w:spacing w:line="276" w:lineRule="auto" w:after="40"/>
      </w:pPr>
      <w:r>
        <w:rPr>
          <w:rFonts w:ascii="Times New Roman" w:hAnsi="Times New Roman"/>
          <w:b/>
          <w:sz w:val="20"/>
        </w:rPr>
        <w:t>ACKNOWLEDGEMENT</w:t>
      </w:r>
      <w:r>
        <w:rPr>
          <w:rFonts w:ascii="Times New Roman" w:hAnsi="Times New Roman"/>
          <w:sz w:val="20"/>
        </w:rPr>
        <w:tab/>
        <w:tab/>
        <w:tab/>
        <w:tab/>
        <w:tab/>
        <w:tab/>
        <w:tab/>
        <w:t>iii</w:t>
      </w:r>
    </w:p>
    <w:p>
      <w:pPr>
        <w:spacing w:line="276" w:lineRule="auto" w:after="40"/>
      </w:pPr>
      <w:r>
        <w:rPr>
          <w:rFonts w:ascii="Times New Roman" w:hAnsi="Times New Roman"/>
          <w:b/>
          <w:sz w:val="20"/>
        </w:rPr>
        <w:t>LIST OF TABLES</w:t>
      </w:r>
      <w:r>
        <w:rPr>
          <w:rFonts w:ascii="Times New Roman" w:hAnsi="Times New Roman"/>
          <w:sz w:val="20"/>
        </w:rPr>
        <w:tab/>
        <w:tab/>
        <w:tab/>
        <w:tab/>
        <w:tab/>
        <w:tab/>
        <w:tab/>
        <w:t>vi</w:t>
      </w:r>
    </w:p>
    <w:p>
      <w:pPr>
        <w:spacing w:line="276" w:lineRule="auto" w:after="40"/>
      </w:pPr>
      <w:r>
        <w:rPr>
          <w:rFonts w:ascii="Times New Roman" w:hAnsi="Times New Roman"/>
          <w:b/>
          <w:sz w:val="20"/>
        </w:rPr>
        <w:t>LIST OF FIGURES</w:t>
      </w:r>
      <w:r>
        <w:rPr>
          <w:rFonts w:ascii="Times New Roman" w:hAnsi="Times New Roman"/>
          <w:sz w:val="20"/>
        </w:rPr>
        <w:tab/>
        <w:tab/>
        <w:tab/>
        <w:tab/>
        <w:tab/>
        <w:tab/>
        <w:tab/>
        <w:t>vii</w:t>
      </w:r>
    </w:p>
    <w:p>
      <w:pPr>
        <w:spacing w:line="276" w:lineRule="auto" w:after="40"/>
      </w:pPr>
      <w:r>
        <w:rPr>
          <w:rFonts w:ascii="Times New Roman" w:hAnsi="Times New Roman"/>
          <w:b/>
          <w:sz w:val="20"/>
        </w:rPr>
        <w:t>LIST OF ABBREVIATIONS</w:t>
      </w:r>
      <w:r>
        <w:rPr>
          <w:rFonts w:ascii="Times New Roman" w:hAnsi="Times New Roman"/>
          <w:sz w:val="20"/>
        </w:rPr>
        <w:tab/>
        <w:tab/>
        <w:tab/>
        <w:tab/>
        <w:tab/>
        <w:tab/>
        <w:tab/>
        <w:t>viii</w:t>
      </w:r>
    </w:p>
    <w:p>
      <w:pPr>
        <w:spacing w:line="276" w:lineRule="auto" w:after="40"/>
      </w:pPr>
      <w:r>
        <w:rPr>
          <w:rFonts w:ascii="Times New Roman" w:hAnsi="Times New Roman"/>
          <w:b/>
          <w:sz w:val="20"/>
        </w:rPr>
        <w:t>CHAPTER 1: INTRODUCTION</w:t>
      </w:r>
      <w:r>
        <w:rPr>
          <w:rFonts w:ascii="Times New Roman" w:hAnsi="Times New Roman"/>
          <w:b/>
          <w:sz w:val="20"/>
        </w:rPr>
        <w:tab/>
        <w:tab/>
        <w:tab/>
        <w:tab/>
        <w:tab/>
        <w:tab/>
        <w:tab/>
        <w:t>1</w:t>
      </w:r>
    </w:p>
    <w:p>
      <w:pPr>
        <w:spacing w:line="276" w:lineRule="auto" w:after="40"/>
      </w:pPr>
      <w:r>
        <w:rPr>
          <w:rFonts w:ascii="Times New Roman" w:hAnsi="Times New Roman"/>
          <w:sz w:val="20"/>
        </w:rPr>
        <w:t xml:space="preserve">    1.1 Project Overview</w:t>
      </w:r>
      <w:r>
        <w:rPr>
          <w:rFonts w:ascii="Times New Roman" w:hAnsi="Times New Roman"/>
          <w:sz w:val="20"/>
        </w:rPr>
        <w:tab/>
        <w:tab/>
        <w:tab/>
        <w:tab/>
        <w:tab/>
        <w:tab/>
        <w:tab/>
        <w:t>1</w:t>
      </w:r>
    </w:p>
    <w:p>
      <w:pPr>
        <w:spacing w:line="276" w:lineRule="auto" w:after="40"/>
      </w:pPr>
      <w:r>
        <w:rPr>
          <w:rFonts w:ascii="Times New Roman" w:hAnsi="Times New Roman"/>
          <w:sz w:val="20"/>
        </w:rPr>
        <w:t xml:space="preserve">    1.2 Need Analysis</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1.2.1 The 'Smart Mirror' Trap: Enterprise Adoption vs. Defensive Lag</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1.2.2 The Shift: Machine-Speed Autonomous Warfare</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1.2.3 The 'Shadow Trust' Gap: Vulnerability of the Semantic Layer</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1.2.4 The Dynamic Security Window: Addressing Reactive Lag</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1.3 Research Gaps</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1.4 Problem Definition and Scope</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1.5 Assumptions and Constraints</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1.6 Applicable Standards</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1.7 Approved Objectives (Proposal Evaluation)</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1.8 Methodology Overview (Phases 1 to 4 Scope)</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1.9 Mid-Semester Outcomes and Deliverables</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1.10 Novelty of Work</w:t>
      </w:r>
      <w:r>
        <w:rPr>
          <w:rFonts w:ascii="Times New Roman" w:hAnsi="Times New Roman"/>
          <w:sz w:val="20"/>
        </w:rPr>
        <w:tab/>
        <w:tab/>
        <w:tab/>
        <w:tab/>
        <w:tab/>
        <w:tab/>
        <w:tab/>
        <w:t>6</w:t>
      </w:r>
    </w:p>
    <w:p>
      <w:pPr>
        <w:spacing w:line="276" w:lineRule="auto" w:after="40"/>
      </w:pPr>
      <w:r>
        <w:rPr>
          <w:rFonts w:ascii="Times New Roman" w:hAnsi="Times New Roman"/>
          <w:b/>
          <w:sz w:val="20"/>
        </w:rPr>
        <w:t>CHAPTER 2: REQUIREMENT ANALYSIS</w:t>
      </w:r>
      <w:r>
        <w:rPr>
          <w:rFonts w:ascii="Times New Roman" w:hAnsi="Times New Roman"/>
          <w:b/>
          <w:sz w:val="20"/>
        </w:rPr>
        <w:tab/>
        <w:tab/>
        <w:tab/>
        <w:tab/>
        <w:tab/>
        <w:tab/>
        <w:tab/>
        <w:t>8</w:t>
      </w:r>
    </w:p>
    <w:p>
      <w:pPr>
        <w:spacing w:line="276" w:lineRule="auto" w:after="40"/>
      </w:pPr>
      <w:r>
        <w:rPr>
          <w:rFonts w:ascii="Times New Roman" w:hAnsi="Times New Roman"/>
          <w:sz w:val="20"/>
        </w:rPr>
        <w:t xml:space="preserve">    2.1 Literature Survey</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2.1.1 Theory Associated With Problem Area</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2.1.2 Existing Systems and Solutions</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2.1.3 Research Findings for Existing Literature</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2.1.4 Problems Identified in State of the Art</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2.1.5 Survey of Tools and Technologies Used</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 Software Requirement Specification (SRS)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2.2.1 Introduction &amp; Scope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2.2.2 Overall Product Description &amp; Features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2.2.3 External Interface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2.2.4 Non-Functional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2.3 Cost &amp; Computational Feasibility Analysis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2.4 Risk Analysis and Mitigation Strategies</w:t>
      </w:r>
      <w:r>
        <w:rPr>
          <w:rFonts w:ascii="Times New Roman" w:hAnsi="Times New Roman"/>
          <w:sz w:val="20"/>
        </w:rPr>
        <w:tab/>
        <w:tab/>
        <w:tab/>
        <w:tab/>
        <w:tab/>
        <w:tab/>
        <w:tab/>
        <w:t>10</w:t>
      </w:r>
    </w:p>
    <w:p>
      <w:pPr>
        <w:spacing w:line="276" w:lineRule="auto" w:after="40"/>
      </w:pPr>
      <w:r>
        <w:rPr>
          <w:rFonts w:ascii="Times New Roman" w:hAnsi="Times New Roman"/>
          <w:b/>
          <w:sz w:val="20"/>
        </w:rPr>
        <w:t>CHAPTER 3: METHODOLOGY ADOPTED</w:t>
      </w:r>
      <w:r>
        <w:rPr>
          <w:rFonts w:ascii="Times New Roman" w:hAnsi="Times New Roman"/>
          <w:b/>
          <w:sz w:val="20"/>
        </w:rPr>
        <w:tab/>
        <w:tab/>
        <w:tab/>
        <w:tab/>
        <w:tab/>
        <w:tab/>
        <w:tab/>
        <w:t>11</w:t>
      </w:r>
    </w:p>
    <w:p>
      <w:pPr>
        <w:spacing w:line="276" w:lineRule="auto" w:after="40"/>
      </w:pPr>
      <w:r>
        <w:rPr>
          <w:rFonts w:ascii="Times New Roman" w:hAnsi="Times New Roman"/>
          <w:sz w:val="20"/>
        </w:rPr>
        <w:t xml:space="preserve">    3.1 Investigative Techniques &amp; 0.0% FPR Analysis</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3.2 Proposed Solution &amp; Multi-Tier Architecture</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3.3 Work Breakdown Structure (Phases 1 to 4 Completed)</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3.4 Enterprise Hardware, Software, and Framework Stack</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3.5 UML Sequence Model for Interception Flow</w:t>
      </w:r>
      <w:r>
        <w:rPr>
          <w:rFonts w:ascii="Times New Roman" w:hAnsi="Times New Roman"/>
          <w:sz w:val="20"/>
        </w:rPr>
        <w:tab/>
        <w:tab/>
        <w:tab/>
        <w:tab/>
        <w:tab/>
        <w:tab/>
        <w:tab/>
        <w:t>13</w:t>
      </w:r>
    </w:p>
    <w:p>
      <w:pPr>
        <w:spacing w:line="276" w:lineRule="auto" w:after="40"/>
      </w:pPr>
      <w:r>
        <w:rPr>
          <w:rFonts w:ascii="Times New Roman" w:hAnsi="Times New Roman"/>
          <w:b/>
          <w:sz w:val="20"/>
        </w:rPr>
        <w:t>CHAPTER 4: DESIGN SPECIFICATIONS</w:t>
      </w:r>
      <w:r>
        <w:rPr>
          <w:rFonts w:ascii="Times New Roman" w:hAnsi="Times New Roman"/>
          <w:b/>
          <w:sz w:val="20"/>
        </w:rPr>
        <w:tab/>
        <w:tab/>
        <w:tab/>
        <w:tab/>
        <w:tab/>
        <w:tab/>
        <w:tab/>
        <w:t>14</w:t>
      </w:r>
    </w:p>
    <w:p>
      <w:pPr>
        <w:spacing w:line="276" w:lineRule="auto" w:after="40"/>
      </w:pPr>
      <w:r>
        <w:rPr>
          <w:rFonts w:ascii="Times New Roman" w:hAnsi="Times New Roman"/>
          <w:sz w:val="20"/>
        </w:rPr>
        <w:t xml:space="preserve">    4.1 System Architecture &amp; Sieve Gateway Flow</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4.2 Threat Taxonomy &amp; Sticky Quarantine State Machine</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4.3 User Interface Specifications &amp; Designed Surfaces</w:t>
      </w:r>
      <w:r>
        <w:rPr>
          <w:rFonts w:ascii="Times New Roman" w:hAnsi="Times New Roman"/>
          <w:sz w:val="20"/>
        </w:rPr>
        <w:tab/>
        <w:tab/>
        <w:tab/>
        <w:tab/>
        <w:tab/>
        <w:tab/>
        <w:tab/>
        <w:t>15</w:t>
      </w:r>
    </w:p>
    <w:p>
      <w:pPr>
        <w:spacing w:line="276" w:lineRule="auto" w:after="40"/>
      </w:pPr>
      <w:r>
        <w:rPr>
          <w:rFonts w:ascii="Times New Roman" w:hAnsi="Times New Roman"/>
          <w:sz w:val="20"/>
        </w:rPr>
        <w:t xml:space="preserve">    4.4 Working Prototype Execution (Phases 1 to 4 Verified)</w:t>
      </w:r>
      <w:r>
        <w:rPr>
          <w:rFonts w:ascii="Times New Roman" w:hAnsi="Times New Roman"/>
          <w:sz w:val="20"/>
        </w:rPr>
        <w:tab/>
        <w:tab/>
        <w:tab/>
        <w:tab/>
        <w:tab/>
        <w:tab/>
        <w:tab/>
        <w:t>16</w:t>
      </w:r>
    </w:p>
    <w:p>
      <w:pPr>
        <w:spacing w:line="276" w:lineRule="auto" w:after="40"/>
      </w:pPr>
      <w:r>
        <w:rPr>
          <w:rFonts w:ascii="Times New Roman" w:hAnsi="Times New Roman"/>
          <w:b/>
          <w:sz w:val="20"/>
        </w:rPr>
        <w:t>CHAPTER 5: CONCLUSIONS AND FUTURE SCOPE</w:t>
      </w:r>
      <w:r>
        <w:rPr>
          <w:rFonts w:ascii="Times New Roman" w:hAnsi="Times New Roman"/>
          <w:b/>
          <w:sz w:val="20"/>
        </w:rPr>
        <w:tab/>
        <w:tab/>
        <w:tab/>
        <w:tab/>
        <w:tab/>
        <w:tab/>
        <w:tab/>
        <w:t>18</w:t>
      </w:r>
    </w:p>
    <w:p>
      <w:pPr>
        <w:spacing w:line="276" w:lineRule="auto" w:after="40"/>
      </w:pPr>
      <w:r>
        <w:rPr>
          <w:rFonts w:ascii="Times New Roman" w:hAnsi="Times New Roman"/>
          <w:sz w:val="20"/>
        </w:rPr>
        <w:t xml:space="preserve">    5.1 Mid-Semester Accomplishments vs. Approved Objectives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5.2 Mid-Semester Conclusions &amp; Empirical Reliability</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5.3 Economic, Social, and Environmental Benefits</w:t>
      </w:r>
      <w:r>
        <w:rPr>
          <w:rFonts w:ascii="Times New Roman" w:hAnsi="Times New Roman"/>
          <w:sz w:val="20"/>
        </w:rPr>
        <w:tab/>
        <w:tab/>
        <w:tab/>
        <w:tab/>
        <w:tab/>
        <w:tab/>
        <w:tab/>
        <w:t>19</w:t>
      </w:r>
    </w:p>
    <w:p>
      <w:pPr>
        <w:spacing w:line="276" w:lineRule="auto" w:after="40"/>
      </w:pPr>
      <w:r>
        <w:rPr>
          <w:rFonts w:ascii="Times New Roman" w:hAnsi="Times New Roman"/>
          <w:sz w:val="20"/>
        </w:rPr>
        <w:t xml:space="preserve">    5.4 Future Work Plan (Phases 5 and 6 Roadmap)</w:t>
      </w:r>
      <w:r>
        <w:rPr>
          <w:rFonts w:ascii="Times New Roman" w:hAnsi="Times New Roman"/>
          <w:sz w:val="20"/>
        </w:rPr>
        <w:tab/>
        <w:tab/>
        <w:tab/>
        <w:tab/>
        <w:tab/>
        <w:tab/>
        <w:tab/>
        <w:t>19</w:t>
      </w:r>
    </w:p>
    <w:p>
      <w:pPr>
        <w:spacing w:line="276" w:lineRule="auto" w:after="40"/>
      </w:pPr>
      <w:r>
        <w:rPr>
          <w:rFonts w:ascii="Times New Roman" w:hAnsi="Times New Roman"/>
          <w:b/>
          <w:sz w:val="20"/>
        </w:rPr>
        <w:t>APPENDIX A: REFERENCES (IEEE Style)</w:t>
      </w:r>
      <w:r>
        <w:rPr>
          <w:rFonts w:ascii="Times New Roman" w:hAnsi="Times New Roman"/>
          <w:b/>
          <w:sz w:val="20"/>
        </w:rPr>
        <w:tab/>
        <w:tab/>
        <w:tab/>
        <w:tab/>
        <w:tab/>
        <w:tab/>
        <w:tab/>
        <w:t>20</w:t>
      </w:r>
    </w:p>
    <w:p>
      <w:pPr>
        <w:spacing w:line="276" w:lineRule="auto" w:after="40"/>
      </w:pPr>
      <w:r>
        <w:rPr>
          <w:rFonts w:ascii="Times New Roman" w:hAnsi="Times New Roman"/>
          <w:b/>
          <w:sz w:val="20"/>
        </w:rPr>
        <w:t>APPENDIX B: PLAGIARISM &amp; AUTHENTICITY STATEMENT</w:t>
      </w:r>
      <w:r>
        <w:rPr>
          <w:rFonts w:ascii="Times New Roman" w:hAnsi="Times New Roman"/>
          <w:b/>
          <w:sz w:val="20"/>
        </w:rPr>
        <w:tab/>
        <w:tab/>
        <w:tab/>
        <w:tab/>
        <w:tab/>
        <w:tab/>
        <w:tab/>
        <w:t>21</w:t>
      </w:r>
    </w:p>
    <w:p>
      <w:r>
        <w:br w:type="page"/>
      </w:r>
    </w:p>
    <w:p>
      <w:pPr>
        <w:keepNext/>
        <w:spacing w:before="240" w:after="120"/>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Table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Table 1.1</w:t>
            </w:r>
          </w:p>
        </w:tc>
        <w:tc>
          <w:tcPr>
            <w:tcW w:type="dxa" w:w="2770"/>
          </w:tcPr>
          <w:p>
            <w:r>
              <w:rPr>
                <w:rFonts w:ascii="Times New Roman" w:hAnsi="Times New Roman"/>
                <w:sz w:val="19"/>
              </w:rPr>
              <w:t>System Assumptions and Engineering Constraints</w:t>
            </w:r>
          </w:p>
        </w:tc>
        <w:tc>
          <w:tcPr>
            <w:tcW w:type="dxa" w:w="2770"/>
          </w:tcPr>
          <w:p>
            <w:r>
              <w:rPr>
                <w:rFonts w:ascii="Times New Roman" w:hAnsi="Times New Roman"/>
                <w:sz w:val="19"/>
              </w:rPr>
              <w:t>5</w:t>
            </w:r>
          </w:p>
        </w:tc>
      </w:tr>
      <w:tr>
        <w:tc>
          <w:tcPr>
            <w:tcW w:type="dxa" w:w="2770"/>
          </w:tcPr>
          <w:p>
            <w:r>
              <w:rPr>
                <w:rFonts w:ascii="Times New Roman" w:hAnsi="Times New Roman"/>
                <w:sz w:val="19"/>
              </w:rPr>
              <w:t>Table 2.1</w:t>
            </w:r>
          </w:p>
        </w:tc>
        <w:tc>
          <w:tcPr>
            <w:tcW w:type="dxa" w:w="2770"/>
          </w:tcPr>
          <w:p>
            <w:r>
              <w:rPr>
                <w:rFonts w:ascii="Times New Roman" w:hAnsi="Times New Roman"/>
                <w:sz w:val="19"/>
              </w:rPr>
              <w:t>Comparative Literature Survey of Generative Honeypot Frameworks</w:t>
            </w:r>
          </w:p>
        </w:tc>
        <w:tc>
          <w:tcPr>
            <w:tcW w:type="dxa" w:w="2770"/>
          </w:tcPr>
          <w:p>
            <w:r>
              <w:rPr>
                <w:rFonts w:ascii="Times New Roman" w:hAnsi="Times New Roman"/>
                <w:sz w:val="19"/>
              </w:rPr>
              <w:t>9</w:t>
            </w:r>
          </w:p>
        </w:tc>
      </w:tr>
      <w:tr>
        <w:tc>
          <w:tcPr>
            <w:tcW w:type="dxa" w:w="2770"/>
          </w:tcPr>
          <w:p>
            <w:r>
              <w:rPr>
                <w:rFonts w:ascii="Times New Roman" w:hAnsi="Times New Roman"/>
                <w:sz w:val="19"/>
              </w:rPr>
              <w:t>Table 2.2</w:t>
            </w:r>
          </w:p>
        </w:tc>
        <w:tc>
          <w:tcPr>
            <w:tcW w:type="dxa" w:w="2770"/>
          </w:tcPr>
          <w:p>
            <w:r>
              <w:rPr>
                <w:rFonts w:ascii="Times New Roman" w:hAnsi="Times New Roman"/>
                <w:sz w:val="19"/>
              </w:rPr>
              <w:t>Computational Resource Feasibility &amp; Cloud Cost Comparison</w:t>
            </w:r>
          </w:p>
        </w:tc>
        <w:tc>
          <w:tcPr>
            <w:tcW w:type="dxa" w:w="2770"/>
          </w:tcPr>
          <w:p>
            <w:r>
              <w:rPr>
                <w:rFonts w:ascii="Times New Roman" w:hAnsi="Times New Roman"/>
                <w:sz w:val="19"/>
              </w:rPr>
              <w:t>10</w:t>
            </w:r>
          </w:p>
        </w:tc>
      </w:tr>
      <w:tr>
        <w:tc>
          <w:tcPr>
            <w:tcW w:type="dxa" w:w="2770"/>
          </w:tcPr>
          <w:p>
            <w:r>
              <w:rPr>
                <w:rFonts w:ascii="Times New Roman" w:hAnsi="Times New Roman"/>
                <w:sz w:val="19"/>
              </w:rPr>
              <w:t>Table 2.3</w:t>
            </w:r>
          </w:p>
        </w:tc>
        <w:tc>
          <w:tcPr>
            <w:tcW w:type="dxa" w:w="2770"/>
          </w:tcPr>
          <w:p>
            <w:r>
              <w:rPr>
                <w:rFonts w:ascii="Times New Roman" w:hAnsi="Times New Roman"/>
                <w:sz w:val="19"/>
              </w:rPr>
              <w:t>Risk Assessment Matrix and Fail-Closed Mitigation Controls</w:t>
            </w:r>
          </w:p>
        </w:tc>
        <w:tc>
          <w:tcPr>
            <w:tcW w:type="dxa" w:w="2770"/>
          </w:tcPr>
          <w:p>
            <w:r>
              <w:rPr>
                <w:rFonts w:ascii="Times New Roman" w:hAnsi="Times New Roman"/>
                <w:sz w:val="19"/>
              </w:rPr>
              <w:t>10</w:t>
            </w:r>
          </w:p>
        </w:tc>
      </w:tr>
      <w:tr>
        <w:tc>
          <w:tcPr>
            <w:tcW w:type="dxa" w:w="2770"/>
          </w:tcPr>
          <w:p>
            <w:r>
              <w:rPr>
                <w:rFonts w:ascii="Times New Roman" w:hAnsi="Times New Roman"/>
                <w:sz w:val="19"/>
              </w:rPr>
              <w:t>Table 3.1</w:t>
            </w:r>
          </w:p>
        </w:tc>
        <w:tc>
          <w:tcPr>
            <w:tcW w:type="dxa" w:w="2770"/>
          </w:tcPr>
          <w:p>
            <w:r>
              <w:rPr>
                <w:rFonts w:ascii="Times New Roman" w:hAnsi="Times New Roman"/>
                <w:sz w:val="19"/>
              </w:rPr>
              <w:t>Classification and Justification of Investigative Research Techniques</w:t>
            </w:r>
          </w:p>
        </w:tc>
        <w:tc>
          <w:tcPr>
            <w:tcW w:type="dxa" w:w="2770"/>
          </w:tcPr>
          <w:p>
            <w:r>
              <w:rPr>
                <w:rFonts w:ascii="Times New Roman" w:hAnsi="Times New Roman"/>
                <w:sz w:val="19"/>
              </w:rPr>
              <w:t>11</w:t>
            </w:r>
          </w:p>
        </w:tc>
      </w:tr>
      <w:tr>
        <w:tc>
          <w:tcPr>
            <w:tcW w:type="dxa" w:w="2770"/>
          </w:tcPr>
          <w:p>
            <w:r>
              <w:rPr>
                <w:rFonts w:ascii="Times New Roman" w:hAnsi="Times New Roman"/>
                <w:sz w:val="19"/>
              </w:rPr>
              <w:t>Table 3.2</w:t>
            </w:r>
          </w:p>
        </w:tc>
        <w:tc>
          <w:tcPr>
            <w:tcW w:type="dxa" w:w="2770"/>
          </w:tcPr>
          <w:p>
            <w:r>
              <w:rPr>
                <w:rFonts w:ascii="Times New Roman" w:hAnsi="Times New Roman"/>
                <w:sz w:val="19"/>
              </w:rPr>
              <w:t>Honey-LLM Technology and Framework Specifications</w:t>
            </w:r>
          </w:p>
        </w:tc>
        <w:tc>
          <w:tcPr>
            <w:tcW w:type="dxa" w:w="2770"/>
          </w:tcPr>
          <w:p>
            <w:r>
              <w:rPr>
                <w:rFonts w:ascii="Times New Roman" w:hAnsi="Times New Roman"/>
                <w:sz w:val="19"/>
              </w:rPr>
              <w:t>13</w:t>
            </w:r>
          </w:p>
        </w:tc>
      </w:tr>
      <w:tr>
        <w:tc>
          <w:tcPr>
            <w:tcW w:type="dxa" w:w="2770"/>
          </w:tcPr>
          <w:p>
            <w:r>
              <w:rPr>
                <w:rFonts w:ascii="Times New Roman" w:hAnsi="Times New Roman"/>
                <w:sz w:val="19"/>
              </w:rPr>
              <w:t>Table 4.1</w:t>
            </w:r>
          </w:p>
        </w:tc>
        <w:tc>
          <w:tcPr>
            <w:tcW w:type="dxa" w:w="2770"/>
          </w:tcPr>
          <w:p>
            <w:r>
              <w:rPr>
                <w:rFonts w:ascii="Times New Roman" w:hAnsi="Times New Roman"/>
                <w:sz w:val="19"/>
              </w:rPr>
              <w:t>Adversarial Threat Taxonomy Mappings and Severity Classification</w:t>
            </w:r>
          </w:p>
        </w:tc>
        <w:tc>
          <w:tcPr>
            <w:tcW w:type="dxa" w:w="2770"/>
          </w:tcPr>
          <w:p>
            <w:r>
              <w:rPr>
                <w:rFonts w:ascii="Times New Roman" w:hAnsi="Times New Roman"/>
                <w:sz w:val="19"/>
              </w:rPr>
              <w:t>14</w:t>
            </w:r>
          </w:p>
        </w:tc>
      </w:tr>
      <w:tr>
        <w:tc>
          <w:tcPr>
            <w:tcW w:type="dxa" w:w="2770"/>
          </w:tcPr>
          <w:p>
            <w:r>
              <w:rPr>
                <w:rFonts w:ascii="Times New Roman" w:hAnsi="Times New Roman"/>
                <w:sz w:val="19"/>
              </w:rPr>
              <w:t>Table 4.2</w:t>
            </w:r>
          </w:p>
        </w:tc>
        <w:tc>
          <w:tcPr>
            <w:tcW w:type="dxa" w:w="2770"/>
          </w:tcPr>
          <w:p>
            <w:r>
              <w:rPr>
                <w:rFonts w:ascii="Times New Roman" w:hAnsi="Times New Roman"/>
                <w:sz w:val="19"/>
              </w:rPr>
              <w:t>Sandbox Container Breakout Penetration Test Results (5/5 Isolation)</w:t>
            </w:r>
          </w:p>
        </w:tc>
        <w:tc>
          <w:tcPr>
            <w:tcW w:type="dxa" w:w="2770"/>
          </w:tcPr>
          <w:p>
            <w:r>
              <w:rPr>
                <w:rFonts w:ascii="Times New Roman" w:hAnsi="Times New Roman"/>
                <w:sz w:val="19"/>
              </w:rPr>
              <w:t>16</w:t>
            </w:r>
          </w:p>
        </w:tc>
      </w:tr>
      <w:tr>
        <w:tc>
          <w:tcPr>
            <w:tcW w:type="dxa" w:w="2770"/>
          </w:tcPr>
          <w:p>
            <w:r>
              <w:rPr>
                <w:rFonts w:ascii="Times New Roman" w:hAnsi="Times New Roman"/>
                <w:sz w:val="19"/>
              </w:rPr>
              <w:t>Table 5.1</w:t>
            </w:r>
          </w:p>
        </w:tc>
        <w:tc>
          <w:tcPr>
            <w:tcW w:type="dxa" w:w="2770"/>
          </w:tcPr>
          <w:p>
            <w:r>
              <w:rPr>
                <w:rFonts w:ascii="Times New Roman" w:hAnsi="Times New Roman"/>
                <w:sz w:val="19"/>
              </w:rPr>
              <w:t>Mid-Semester Mapping of Approved Objectives to Implemented Progress</w:t>
            </w:r>
          </w:p>
        </w:tc>
        <w:tc>
          <w:tcPr>
            <w:tcW w:type="dxa" w:w="2770"/>
          </w:tcPr>
          <w:p>
            <w:r>
              <w:rPr>
                <w:rFonts w:ascii="Times New Roman" w:hAnsi="Times New Roman"/>
                <w:sz w:val="19"/>
              </w:rPr>
              <w:t>18</w:t>
            </w:r>
          </w:p>
        </w:tc>
      </w:tr>
      <w:tr>
        <w:tc>
          <w:tcPr>
            <w:tcW w:type="dxa" w:w="2770"/>
          </w:tcPr>
          <w:p>
            <w:r>
              <w:rPr>
                <w:rFonts w:ascii="Times New Roman" w:hAnsi="Times New Roman"/>
                <w:sz w:val="19"/>
              </w:rPr>
              <w:t>Table 5.2</w:t>
            </w:r>
          </w:p>
        </w:tc>
        <w:tc>
          <w:tcPr>
            <w:tcW w:type="dxa" w:w="2770"/>
          </w:tcPr>
          <w:p>
            <w:r>
              <w:rPr>
                <w:rFonts w:ascii="Times New Roman" w:hAnsi="Times New Roman"/>
                <w:sz w:val="19"/>
              </w:rPr>
              <w:t>Intent Sieve Benchmark Evaluation on In-The-Wild Adversarial Datasets</w:t>
            </w:r>
          </w:p>
        </w:tc>
        <w:tc>
          <w:tcPr>
            <w:tcW w:type="dxa" w:w="2770"/>
          </w:tcPr>
          <w:p>
            <w:r>
              <w:rPr>
                <w:rFonts w:ascii="Times New Roman" w:hAnsi="Times New Roman"/>
                <w:sz w:val="19"/>
              </w:rPr>
              <w:t>19</w:t>
            </w:r>
          </w:p>
        </w:tc>
      </w:tr>
    </w:tbl>
    <w:p>
      <w:r>
        <w:br w:type="page"/>
      </w:r>
    </w:p>
    <w:p>
      <w:pPr>
        <w:keepNext/>
        <w:spacing w:before="240" w:after="120"/>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Figure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19"/>
              </w:rPr>
              <w:t>Figure 1.1</w:t>
            </w:r>
          </w:p>
        </w:tc>
        <w:tc>
          <w:tcPr>
            <w:tcW w:type="dxa" w:w="2770"/>
          </w:tcPr>
          <w:p>
            <w:r>
              <w:rPr>
                <w:rFonts w:ascii="Times New Roman" w:hAnsi="Times New Roman"/>
                <w:sz w:val="19"/>
              </w:rPr>
              <w:t>Honey-LLM Multi-Tier Routing and Decision Gateway Architecture</w:t>
            </w:r>
          </w:p>
        </w:tc>
        <w:tc>
          <w:tcPr>
            <w:tcW w:type="dxa" w:w="2770"/>
          </w:tcPr>
          <w:p>
            <w:r>
              <w:rPr>
                <w:rFonts w:ascii="Times New Roman" w:hAnsi="Times New Roman"/>
                <w:sz w:val="19"/>
              </w:rPr>
              <w:t>7</w:t>
            </w:r>
          </w:p>
        </w:tc>
      </w:tr>
      <w:tr>
        <w:tc>
          <w:tcPr>
            <w:tcW w:type="dxa" w:w="2770"/>
          </w:tcPr>
          <w:p>
            <w:r>
              <w:rPr>
                <w:rFonts w:ascii="Times New Roman" w:hAnsi="Times New Roman"/>
                <w:sz w:val="19"/>
              </w:rPr>
              <w:t>Figure 3.1</w:t>
            </w:r>
          </w:p>
        </w:tc>
        <w:tc>
          <w:tcPr>
            <w:tcW w:type="dxa" w:w="2770"/>
          </w:tcPr>
          <w:p>
            <w:r>
              <w:rPr>
                <w:rFonts w:ascii="Times New Roman" w:hAnsi="Times New Roman"/>
                <w:sz w:val="19"/>
              </w:rPr>
              <w:t>UML Sequence Diagram for Multi-Tier Request Interception &amp; Deception</w:t>
            </w:r>
          </w:p>
        </w:tc>
        <w:tc>
          <w:tcPr>
            <w:tcW w:type="dxa" w:w="2770"/>
          </w:tcPr>
          <w:p>
            <w:r>
              <w:rPr>
                <w:rFonts w:ascii="Times New Roman" w:hAnsi="Times New Roman"/>
                <w:sz w:val="19"/>
              </w:rPr>
              <w:t>13</w:t>
            </w:r>
          </w:p>
        </w:tc>
      </w:tr>
      <w:tr>
        <w:tc>
          <w:tcPr>
            <w:tcW w:type="dxa" w:w="2770"/>
          </w:tcPr>
          <w:p>
            <w:r>
              <w:rPr>
                <w:rFonts w:ascii="Times New Roman" w:hAnsi="Times New Roman"/>
                <w:sz w:val="19"/>
              </w:rPr>
              <w:t>Figure 4.1</w:t>
            </w:r>
          </w:p>
        </w:tc>
        <w:tc>
          <w:tcPr>
            <w:tcW w:type="dxa" w:w="2770"/>
          </w:tcPr>
          <w:p>
            <w:r>
              <w:rPr>
                <w:rFonts w:ascii="Times New Roman" w:hAnsi="Times New Roman"/>
                <w:sz w:val="19"/>
              </w:rPr>
              <w:t>UML State Machine Diagram for Session Quarantine &amp; Self-Healing Loop</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4.2</w:t>
            </w:r>
          </w:p>
        </w:tc>
        <w:tc>
          <w:tcPr>
            <w:tcW w:type="dxa" w:w="2770"/>
          </w:tcPr>
          <w:p>
            <w:r>
              <w:rPr>
                <w:rFonts w:ascii="Times New Roman" w:hAnsi="Times New Roman"/>
                <w:sz w:val="19"/>
              </w:rPr>
              <w:t>NexTel Production Customer Support Interface (/chat)</w:t>
            </w:r>
          </w:p>
        </w:tc>
        <w:tc>
          <w:tcPr>
            <w:tcW w:type="dxa" w:w="2770"/>
          </w:tcPr>
          <w:p>
            <w:r>
              <w:rPr>
                <w:rFonts w:ascii="Times New Roman" w:hAnsi="Times New Roman"/>
                <w:sz w:val="19"/>
              </w:rPr>
              <w:t>15</w:t>
            </w:r>
          </w:p>
        </w:tc>
      </w:tr>
      <w:tr>
        <w:tc>
          <w:tcPr>
            <w:tcW w:type="dxa" w:w="2770"/>
          </w:tcPr>
          <w:p>
            <w:r>
              <w:rPr>
                <w:rFonts w:ascii="Times New Roman" w:hAnsi="Times New Roman"/>
                <w:sz w:val="19"/>
              </w:rPr>
              <w:t>Figure 4.3</w:t>
            </w:r>
          </w:p>
        </w:tc>
        <w:tc>
          <w:tcPr>
            <w:tcW w:type="dxa" w:w="2770"/>
          </w:tcPr>
          <w:p>
            <w:r>
              <w:rPr>
                <w:rFonts w:ascii="Times New Roman" w:hAnsi="Times New Roman"/>
                <w:sz w:val="19"/>
              </w:rPr>
              <w:t>Honey-LLM Admin Live Sieve Decision Tracer (/admin)</w:t>
            </w:r>
          </w:p>
        </w:tc>
        <w:tc>
          <w:tcPr>
            <w:tcW w:type="dxa" w:w="2770"/>
          </w:tcPr>
          <w:p>
            <w:r>
              <w:rPr>
                <w:rFonts w:ascii="Times New Roman" w:hAnsi="Times New Roman"/>
                <w:sz w:val="19"/>
              </w:rPr>
              <w:t>16</w:t>
            </w:r>
          </w:p>
        </w:tc>
      </w:tr>
      <w:tr>
        <w:tc>
          <w:tcPr>
            <w:tcW w:type="dxa" w:w="2770"/>
          </w:tcPr>
          <w:p>
            <w:r>
              <w:rPr>
                <w:rFonts w:ascii="Times New Roman" w:hAnsi="Times New Roman"/>
                <w:sz w:val="19"/>
              </w:rPr>
              <w:t>Figure 4.4</w:t>
            </w:r>
          </w:p>
        </w:tc>
        <w:tc>
          <w:tcPr>
            <w:tcW w:type="dxa" w:w="2770"/>
          </w:tcPr>
          <w:p>
            <w:r>
              <w:rPr>
                <w:rFonts w:ascii="Times New Roman" w:hAnsi="Times New Roman"/>
                <w:sz w:val="19"/>
              </w:rPr>
              <w:t>Dark SOC Real-Time Threat Intelligence Dashboard (/dashboard)</w:t>
            </w:r>
          </w:p>
        </w:tc>
        <w:tc>
          <w:tcPr>
            <w:tcW w:type="dxa" w:w="2770"/>
          </w:tcPr>
          <w:p>
            <w:r>
              <w:rPr>
                <w:rFonts w:ascii="Times New Roman" w:hAnsi="Times New Roman"/>
                <w:sz w:val="19"/>
              </w:rPr>
              <w:t>17</w:t>
            </w:r>
          </w:p>
        </w:tc>
      </w:tr>
    </w:tbl>
    <w:p>
      <w:r>
        <w:br w:type="page"/>
      </w:r>
    </w:p>
    <w:p>
      <w:pPr>
        <w:keepNext/>
        <w:spacing w:before="240" w:after="120"/>
      </w:pPr>
      <w:r>
        <w:rPr>
          <w:rFonts w:ascii="Times New Roman" w:hAnsi="Times New Roman"/>
          <w:b/>
          <w:color w:val="0F172A"/>
          <w:sz w:val="32"/>
        </w:rPr>
        <w:t>LIST OF ABBREVIATIONS</w:t>
      </w:r>
    </w:p>
    <w:tbl>
      <w:tblPr>
        <w:tblW w:type="auto" w:w="0"/>
        <w:jc w:val="center"/>
        <w:tblLook w:firstColumn="1" w:firstRow="1" w:lastColumn="0" w:lastRow="0" w:noHBand="0" w:noVBand="1" w:val="04A0"/>
      </w:tblPr>
      <w:tblGrid>
        <w:gridCol w:w="4154"/>
        <w:gridCol w:w="4154"/>
      </w:tblGrid>
      <w:tr>
        <w:tc>
          <w:tcPr>
            <w:tcW w:type="dxa" w:w="4154"/>
            <w:shd w:fill="F1F5F9"/>
          </w:tcPr>
          <w:p>
            <w:r>
              <w:rPr>
                <w:b/>
              </w:rPr>
              <w:t>Abbreviation</w:t>
            </w:r>
          </w:p>
        </w:tc>
        <w:tc>
          <w:tcPr>
            <w:tcW w:type="dxa" w:w="4154"/>
            <w:shd w:fill="F1F5F9"/>
          </w:tcPr>
          <w:p>
            <w:r>
              <w:rPr>
                <w:b/>
              </w:rPr>
              <w:t>Full Expansion / Description</w:t>
            </w:r>
          </w:p>
        </w:tc>
      </w:tr>
      <w:tr>
        <w:tc>
          <w:tcPr>
            <w:tcW w:type="dxa" w:w="4154"/>
          </w:tcPr>
          <w:p>
            <w:r>
              <w:rPr>
                <w:rFonts w:ascii="Times New Roman" w:hAnsi="Times New Roman"/>
                <w:sz w:val="19"/>
              </w:rPr>
              <w:t>AI</w:t>
            </w:r>
          </w:p>
        </w:tc>
        <w:tc>
          <w:tcPr>
            <w:tcW w:type="dxa" w:w="4154"/>
          </w:tcPr>
          <w:p>
            <w:r>
              <w:rPr>
                <w:rFonts w:ascii="Times New Roman" w:hAnsi="Times New Roman"/>
                <w:sz w:val="19"/>
              </w:rPr>
              <w:t>Artificial Intelligence</w:t>
            </w:r>
          </w:p>
        </w:tc>
      </w:tr>
      <w:tr>
        <w:tc>
          <w:tcPr>
            <w:tcW w:type="dxa" w:w="4154"/>
          </w:tcPr>
          <w:p>
            <w:r>
              <w:rPr>
                <w:rFonts w:ascii="Times New Roman" w:hAnsi="Times New Roman"/>
                <w:sz w:val="19"/>
              </w:rPr>
              <w:t>LLM</w:t>
            </w:r>
          </w:p>
        </w:tc>
        <w:tc>
          <w:tcPr>
            <w:tcW w:type="dxa" w:w="4154"/>
          </w:tcPr>
          <w:p>
            <w:r>
              <w:rPr>
                <w:rFonts w:ascii="Times New Roman" w:hAnsi="Times New Roman"/>
                <w:sz w:val="19"/>
              </w:rPr>
              <w:t>Large Language Model</w:t>
            </w:r>
          </w:p>
        </w:tc>
      </w:tr>
      <w:tr>
        <w:tc>
          <w:tcPr>
            <w:tcW w:type="dxa" w:w="4154"/>
          </w:tcPr>
          <w:p>
            <w:r>
              <w:rPr>
                <w:rFonts w:ascii="Times New Roman" w:hAnsi="Times New Roman"/>
                <w:sz w:val="19"/>
              </w:rPr>
              <w:t>SLM</w:t>
            </w:r>
          </w:p>
        </w:tc>
        <w:tc>
          <w:tcPr>
            <w:tcW w:type="dxa" w:w="4154"/>
          </w:tcPr>
          <w:p>
            <w:r>
              <w:rPr>
                <w:rFonts w:ascii="Times New Roman" w:hAnsi="Times New Roman"/>
                <w:sz w:val="19"/>
              </w:rPr>
              <w:t>Small Language Model</w:t>
            </w:r>
          </w:p>
        </w:tc>
      </w:tr>
      <w:tr>
        <w:tc>
          <w:tcPr>
            <w:tcW w:type="dxa" w:w="4154"/>
          </w:tcPr>
          <w:p>
            <w:r>
              <w:rPr>
                <w:rFonts w:ascii="Times New Roman" w:hAnsi="Times New Roman"/>
                <w:sz w:val="19"/>
              </w:rPr>
              <w:t>RAG</w:t>
            </w:r>
          </w:p>
        </w:tc>
        <w:tc>
          <w:tcPr>
            <w:tcW w:type="dxa" w:w="4154"/>
          </w:tcPr>
          <w:p>
            <w:r>
              <w:rPr>
                <w:rFonts w:ascii="Times New Roman" w:hAnsi="Times New Roman"/>
                <w:sz w:val="19"/>
              </w:rPr>
              <w:t>Retrieval-Augmented Generation</w:t>
            </w:r>
          </w:p>
        </w:tc>
      </w:tr>
      <w:tr>
        <w:tc>
          <w:tcPr>
            <w:tcW w:type="dxa" w:w="4154"/>
          </w:tcPr>
          <w:p>
            <w:r>
              <w:rPr>
                <w:rFonts w:ascii="Times New Roman" w:hAnsi="Times New Roman"/>
                <w:sz w:val="19"/>
              </w:rPr>
              <w:t>WAF</w:t>
            </w:r>
          </w:p>
        </w:tc>
        <w:tc>
          <w:tcPr>
            <w:tcW w:type="dxa" w:w="4154"/>
          </w:tcPr>
          <w:p>
            <w:r>
              <w:rPr>
                <w:rFonts w:ascii="Times New Roman" w:hAnsi="Times New Roman"/>
                <w:sz w:val="19"/>
              </w:rPr>
              <w:t>Web Application Firewall</w:t>
            </w:r>
          </w:p>
        </w:tc>
      </w:tr>
      <w:tr>
        <w:tc>
          <w:tcPr>
            <w:tcW w:type="dxa" w:w="4154"/>
          </w:tcPr>
          <w:p>
            <w:r>
              <w:rPr>
                <w:rFonts w:ascii="Times New Roman" w:hAnsi="Times New Roman"/>
                <w:sz w:val="19"/>
              </w:rPr>
              <w:t>SOC</w:t>
            </w:r>
          </w:p>
        </w:tc>
        <w:tc>
          <w:tcPr>
            <w:tcW w:type="dxa" w:w="4154"/>
          </w:tcPr>
          <w:p>
            <w:r>
              <w:rPr>
                <w:rFonts w:ascii="Times New Roman" w:hAnsi="Times New Roman"/>
                <w:sz w:val="19"/>
              </w:rPr>
              <w:t>Security Operations Center</w:t>
            </w:r>
          </w:p>
        </w:tc>
      </w:tr>
      <w:tr>
        <w:tc>
          <w:tcPr>
            <w:tcW w:type="dxa" w:w="4154"/>
          </w:tcPr>
          <w:p>
            <w:r>
              <w:rPr>
                <w:rFonts w:ascii="Times New Roman" w:hAnsi="Times New Roman"/>
                <w:sz w:val="19"/>
              </w:rPr>
              <w:t>FPR</w:t>
            </w:r>
          </w:p>
        </w:tc>
        <w:tc>
          <w:tcPr>
            <w:tcW w:type="dxa" w:w="4154"/>
          </w:tcPr>
          <w:p>
            <w:r>
              <w:rPr>
                <w:rFonts w:ascii="Times New Roman" w:hAnsi="Times New Roman"/>
                <w:sz w:val="19"/>
              </w:rPr>
              <w:t>False Positive Rate</w:t>
            </w:r>
          </w:p>
        </w:tc>
      </w:tr>
      <w:tr>
        <w:tc>
          <w:tcPr>
            <w:tcW w:type="dxa" w:w="4154"/>
          </w:tcPr>
          <w:p>
            <w:r>
              <w:rPr>
                <w:rFonts w:ascii="Times New Roman" w:hAnsi="Times New Roman"/>
                <w:sz w:val="19"/>
              </w:rPr>
              <w:t>FNR</w:t>
            </w:r>
          </w:p>
        </w:tc>
        <w:tc>
          <w:tcPr>
            <w:tcW w:type="dxa" w:w="4154"/>
          </w:tcPr>
          <w:p>
            <w:r>
              <w:rPr>
                <w:rFonts w:ascii="Times New Roman" w:hAnsi="Times New Roman"/>
                <w:sz w:val="19"/>
              </w:rPr>
              <w:t>False Negative Rate</w:t>
            </w:r>
          </w:p>
        </w:tc>
      </w:tr>
      <w:tr>
        <w:tc>
          <w:tcPr>
            <w:tcW w:type="dxa" w:w="4154"/>
          </w:tcPr>
          <w:p>
            <w:r>
              <w:rPr>
                <w:rFonts w:ascii="Times New Roman" w:hAnsi="Times New Roman"/>
                <w:sz w:val="19"/>
              </w:rPr>
              <w:t>OWASP</w:t>
            </w:r>
          </w:p>
        </w:tc>
        <w:tc>
          <w:tcPr>
            <w:tcW w:type="dxa" w:w="4154"/>
          </w:tcPr>
          <w:p>
            <w:r>
              <w:rPr>
                <w:rFonts w:ascii="Times New Roman" w:hAnsi="Times New Roman"/>
                <w:sz w:val="19"/>
              </w:rPr>
              <w:t>Open Worldwide Application Security Project</w:t>
            </w:r>
          </w:p>
        </w:tc>
      </w:tr>
      <w:tr>
        <w:tc>
          <w:tcPr>
            <w:tcW w:type="dxa" w:w="4154"/>
          </w:tcPr>
          <w:p>
            <w:r>
              <w:rPr>
                <w:rFonts w:ascii="Times New Roman" w:hAnsi="Times New Roman"/>
                <w:sz w:val="19"/>
              </w:rPr>
              <w:t>NeMo</w:t>
            </w:r>
          </w:p>
        </w:tc>
        <w:tc>
          <w:tcPr>
            <w:tcW w:type="dxa" w:w="4154"/>
          </w:tcPr>
          <w:p>
            <w:r>
              <w:rPr>
                <w:rFonts w:ascii="Times New Roman" w:hAnsi="Times New Roman"/>
                <w:sz w:val="19"/>
              </w:rPr>
              <w:t>Neural Modules (NVIDIA Conversational AI &amp; Guardrails Framework)</w:t>
            </w:r>
          </w:p>
        </w:tc>
      </w:tr>
      <w:tr>
        <w:tc>
          <w:tcPr>
            <w:tcW w:type="dxa" w:w="4154"/>
          </w:tcPr>
          <w:p>
            <w:r>
              <w:rPr>
                <w:rFonts w:ascii="Times New Roman" w:hAnsi="Times New Roman"/>
                <w:sz w:val="19"/>
              </w:rPr>
              <w:t>TF-IDF</w:t>
            </w:r>
          </w:p>
        </w:tc>
        <w:tc>
          <w:tcPr>
            <w:tcW w:type="dxa" w:w="4154"/>
          </w:tcPr>
          <w:p>
            <w:r>
              <w:rPr>
                <w:rFonts w:ascii="Times New Roman" w:hAnsi="Times New Roman"/>
                <w:sz w:val="19"/>
              </w:rPr>
              <w:t>Term Frequency – Inverse Document Frequency</w:t>
            </w:r>
          </w:p>
        </w:tc>
      </w:tr>
      <w:tr>
        <w:tc>
          <w:tcPr>
            <w:tcW w:type="dxa" w:w="4154"/>
          </w:tcPr>
          <w:p>
            <w:r>
              <w:rPr>
                <w:rFonts w:ascii="Times New Roman" w:hAnsi="Times New Roman"/>
                <w:sz w:val="19"/>
              </w:rPr>
              <w:t>API</w:t>
            </w:r>
          </w:p>
        </w:tc>
        <w:tc>
          <w:tcPr>
            <w:tcW w:type="dxa" w:w="4154"/>
          </w:tcPr>
          <w:p>
            <w:r>
              <w:rPr>
                <w:rFonts w:ascii="Times New Roman" w:hAnsi="Times New Roman"/>
                <w:sz w:val="19"/>
              </w:rPr>
              <w:t>Application Programming Interface</w:t>
            </w:r>
          </w:p>
        </w:tc>
      </w:tr>
      <w:tr>
        <w:tc>
          <w:tcPr>
            <w:tcW w:type="dxa" w:w="4154"/>
          </w:tcPr>
          <w:p>
            <w:r>
              <w:rPr>
                <w:rFonts w:ascii="Times New Roman" w:hAnsi="Times New Roman"/>
                <w:sz w:val="19"/>
              </w:rPr>
              <w:t>REST</w:t>
            </w:r>
          </w:p>
        </w:tc>
        <w:tc>
          <w:tcPr>
            <w:tcW w:type="dxa" w:w="4154"/>
          </w:tcPr>
          <w:p>
            <w:r>
              <w:rPr>
                <w:rFonts w:ascii="Times New Roman" w:hAnsi="Times New Roman"/>
                <w:sz w:val="19"/>
              </w:rPr>
              <w:t>Representational State Transfer</w:t>
            </w:r>
          </w:p>
        </w:tc>
      </w:tr>
      <w:tr>
        <w:tc>
          <w:tcPr>
            <w:tcW w:type="dxa" w:w="4154"/>
          </w:tcPr>
          <w:p>
            <w:r>
              <w:rPr>
                <w:rFonts w:ascii="Times New Roman" w:hAnsi="Times New Roman"/>
                <w:sz w:val="19"/>
              </w:rPr>
              <w:t>JSONL</w:t>
            </w:r>
          </w:p>
        </w:tc>
        <w:tc>
          <w:tcPr>
            <w:tcW w:type="dxa" w:w="4154"/>
          </w:tcPr>
          <w:p>
            <w:r>
              <w:rPr>
                <w:rFonts w:ascii="Times New Roman" w:hAnsi="Times New Roman"/>
                <w:sz w:val="19"/>
              </w:rPr>
              <w:t>JavaScript Object Notation Lines</w:t>
            </w:r>
          </w:p>
        </w:tc>
      </w:tr>
      <w:tr>
        <w:tc>
          <w:tcPr>
            <w:tcW w:type="dxa" w:w="4154"/>
          </w:tcPr>
          <w:p>
            <w:r>
              <w:rPr>
                <w:rFonts w:ascii="Times New Roman" w:hAnsi="Times New Roman"/>
                <w:sz w:val="19"/>
              </w:rPr>
              <w:t>PyRIT</w:t>
            </w:r>
          </w:p>
        </w:tc>
        <w:tc>
          <w:tcPr>
            <w:tcW w:type="dxa" w:w="4154"/>
          </w:tcPr>
          <w:p>
            <w:r>
              <w:rPr>
                <w:rFonts w:ascii="Times New Roman" w:hAnsi="Times New Roman"/>
                <w:sz w:val="19"/>
              </w:rPr>
              <w:t>Python Risk Identification Tool for Generative AI (Microsoft)</w:t>
            </w:r>
          </w:p>
        </w:tc>
      </w:tr>
      <w:tr>
        <w:tc>
          <w:tcPr>
            <w:tcW w:type="dxa" w:w="4154"/>
          </w:tcPr>
          <w:p>
            <w:r>
              <w:rPr>
                <w:rFonts w:ascii="Times New Roman" w:hAnsi="Times New Roman"/>
                <w:sz w:val="19"/>
              </w:rPr>
              <w:t>SRS</w:t>
            </w:r>
          </w:p>
        </w:tc>
        <w:tc>
          <w:tcPr>
            <w:tcW w:type="dxa" w:w="4154"/>
          </w:tcPr>
          <w:p>
            <w:r>
              <w:rPr>
                <w:rFonts w:ascii="Times New Roman" w:hAnsi="Times New Roman"/>
                <w:sz w:val="19"/>
              </w:rPr>
              <w:t>Software Requirement Specification</w:t>
            </w:r>
          </w:p>
        </w:tc>
      </w:tr>
      <w:tr>
        <w:tc>
          <w:tcPr>
            <w:tcW w:type="dxa" w:w="4154"/>
          </w:tcPr>
          <w:p>
            <w:r>
              <w:rPr>
                <w:rFonts w:ascii="Times New Roman" w:hAnsi="Times New Roman"/>
                <w:sz w:val="19"/>
              </w:rPr>
              <w:t>WBS</w:t>
            </w:r>
          </w:p>
        </w:tc>
        <w:tc>
          <w:tcPr>
            <w:tcW w:type="dxa" w:w="4154"/>
          </w:tcPr>
          <w:p>
            <w:r>
              <w:rPr>
                <w:rFonts w:ascii="Times New Roman" w:hAnsi="Times New Roman"/>
                <w:sz w:val="19"/>
              </w:rPr>
              <w:t>Work Breakdown Structure</w:t>
            </w:r>
          </w:p>
        </w:tc>
      </w:tr>
      <w:tr>
        <w:tc>
          <w:tcPr>
            <w:tcW w:type="dxa" w:w="4154"/>
          </w:tcPr>
          <w:p>
            <w:r>
              <w:rPr>
                <w:rFonts w:ascii="Times New Roman" w:hAnsi="Times New Roman"/>
                <w:sz w:val="19"/>
              </w:rPr>
              <w:t>CSED</w:t>
            </w:r>
          </w:p>
        </w:tc>
        <w:tc>
          <w:tcPr>
            <w:tcW w:type="dxa" w:w="4154"/>
          </w:tcPr>
          <w:p>
            <w:r>
              <w:rPr>
                <w:rFonts w:ascii="Times New Roman" w:hAnsi="Times New Roman"/>
                <w:sz w:val="19"/>
              </w:rPr>
              <w:t>Computer Science and Engineering Department</w:t>
            </w:r>
          </w:p>
        </w:tc>
      </w:tr>
    </w:tbl>
    <w:p>
      <w:r>
        <w:br w:type="page"/>
      </w:r>
    </w:p>
    <w:p>
      <w:pPr>
        <w:keepNext/>
        <w:spacing w:before="240" w:after="120"/>
      </w:pPr>
      <w:r>
        <w:rPr>
          <w:rFonts w:ascii="Times New Roman" w:hAnsi="Times New Roman"/>
          <w:b/>
          <w:color w:val="0F172A"/>
          <w:sz w:val="32"/>
        </w:rPr>
        <w:t>CHAPTER 1: INTRODUCTION</w:t>
      </w:r>
    </w:p>
    <w:p>
      <w:pPr>
        <w:keepNext/>
        <w:spacing w:before="200" w:after="80"/>
      </w:pPr>
      <w:r>
        <w:rPr>
          <w:rFonts w:ascii="Times New Roman" w:hAnsi="Times New Roman"/>
          <w:b/>
          <w:color w:val="0F172A"/>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embedded in retrieved enterprise documents,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systematically address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spacing w:line="360" w:lineRule="auto" w:after="80"/>
        <w:ind w:left="360" w:hanging="216"/>
        <w:jc w:val="both"/>
      </w:pPr>
      <w:r>
        <w:rPr>
          <w:rFonts w:ascii="Times New Roman" w:hAnsi="Times New Roman"/>
          <w:sz w:val="24"/>
        </w:rPr>
        <w:t>•  Phase 1 (Adversarial Profiling &amp; Threat Taxonomy): Formulated an 8-class threat taxonomy mapping prompt injections to specific enterprise manifestations and validated concurrent dual-model local inference.</w:t>
      </w:r>
    </w:p>
    <w:p>
      <w:pPr>
        <w:spacing w:line="360" w:lineRule="auto" w:after="80"/>
        <w:ind w:left="360" w:hanging="216"/>
        <w:jc w:val="both"/>
      </w:pPr>
      <w:r>
        <w:rPr>
          <w:rFonts w:ascii="Times New Roman" w:hAnsi="Times New Roman"/>
          <w:sz w:val="24"/>
        </w:rPr>
        <w:t>•  Phase 2 (The Multi-Tier Semantic Intent Sieve): Constructed an intelligent input-filtering pipeline that inspects queries in real time, pairing a sub-millisecond Tier-1 statistical classifier with an authoritative 8B moderation model governed by a custom prompt injection policy (Llama-Guard 3 [11]), achieving a 98.3% detection rate (559/569 adversarial payloads intercepted) at a 0.0% False Positive Rate on benign domain traffic (0/320 benign queries flagged).</w:t>
      </w:r>
    </w:p>
    <w:p>
      <w:pPr>
        <w:spacing w:line="360" w:lineRule="auto" w:after="80"/>
        <w:ind w:left="360" w:hanging="216"/>
        <w:jc w:val="both"/>
      </w:pPr>
      <w:r>
        <w:rPr>
          <w:rFonts w:ascii="Times New Roman" w:hAnsi="Times New Roman"/>
          <w:sz w:val="24"/>
        </w:rPr>
        <w:t>•  Phase 3 (The 'Mirror Maze' Deception Honeypot): Deployed an isolated zero-trust Docker sandbox hosting the 'Sarah' decoy persona, which dynamic-hallucinates synthetic bait to absorb attacker reconnaissance without leaking real infrastructure.</w:t>
      </w:r>
    </w:p>
    <w:p>
      <w:pPr>
        <w:spacing w:line="360" w:lineRule="auto" w:after="80"/>
        <w:ind w:left="360" w:hanging="216"/>
        <w:jc w:val="both"/>
      </w:pPr>
      <w:r>
        <w:rPr>
          <w:rFonts w:ascii="Times New Roman" w:hAnsi="Times New Roman"/>
          <w:sz w:val="24"/>
        </w:rPr>
        <w:t>•  Phase 4 (Autonomous Guardrail Synthesis): Implemented a closed self-healing loop that distills captured exploits into validated NVIDIA NeMo Colang rules [6], hot-patching live gateway policies in 10.4 seconds with zero downtime.</w:t>
      </w:r>
    </w:p>
    <w:p>
      <w:pPr>
        <w:keepNext/>
        <w:spacing w:before="200" w:after="80"/>
      </w:pPr>
      <w:r>
        <w:rPr>
          <w:rFonts w:ascii="Times New Roman" w:hAnsi="Times New Roman"/>
          <w:b/>
          <w:color w:val="0F172A"/>
          <w:sz w:val="28"/>
        </w:rPr>
        <w:t>1.2 Need Analysis</w:t>
      </w:r>
    </w:p>
    <w:p>
      <w:pPr>
        <w:keepNext/>
        <w:spacing w:before="160" w:after="40"/>
      </w:pPr>
      <w:r>
        <w:rPr>
          <w:rFonts w:ascii="Times New Roman" w:hAnsi="Times New Roman"/>
          <w:b/>
          <w:color w:val="0F172A"/>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160" w:after="40"/>
      </w:pPr>
      <w:r>
        <w:rPr>
          <w:rFonts w:ascii="Times New Roman" w:hAnsi="Times New Roman"/>
          <w:b/>
          <w:color w:val="0F172A"/>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160" w:after="40"/>
      </w:pPr>
      <w:r>
        <w:rPr>
          <w:rFonts w:ascii="Times New Roman" w:hAnsi="Times New Roman"/>
          <w:b/>
          <w:color w:val="0F172A"/>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160" w:after="40"/>
      </w:pPr>
      <w:r>
        <w:rPr>
          <w:rFonts w:ascii="Times New Roman" w:hAnsi="Times New Roman"/>
          <w:b/>
          <w:color w:val="0F172A"/>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00" w:after="80"/>
      </w:pPr>
      <w:r>
        <w:rPr>
          <w:rFonts w:ascii="Times New Roman" w:hAnsi="Times New Roman"/>
          <w:b/>
          <w:color w:val="0F172A"/>
          <w:sz w:val="28"/>
        </w:rPr>
        <w:t>1.3 Research Gaps</w:t>
      </w:r>
    </w:p>
    <w:p>
      <w:pPr>
        <w:spacing w:line="360" w:lineRule="auto" w:after="80"/>
        <w:ind w:left="360" w:hanging="216"/>
        <w:jc w:val="both"/>
      </w:pPr>
      <w:r>
        <w:rPr>
          <w:rFonts w:ascii="Times New Roman" w:hAnsi="Times New Roman"/>
          <w:sz w:val="24"/>
        </w:rPr>
        <w:t>•  1. Absence of Real-Time Intent Filtering Prior to Sandbox Interaction: Contemporary generative honeypots (such as shelLM [10] and LLM-Honeypot [8]) focus exclusively on simulating Linux shells for known malicious traffic, lacking real-time intent filters on live mixed traffic.</w:t>
      </w:r>
    </w:p>
    <w:p>
      <w:pPr>
        <w:spacing w:line="360" w:lineRule="auto" w:after="80"/>
        <w:ind w:left="360" w:hanging="216"/>
        <w:jc w:val="both"/>
      </w:pPr>
      <w:r>
        <w:rPr>
          <w:rFonts w:ascii="Times New Roman" w:hAnsi="Times New Roman"/>
          <w:sz w:val="24"/>
        </w:rPr>
        <w:t>•  2. Vulnerability of LLM Decoys to Ground-Truth Leakage: Existing interactive deception prototypes rely solely on system prompts and leak under persistent jailbreaking. Honey-LLM enforces an architectural separation between public RAG context and synthetic bait.</w:t>
      </w:r>
    </w:p>
    <w:p>
      <w:pPr>
        <w:spacing w:line="360" w:lineRule="auto" w:after="80"/>
        <w:ind w:left="360" w:hanging="216"/>
        <w:jc w:val="both"/>
      </w:pPr>
      <w:r>
        <w:rPr>
          <w:rFonts w:ascii="Times New Roman" w:hAnsi="Times New Roman"/>
          <w:sz w:val="24"/>
        </w:rPr>
        <w:t>•  3. Lack of Autonomous Feedback Loops (Zero-Downtime Policy Hardening): Captured attack intelligence remains siloed in log files rather than being automatically compiled into active firewall rules.</w:t>
      </w:r>
    </w:p>
    <w:p>
      <w:pPr>
        <w:spacing w:line="360" w:lineRule="auto" w:after="80"/>
        <w:ind w:left="360" w:hanging="216"/>
        <w:jc w:val="both"/>
      </w:pPr>
      <w:r>
        <w:rPr>
          <w:rFonts w:ascii="Times New Roman" w:hAnsi="Times New Roman"/>
          <w:sz w:val="24"/>
        </w:rPr>
        <w:t>•  4. Inadequate Isolation Controls in Generative Sandboxes: Honey-LLM enforces zero-egress Docker containerization with non-root execution and read-only filesystems.</w:t>
      </w:r>
    </w:p>
    <w:p>
      <w:pPr>
        <w:spacing w:line="360" w:lineRule="auto" w:after="80"/>
        <w:ind w:left="360" w:hanging="216"/>
        <w:jc w:val="both"/>
      </w:pPr>
      <w:r>
        <w:rPr>
          <w:rFonts w:ascii="Times New Roman" w:hAnsi="Times New Roman"/>
          <w:sz w:val="24"/>
        </w:rPr>
        <w:t>•  5. Latency Overhead of Large Moderation Models: Large moderation models impose 700 to 900 ms latency. Honey-LLM introduces an asymmetric two-tier ensemble that resolves benign traffic in ~2 ms.</w:t>
      </w:r>
    </w:p>
    <w:p>
      <w:pPr>
        <w:keepNext/>
        <w:spacing w:before="200" w:after="80"/>
      </w:pPr>
      <w:r>
        <w:rPr>
          <w:rFonts w:ascii="Times New Roman" w:hAnsi="Times New Roman"/>
          <w:b/>
          <w:color w:val="0F172A"/>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00" w:after="80"/>
      </w:pPr>
      <w:r>
        <w:rPr>
          <w:rFonts w:ascii="Times New Roman" w:hAnsi="Times New Roman"/>
          <w:b/>
          <w:color w:val="0F172A"/>
          <w:sz w:val="28"/>
        </w:rPr>
        <w:t>1.5 Assumptions and Constraints</w:t>
      </w:r>
    </w:p>
    <w:p>
      <w:pPr>
        <w:keepNext/>
        <w:spacing w:before="160" w:after="6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19"/>
              </w:rPr>
              <w:t>1</w:t>
            </w:r>
          </w:p>
        </w:tc>
        <w:tc>
          <w:tcPr>
            <w:tcW w:type="dxa" w:w="2770"/>
          </w:tcPr>
          <w:p>
            <w:r>
              <w:rPr>
                <w:rFonts w:ascii="Times New Roman" w:hAnsi="Times New Roman"/>
                <w:sz w:val="19"/>
              </w:rPr>
              <w:t>Hardware Sizing</w:t>
            </w:r>
          </w:p>
        </w:tc>
        <w:tc>
          <w:tcPr>
            <w:tcW w:type="dxa" w:w="2770"/>
          </w:tcPr>
          <w:p>
            <w:r>
              <w:rPr>
                <w:rFonts w:ascii="Times New Roman" w:hAnsi="Times New Roman"/>
                <w:sz w:val="19"/>
              </w:rPr>
              <w:t>Dual 8B parameter models execute concurrently on standard host compute (&gt;=16 GB RAM / VRAM) with zero memory thrashing.</w:t>
            </w:r>
          </w:p>
        </w:tc>
      </w:tr>
      <w:tr>
        <w:tc>
          <w:tcPr>
            <w:tcW w:type="dxa" w:w="2770"/>
          </w:tcPr>
          <w:p>
            <w:r>
              <w:rPr>
                <w:rFonts w:ascii="Times New Roman" w:hAnsi="Times New Roman"/>
                <w:sz w:val="19"/>
              </w:rPr>
              <w:t>2</w:t>
            </w:r>
          </w:p>
        </w:tc>
        <w:tc>
          <w:tcPr>
            <w:tcW w:type="dxa" w:w="2770"/>
          </w:tcPr>
          <w:p>
            <w:r>
              <w:rPr>
                <w:rFonts w:ascii="Times New Roman" w:hAnsi="Times New Roman"/>
                <w:sz w:val="19"/>
              </w:rPr>
              <w:t>Latency Budget</w:t>
            </w:r>
          </w:p>
        </w:tc>
        <w:tc>
          <w:tcPr>
            <w:tcW w:type="dxa" w:w="2770"/>
          </w:tcPr>
          <w:p>
            <w:r>
              <w:rPr>
                <w:rFonts w:ascii="Times New Roman" w:hAnsi="Times New Roman"/>
                <w:sz w:val="19"/>
              </w:rPr>
              <w:t>Benign traffic must experience a sieve overhead of &lt; 50 ms (achieved at ~2 ms via Tier-1 fast-path) to preserve conversational fluency.</w:t>
            </w:r>
          </w:p>
        </w:tc>
      </w:tr>
      <w:tr>
        <w:tc>
          <w:tcPr>
            <w:tcW w:type="dxa" w:w="2770"/>
          </w:tcPr>
          <w:p>
            <w:r>
              <w:rPr>
                <w:rFonts w:ascii="Times New Roman" w:hAnsi="Times New Roman"/>
                <w:sz w:val="19"/>
              </w:rPr>
              <w:t>3</w:t>
            </w:r>
          </w:p>
        </w:tc>
        <w:tc>
          <w:tcPr>
            <w:tcW w:type="dxa" w:w="2770"/>
          </w:tcPr>
          <w:p>
            <w:r>
              <w:rPr>
                <w:rFonts w:ascii="Times New Roman" w:hAnsi="Times New Roman"/>
                <w:sz w:val="19"/>
              </w:rPr>
              <w:t>Fail-Closed Security</w:t>
            </w:r>
          </w:p>
        </w:tc>
        <w:tc>
          <w:tcPr>
            <w:tcW w:type="dxa" w:w="2770"/>
          </w:tcPr>
          <w:p>
            <w:r>
              <w:rPr>
                <w:rFonts w:ascii="Times New Roman" w:hAnsi="Times New Roman"/>
                <w:sz w:val="19"/>
              </w:rPr>
              <w:t>If the inference backend or moderation service becomes unreachable, the gateway fails closed, never open.</w:t>
            </w:r>
          </w:p>
        </w:tc>
      </w:tr>
      <w:tr>
        <w:tc>
          <w:tcPr>
            <w:tcW w:type="dxa" w:w="2770"/>
          </w:tcPr>
          <w:p>
            <w:r>
              <w:rPr>
                <w:rFonts w:ascii="Times New Roman" w:hAnsi="Times New Roman"/>
                <w:sz w:val="19"/>
              </w:rPr>
              <w:t>4</w:t>
            </w:r>
          </w:p>
        </w:tc>
        <w:tc>
          <w:tcPr>
            <w:tcW w:type="dxa" w:w="2770"/>
          </w:tcPr>
          <w:p>
            <w:r>
              <w:rPr>
                <w:rFonts w:ascii="Times New Roman" w:hAnsi="Times New Roman"/>
                <w:sz w:val="19"/>
              </w:rPr>
              <w:t>Zero Egress Assumption</w:t>
            </w:r>
          </w:p>
        </w:tc>
        <w:tc>
          <w:tcPr>
            <w:tcW w:type="dxa" w:w="2770"/>
          </w:tcPr>
          <w:p>
            <w:r>
              <w:rPr>
                <w:rFonts w:ascii="Times New Roman" w:hAnsi="Times New Roman"/>
                <w:sz w:val="19"/>
              </w:rPr>
              <w:t>The Mirror Maze sandbox container has zero direct internet access and zero connectivity to the production database or host network.</w:t>
            </w:r>
          </w:p>
        </w:tc>
      </w:tr>
      <w:tr>
        <w:tc>
          <w:tcPr>
            <w:tcW w:type="dxa" w:w="2770"/>
          </w:tcPr>
          <w:p>
            <w:r>
              <w:rPr>
                <w:rFonts w:ascii="Times New Roman" w:hAnsi="Times New Roman"/>
                <w:sz w:val="19"/>
              </w:rPr>
              <w:t>5</w:t>
            </w:r>
          </w:p>
        </w:tc>
        <w:tc>
          <w:tcPr>
            <w:tcW w:type="dxa" w:w="2770"/>
          </w:tcPr>
          <w:p>
            <w:r>
              <w:rPr>
                <w:rFonts w:ascii="Times New Roman" w:hAnsi="Times New Roman"/>
                <w:sz w:val="19"/>
              </w:rPr>
              <w:t>Synthetic Bait Integrity</w:t>
            </w:r>
          </w:p>
        </w:tc>
        <w:tc>
          <w:tcPr>
            <w:tcW w:type="dxa" w:w="2770"/>
          </w:tcPr>
          <w:p>
            <w:r>
              <w:rPr>
                <w:rFonts w:ascii="Times New Roman" w:hAnsi="Times New Roman"/>
                <w:sz w:val="19"/>
              </w:rPr>
              <w:t>All credentials, server tokens, and IPs leaked by the decoy persona are synthetically generated and completely non-functional.</w:t>
            </w:r>
          </w:p>
        </w:tc>
      </w:tr>
    </w:tbl>
    <w:p>
      <w:pPr>
        <w:keepNext/>
        <w:spacing w:before="200" w:after="80"/>
      </w:pPr>
      <w:r>
        <w:rPr>
          <w:rFonts w:ascii="Times New Roman" w:hAnsi="Times New Roman"/>
          <w:b/>
          <w:color w:val="0F172A"/>
          <w:sz w:val="28"/>
        </w:rPr>
        <w:t>1.6 Applicable Standards</w:t>
      </w:r>
    </w:p>
    <w:p>
      <w:pPr>
        <w:spacing w:line="360" w:lineRule="auto" w:after="80"/>
        <w:ind w:left="360" w:hanging="216"/>
        <w:jc w:val="both"/>
      </w:pPr>
      <w:r>
        <w:rPr>
          <w:rFonts w:ascii="Times New Roman" w:hAnsi="Times New Roman"/>
          <w:sz w:val="24"/>
        </w:rPr>
        <w:t>•  OWASP Top 10 for LLM Applications (2025/2026): Primary mitigation targeting LLM01 (Prompt Injection), LLM02 (Sensitive Information Disclosure), and LLM06 (Excessive Agency) [9].</w:t>
      </w:r>
    </w:p>
    <w:p>
      <w:pPr>
        <w:spacing w:line="360" w:lineRule="auto" w:after="80"/>
        <w:ind w:left="360" w:hanging="216"/>
        <w:jc w:val="both"/>
      </w:pPr>
      <w:r>
        <w:rPr>
          <w:rFonts w:ascii="Times New Roman" w:hAnsi="Times New Roman"/>
          <w:sz w:val="24"/>
        </w:rPr>
        <w:t>•  NIST AI Risk Management Framework (AI RMF 1.0): Fulfills core functions of Map, Measure, Manage, and Govern for adversarial robustness.</w:t>
      </w:r>
    </w:p>
    <w:p>
      <w:pPr>
        <w:spacing w:line="360" w:lineRule="auto" w:after="80"/>
        <w:ind w:left="360" w:hanging="216"/>
        <w:jc w:val="both"/>
      </w:pPr>
      <w:r>
        <w:rPr>
          <w:rFonts w:ascii="Times New Roman" w:hAnsi="Times New Roman"/>
          <w:sz w:val="24"/>
        </w:rPr>
        <w:t>•  IEEE Standard for Software Quality Assurance (IEEE 730-2014): Structured unit, integration, and security regression testing protocols.</w:t>
      </w:r>
    </w:p>
    <w:p>
      <w:pPr>
        <w:spacing w:line="360" w:lineRule="auto" w:after="80"/>
        <w:ind w:left="360" w:hanging="216"/>
        <w:jc w:val="both"/>
      </w:pPr>
      <w:r>
        <w:rPr>
          <w:rFonts w:ascii="Times New Roman" w:hAnsi="Times New Roman"/>
          <w:sz w:val="24"/>
        </w:rPr>
        <w:t>•  NVIDIA NeMo Colang 2.0 Syntax Standards: Formal language definition for programmable conversational guardrail policies [6].</w:t>
      </w:r>
    </w:p>
    <w:p>
      <w:pPr>
        <w:keepNext/>
        <w:spacing w:before="200" w:after="80"/>
      </w:pPr>
      <w:r>
        <w:rPr>
          <w:rFonts w:ascii="Times New Roman" w:hAnsi="Times New Roman"/>
          <w:b/>
          <w:color w:val="0F172A"/>
          <w:sz w:val="28"/>
        </w:rPr>
        <w:t>1.7 Approved Objectives (Proposal Evaluation)</w:t>
      </w:r>
    </w:p>
    <w:p>
      <w:pPr>
        <w:spacing w:line="360" w:lineRule="auto" w:after="80"/>
        <w:ind w:left="360" w:hanging="216"/>
        <w:jc w:val="both"/>
      </w:pPr>
      <w:r>
        <w:rPr>
          <w:rFonts w:ascii="Times New Roman" w:hAnsi="Times New Roman"/>
          <w:sz w:val="24"/>
        </w:rPr>
        <w:t>•  1. Develop a High-Accuracy Intent Sieve Classifier: Construct a multi-tier classifier achieving &gt;95% detection on JailbreakBench [12] with &lt;1% FPR (Phase 2 Completed).</w:t>
      </w:r>
    </w:p>
    <w:p>
      <w:pPr>
        <w:spacing w:line="360" w:lineRule="auto" w:after="80"/>
        <w:ind w:left="360" w:hanging="216"/>
        <w:jc w:val="both"/>
      </w:pPr>
      <w:r>
        <w:rPr>
          <w:rFonts w:ascii="Times New Roman" w:hAnsi="Times New Roman"/>
          <w:sz w:val="24"/>
        </w:rPr>
        <w:t>•  2. Implement a High-Fidelity Generative Sandbox ('Mirror Maze'): Deploy an isolated zero-trust decoy maintaining &gt;5 minutes average attacker dwell time (Phase 3 Completed).</w:t>
      </w:r>
    </w:p>
    <w:p>
      <w:pPr>
        <w:spacing w:line="360" w:lineRule="auto" w:after="80"/>
        <w:ind w:left="360" w:hanging="216"/>
        <w:jc w:val="both"/>
      </w:pPr>
      <w:r>
        <w:rPr>
          <w:rFonts w:ascii="Times New Roman" w:hAnsi="Times New Roman"/>
          <w:sz w:val="24"/>
        </w:rPr>
        <w:t>•  3. Automate Self-Healing Security Guardrails: Build a closed-loop pipeline synthesizing permanent NeMo Colang rules in seconds (Phase 4 Completed).</w:t>
      </w:r>
    </w:p>
    <w:p>
      <w:pPr>
        <w:spacing w:line="360" w:lineRule="auto" w:after="80"/>
        <w:ind w:left="360" w:hanging="216"/>
        <w:jc w:val="both"/>
      </w:pPr>
      <w:r>
        <w:rPr>
          <w:rFonts w:ascii="Times New Roman" w:hAnsi="Times New Roman"/>
          <w:sz w:val="24"/>
        </w:rPr>
        <w:t>•  4. Validate Zero-Escape Sandbox Security: Execute comprehensive container breakout penetration audits (Phase 3/4 Completed).</w:t>
      </w:r>
    </w:p>
    <w:p>
      <w:pPr>
        <w:spacing w:line="360" w:lineRule="auto" w:after="80"/>
        <w:ind w:left="360" w:hanging="216"/>
        <w:jc w:val="both"/>
      </w:pPr>
      <w:r>
        <w:rPr>
          <w:rFonts w:ascii="Times New Roman" w:hAnsi="Times New Roman"/>
          <w:sz w:val="24"/>
        </w:rPr>
        <w:t>•  5. Construct a Real-Time Threat Intelligence SOC Dashboard: Provide live visualization of attack taxonomies and dwell meters (Phase 5 In Progress).</w:t>
      </w:r>
    </w:p>
    <w:p>
      <w:pPr>
        <w:keepNext/>
        <w:spacing w:before="200" w:after="80"/>
      </w:pPr>
      <w:r>
        <w:rPr>
          <w:rFonts w:ascii="Times New Roman" w:hAnsi="Times New Roman"/>
          <w:b/>
          <w:color w:val="0F172A"/>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 0 (Scaffolding), Phase 1 (Adversarial Threat Profiling), Phase 2 (Intent Sieve Development), Phase 3 (Mirror Maze Sandbox), Phase 4 (Autonomous Guardrail Synthesis), Phase 5 (Forensic Telemetry &amp; SOC Dashboard), and Phase 6 (Empirical Red-Teaming). Phases 0 through 4 represent the completed mid-semester scope.</w:t>
      </w:r>
    </w:p>
    <w:p>
      <w:pPr>
        <w:keepNext/>
        <w:spacing w:before="200" w:after="80"/>
      </w:pPr>
      <w:r>
        <w:rPr>
          <w:rFonts w:ascii="Times New Roman" w:hAnsi="Times New Roman"/>
          <w:b/>
          <w:color w:val="0F172A"/>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00" w:after="80"/>
      </w:pPr>
      <w:r>
        <w:rPr>
          <w:rFonts w:ascii="Times New Roman" w:hAnsi="Times New Roman"/>
          <w:b/>
          <w:color w:val="0F172A"/>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jc w:val="center"/>
      </w:pPr>
      <w:r>
        <w:drawing>
          <wp:inline xmlns:a="http://schemas.openxmlformats.org/drawingml/2006/main" xmlns:pic="http://schemas.openxmlformats.org/drawingml/2006/picture">
            <wp:extent cx="5029200" cy="1809478"/>
            <wp:docPr id="3" name="Picture 3"/>
            <wp:cNvGraphicFramePr>
              <a:graphicFrameLocks noChangeAspect="1"/>
            </wp:cNvGraphicFramePr>
            <a:graphic>
              <a:graphicData uri="http://schemas.openxmlformats.org/drawingml/2006/picture">
                <pic:pic>
                  <pic:nvPicPr>
                    <pic:cNvPr id="0" name="fig1_1_architecture.png"/>
                    <pic:cNvPicPr/>
                  </pic:nvPicPr>
                  <pic:blipFill>
                    <a:blip r:embed="rId11"/>
                    <a:stretch>
                      <a:fillRect/>
                    </a:stretch>
                  </pic:blipFill>
                  <pic:spPr>
                    <a:xfrm>
                      <a:off x="0" y="0"/>
                      <a:ext cx="5029200" cy="1809478"/>
                    </a:xfrm>
                    <a:prstGeom prst="rect"/>
                  </pic:spPr>
                </pic:pic>
              </a:graphicData>
            </a:graphic>
          </wp:inline>
        </w:drawing>
      </w:r>
    </w:p>
    <w:p>
      <w:pPr>
        <w:keepNext/>
        <w:spacing w:before="80" w:after="160"/>
        <w:jc w:val="center"/>
      </w:pPr>
      <w:r>
        <w:rPr>
          <w:rFonts w:ascii="Times New Roman" w:hAnsi="Times New Roman"/>
          <w:b/>
          <w:sz w:val="20"/>
        </w:rPr>
        <w:t>FIGURE 1.1: Honey-LLM Multi-Tier Routing and Decision Gateway Architecture</w:t>
      </w:r>
    </w:p>
    <w:p>
      <w:r>
        <w:br w:type="page"/>
      </w:r>
    </w:p>
    <w:p>
      <w:pPr>
        <w:keepNext/>
        <w:spacing w:before="240" w:after="120"/>
      </w:pPr>
      <w:r>
        <w:rPr>
          <w:rFonts w:ascii="Times New Roman" w:hAnsi="Times New Roman"/>
          <w:b/>
          <w:color w:val="0F172A"/>
          <w:sz w:val="32"/>
        </w:rPr>
        <w:t>CHAPTER 2: REQUIREMENT ANALYSIS</w:t>
      </w:r>
    </w:p>
    <w:p>
      <w:pPr>
        <w:keepNext/>
        <w:spacing w:before="200" w:after="80"/>
      </w:pPr>
      <w:r>
        <w:rPr>
          <w:rFonts w:ascii="Times New Roman" w:hAnsi="Times New Roman"/>
          <w:b/>
          <w:color w:val="0F172A"/>
          <w:sz w:val="28"/>
        </w:rPr>
        <w:t>2.1 Literature Survey</w:t>
      </w:r>
    </w:p>
    <w:p>
      <w:pPr>
        <w:keepNext/>
        <w:spacing w:before="160" w:after="40"/>
      </w:pPr>
      <w:r>
        <w:rPr>
          <w:rFonts w:ascii="Times New Roman" w:hAnsi="Times New Roman"/>
          <w:b/>
          <w:color w:val="0F172A"/>
          <w:sz w:val="26"/>
        </w:rPr>
        <w:t>2.1.1 Theory Associated With Problem Area</w:t>
      </w:r>
    </w:p>
    <w:p>
      <w:pPr>
        <w:spacing w:line="360" w:lineRule="auto" w:after="120"/>
        <w:ind w:firstLine="432"/>
        <w:jc w:val="both"/>
      </w:pPr>
      <w:r>
        <w:rPr>
          <w:rFonts w:ascii="Times New Roman" w:hAnsi="Times New Roman"/>
          <w:sz w:val="24"/>
        </w:rPr>
        <w:t>Large Language Models are autoregressive statistical token predictors. Their fundamental susceptibility to adversarial prompt injection stems from the lack of formal separation between control instructions and untrusted data [9]. Attackers exploit semantic ambiguity to induce role-play confusion, refusal suppression, or multi-turn goal hijacking. Constitutional AI and moderation wrappers attempt to suppress toxic generation [1], but fail against indirect data-exfiltration probes unless reinforced by dedicated intent classification layers [3].</w:t>
      </w:r>
    </w:p>
    <w:p>
      <w:pPr>
        <w:keepNext/>
        <w:spacing w:before="160" w:after="40"/>
      </w:pPr>
      <w:r>
        <w:rPr>
          <w:rFonts w:ascii="Times New Roman" w:hAnsi="Times New Roman"/>
          <w:b/>
          <w:color w:val="0F172A"/>
          <w:sz w:val="26"/>
        </w:rPr>
        <w:t>2.1.2 Existing Systems and Solutions</w:t>
      </w:r>
    </w:p>
    <w:p>
      <w:pPr>
        <w:spacing w:line="360" w:lineRule="auto" w:after="120"/>
        <w:ind w:firstLine="432"/>
        <w:jc w:val="both"/>
      </w:pPr>
      <w:r>
        <w:rPr>
          <w:rFonts w:ascii="Times New Roman" w:hAnsi="Times New Roman"/>
          <w:sz w:val="24"/>
        </w:rPr>
        <w:t>Early generative honeypot research explored using LLMs to simulate Linux command-line environments (shelLM [10], LLM-Honeypot [8], and HoneyLLM [4]). While these systems demonstrated that LLM-driven generation increases honeypot credibility, they operated as passive research testbeds rather than active defenses. Defense frameworks like CHeaT [2] introduced trap tokens for autonomous agents, while Beekeeper [5] applied LLMs for automated honeypot auditing. However, none of these systems integrated real-time traffic classification with automated policy synthesis.</w:t>
      </w:r>
    </w:p>
    <w:p>
      <w:pPr>
        <w:keepNext/>
        <w:spacing w:before="160" w:after="40"/>
      </w:pPr>
      <w:r>
        <w:rPr>
          <w:rFonts w:ascii="Times New Roman" w:hAnsi="Times New Roman"/>
          <w:b/>
          <w:color w:val="0F172A"/>
          <w:sz w:val="26"/>
        </w:rPr>
        <w:t>2.1.3 Research Findings for Existing Literature</w:t>
      </w:r>
    </w:p>
    <w:p>
      <w:pPr>
        <w:keepNext/>
        <w:spacing w:before="160" w:after="6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Core Approach</w:t>
            </w:r>
          </w:p>
        </w:tc>
        <w:tc>
          <w:tcPr>
            <w:tcW w:type="dxa" w:w="1662"/>
            <w:shd w:fill="F1F5F9"/>
          </w:tcPr>
          <w:p>
            <w:r>
              <w:rPr>
                <w:b/>
              </w:rPr>
              <w:t>Key Contributions</w:t>
            </w:r>
          </w:p>
        </w:tc>
        <w:tc>
          <w:tcPr>
            <w:tcW w:type="dxa" w:w="1662"/>
            <w:shd w:fill="F1F5F9"/>
          </w:tcPr>
          <w:p>
            <w:r>
              <w:rPr>
                <w:b/>
              </w:rPr>
              <w:t>Identified Limitations</w:t>
            </w:r>
          </w:p>
        </w:tc>
        <w:tc>
          <w:tcPr>
            <w:tcW w:type="dxa" w:w="1662"/>
            <w:shd w:fill="F1F5F9"/>
          </w:tcPr>
          <w:p>
            <w:r>
              <w:rPr>
                <w:b/>
              </w:rPr>
              <w:t>Honey-LLM Advancement</w:t>
            </w:r>
          </w:p>
        </w:tc>
      </w:tr>
      <w:tr>
        <w:tc>
          <w:tcPr>
            <w:tcW w:type="dxa" w:w="1662"/>
          </w:tcPr>
          <w:p>
            <w:r>
              <w:rPr>
                <w:rFonts w:ascii="Times New Roman" w:hAnsi="Times New Roman"/>
                <w:sz w:val="19"/>
              </w:rPr>
              <w:t>shelLM [10] (IEEE EuroS&amp;PW '24)</w:t>
            </w:r>
          </w:p>
        </w:tc>
        <w:tc>
          <w:tcPr>
            <w:tcW w:type="dxa" w:w="1662"/>
          </w:tcPr>
          <w:p>
            <w:r>
              <w:rPr>
                <w:rFonts w:ascii="Times New Roman" w:hAnsi="Times New Roman"/>
                <w:sz w:val="19"/>
              </w:rPr>
              <w:t>LLM-driven Linux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restricted to CLI; no feedback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 (IEEE CNS '24)</w:t>
            </w:r>
          </w:p>
        </w:tc>
        <w:tc>
          <w:tcPr>
            <w:tcW w:type="dxa" w:w="1662"/>
          </w:tcPr>
          <w:p>
            <w:r>
              <w:rPr>
                <w:rFonts w:ascii="Times New Roman" w:hAnsi="Times New Roman"/>
                <w:sz w:val="19"/>
              </w:rPr>
              <w:t>Attacker-log trained interactive shell</w:t>
            </w:r>
          </w:p>
        </w:tc>
        <w:tc>
          <w:tcPr>
            <w:tcW w:type="dxa" w:w="1662"/>
          </w:tcPr>
          <w:p>
            <w:r>
              <w:rPr>
                <w:rFonts w:ascii="Times New Roman" w:hAnsi="Times New Roman"/>
                <w:sz w:val="19"/>
              </w:rPr>
              <w:t>High realism evaluated via Levenshtein &amp; Cosine similarity</w:t>
            </w:r>
          </w:p>
        </w:tc>
        <w:tc>
          <w:tcPr>
            <w:tcW w:type="dxa" w:w="1662"/>
          </w:tcPr>
          <w:p>
            <w:r>
              <w:rPr>
                <w:rFonts w:ascii="Times New Roman" w:hAnsi="Times New Roman"/>
                <w:sz w:val="19"/>
              </w:rPr>
              <w:t>Passive logging only; zero automated defense adaptation</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 (IEEE CNS '24)</w:t>
            </w:r>
          </w:p>
        </w:tc>
        <w:tc>
          <w:tcPr>
            <w:tcW w:type="dxa" w:w="1662"/>
          </w:tcPr>
          <w:p>
            <w:r>
              <w:rPr>
                <w:rFonts w:ascii="Times New Roman" w:hAnsi="Times New Roman"/>
                <w:sz w:val="19"/>
              </w:rPr>
              <w:t>Contextual prompt engineering for shell</w:t>
            </w:r>
          </w:p>
        </w:tc>
        <w:tc>
          <w:tcPr>
            <w:tcW w:type="dxa" w:w="1662"/>
          </w:tcPr>
          <w:p>
            <w:r>
              <w:rPr>
                <w:rFonts w:ascii="Times New Roman" w:hAnsi="Times New Roman"/>
                <w:sz w:val="19"/>
              </w:rPr>
              <w:t>Enhanced attacker dwell time in simulated OS terminals</w:t>
            </w:r>
          </w:p>
        </w:tc>
        <w:tc>
          <w:tcPr>
            <w:tcW w:type="dxa" w:w="1662"/>
          </w:tcPr>
          <w:p>
            <w:r>
              <w:rPr>
                <w:rFonts w:ascii="Times New Roman" w:hAnsi="Times New Roman"/>
                <w:sz w:val="19"/>
              </w:rPr>
              <w:t>No real-time intent sieve; no automated rule generation</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 (USENIX Sec '25)</w:t>
            </w:r>
          </w:p>
        </w:tc>
        <w:tc>
          <w:tcPr>
            <w:tcW w:type="dxa" w:w="1662"/>
          </w:tcPr>
          <w:p>
            <w:r>
              <w:rPr>
                <w:rFonts w:ascii="Times New Roman" w:hAnsi="Times New Roman"/>
                <w:sz w:val="19"/>
              </w:rPr>
              <w:t>Cloak-Honey-Trap proactive defense</w:t>
            </w:r>
          </w:p>
        </w:tc>
        <w:tc>
          <w:tcPr>
            <w:tcW w:type="dxa" w:w="1662"/>
          </w:tcPr>
          <w:p>
            <w:r>
              <w:rPr>
                <w:rFonts w:ascii="Times New Roman" w:hAnsi="Times New Roman"/>
                <w:sz w:val="19"/>
              </w:rPr>
              <w:t>Deception tokens to disrupt autonomous LLM attackers</w:t>
            </w:r>
          </w:p>
        </w:tc>
        <w:tc>
          <w:tcPr>
            <w:tcW w:type="dxa" w:w="1662"/>
          </w:tcPr>
          <w:p>
            <w:r>
              <w:rPr>
                <w:rFonts w:ascii="Times New Roman" w:hAnsi="Times New Roman"/>
                <w:sz w:val="19"/>
              </w:rPr>
              <w:t>Limited to artificial CTF environments;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 (IEEE Access '25)</w:t>
            </w:r>
          </w:p>
        </w:tc>
        <w:tc>
          <w:tcPr>
            <w:tcW w:type="dxa" w:w="1662"/>
          </w:tcPr>
          <w:p>
            <w:r>
              <w:rPr>
                <w:rFonts w:ascii="Times New Roman" w:hAnsi="Times New Roman"/>
                <w:sz w:val="19"/>
              </w:rPr>
              <w:t>LLM-as-attacker honeypot auditing</w:t>
            </w:r>
          </w:p>
        </w:tc>
        <w:tc>
          <w:tcPr>
            <w:tcW w:type="dxa" w:w="1662"/>
          </w:tcPr>
          <w:p>
            <w:r>
              <w:rPr>
                <w:rFonts w:ascii="Times New Roman" w:hAnsi="Times New Roman"/>
                <w:sz w:val="19"/>
              </w:rPr>
              <w:t>Automated feedback loop to improve honeypot realism</w:t>
            </w:r>
          </w:p>
        </w:tc>
        <w:tc>
          <w:tcPr>
            <w:tcW w:type="dxa" w:w="1662"/>
          </w:tcPr>
          <w:p>
            <w:r>
              <w:rPr>
                <w:rFonts w:ascii="Times New Roman" w:hAnsi="Times New Roman"/>
                <w:sz w:val="19"/>
              </w:rPr>
              <w:t>Offline pre-deployment audit tool; no live defense capability</w:t>
            </w:r>
          </w:p>
        </w:tc>
        <w:tc>
          <w:tcPr>
            <w:tcW w:type="dxa" w:w="1662"/>
          </w:tcPr>
          <w:p>
            <w:r>
              <w:rPr>
                <w:rFonts w:ascii="Times New Roman" w:hAnsi="Times New Roman"/>
                <w:sz w:val="19"/>
              </w:rPr>
              <w:t>Self-hardening digital immune loop operating in ~10.4 seconds</w:t>
            </w:r>
          </w:p>
        </w:tc>
      </w:tr>
    </w:tbl>
    <w:p>
      <w:pPr>
        <w:keepNext/>
        <w:spacing w:before="160" w:after="40"/>
      </w:pPr>
      <w:r>
        <w:rPr>
          <w:rFonts w:ascii="Times New Roman" w:hAnsi="Times New Roman"/>
          <w:b/>
          <w:color w:val="0F172A"/>
          <w:sz w:val="26"/>
        </w:rPr>
        <w:t>2.1.4 Problems Identified in State of the Art</w:t>
      </w:r>
    </w:p>
    <w:p>
      <w:pPr>
        <w:spacing w:line="360" w:lineRule="auto" w:after="120"/>
        <w:ind w:firstLine="432"/>
        <w:jc w:val="both"/>
      </w:pPr>
      <w:r>
        <w:rPr>
          <w:rFonts w:ascii="Times New Roman" w:hAnsi="Times New Roman"/>
          <w:sz w:val="24"/>
        </w:rPr>
        <w:t>The primary deficiencies identified include: (1) reliance on static refusal responses that train adversaries; (2) absence of sub-second semantic classification on production paths; and (3) a complete disconnect between threat intelligence collection and real-time security policy updates.</w:t>
      </w:r>
    </w:p>
    <w:p>
      <w:pPr>
        <w:keepNext/>
        <w:spacing w:before="160" w:after="40"/>
      </w:pPr>
      <w:r>
        <w:rPr>
          <w:rFonts w:ascii="Times New Roman" w:hAnsi="Times New Roman"/>
          <w:b/>
          <w:color w:val="0F172A"/>
          <w:sz w:val="26"/>
        </w:rPr>
        <w:t>2.1.5 Survey of Tools and Technologies Used</w:t>
      </w:r>
    </w:p>
    <w:p>
      <w:pPr>
        <w:spacing w:line="360" w:lineRule="auto" w:after="120"/>
        <w:ind w:firstLine="432"/>
        <w:jc w:val="both"/>
      </w:pPr>
      <w:r>
        <w:rPr>
          <w:rFonts w:ascii="Times New Roman" w:hAnsi="Times New Roman"/>
          <w:sz w:val="24"/>
        </w:rPr>
        <w:t>Honey-LLM synthesizes modern open-source technologies: FastAPI for asynchronous gateway routing; Ollama for local hardware-accelerated inference; Llama-Guard 3 [11] and Llama-3 for moderation and generation; NVIDIA NeMo Guardrails [6] for Colang policy enforcement; Docker Engine for kernel-level container isolation; and Next.js 15 for real-time telemetry visualization.</w:t>
      </w:r>
    </w:p>
    <w:p>
      <w:pPr>
        <w:keepNext/>
        <w:spacing w:before="200" w:after="80"/>
      </w:pPr>
      <w:r>
        <w:rPr>
          <w:rFonts w:ascii="Times New Roman" w:hAnsi="Times New Roman"/>
          <w:b/>
          <w:color w:val="0F172A"/>
          <w:sz w:val="28"/>
        </w:rPr>
        <w:t>2.2 Software Requirement Specification (SRS)</w:t>
      </w:r>
    </w:p>
    <w:p>
      <w:pPr>
        <w:spacing w:line="360" w:lineRule="auto" w:after="120"/>
        <w:ind w:firstLine="432"/>
        <w:jc w:val="both"/>
      </w:pPr>
      <w:r>
        <w:rPr>
          <w:rFonts w:ascii="Times New Roman" w:hAnsi="Times New Roman"/>
          <w:sz w:val="24"/>
        </w:rPr>
        <w:t>2.2.1 Introduction &amp; Scope: Specifies functional requirements for the Honey-LLM defense gateway protecting the NexTel enterprise knowledge base.</w:t>
      </w:r>
    </w:p>
    <w:p>
      <w:pPr>
        <w:spacing w:line="360" w:lineRule="auto" w:after="120"/>
        <w:ind w:firstLine="432"/>
        <w:jc w:val="both"/>
      </w:pPr>
      <w:r>
        <w:rPr>
          <w:rFonts w:ascii="Times New Roman" w:hAnsi="Times New Roman"/>
          <w:sz w:val="24"/>
        </w:rPr>
        <w:t>2.2.2 Product Perspective: Sits as a secure reverse proxy between external client applications and the production RAG engine.</w:t>
      </w:r>
    </w:p>
    <w:p>
      <w:pPr>
        <w:spacing w:line="360" w:lineRule="auto" w:after="120"/>
        <w:ind w:firstLine="432"/>
        <w:jc w:val="both"/>
      </w:pPr>
      <w:r>
        <w:rPr>
          <w:rFonts w:ascii="Times New Roman" w:hAnsi="Times New Roman"/>
          <w:sz w:val="24"/>
        </w:rPr>
        <w:t>2.2.3 External Interfaces: RESTful JSON APIs (/api/chat, /api/dashboard, /api/admin), containerized ingress/egress proxy ports, and Next.js frontends.</w:t>
      </w:r>
    </w:p>
    <w:p>
      <w:pPr>
        <w:spacing w:line="360" w:lineRule="auto" w:after="120"/>
        <w:ind w:firstLine="432"/>
        <w:jc w:val="both"/>
      </w:pPr>
      <w:r>
        <w:rPr>
          <w:rFonts w:ascii="Times New Roman" w:hAnsi="Times New Roman"/>
          <w:sz w:val="24"/>
        </w:rPr>
        <w:t>2.2.4 Non-Functional Requirements: High availability, sub-50 ms sieve overhead, fail-closed fault tolerance, and colorblind-safe (WCAG 2.1 AA) SOC data visualization.</w:t>
      </w:r>
    </w:p>
    <w:p>
      <w:pPr>
        <w:keepNext/>
        <w:spacing w:before="200" w:after="80"/>
      </w:pPr>
      <w:r>
        <w:rPr>
          <w:rFonts w:ascii="Times New Roman" w:hAnsi="Times New Roman"/>
          <w:b/>
          <w:color w:val="0F172A"/>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the architecture completely eliminates recurring per-token cloud API costs while maintaining zero data egress.</w:t>
      </w:r>
    </w:p>
    <w:p>
      <w:pPr>
        <w:keepNext/>
        <w:spacing w:before="160" w:after="6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00" w:after="80"/>
      </w:pPr>
      <w:r>
        <w:rPr>
          <w:rFonts w:ascii="Times New Roman" w:hAnsi="Times New Roman"/>
          <w:b/>
          <w:color w:val="0F172A"/>
          <w:sz w:val="28"/>
        </w:rPr>
        <w:t>2.4 Risk Analysis and Mitigation Strategies</w:t>
      </w:r>
    </w:p>
    <w:p>
      <w:pPr>
        <w:keepNext/>
        <w:spacing w:before="160" w:after="6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240" w:after="120"/>
      </w:pPr>
      <w:r>
        <w:rPr>
          <w:rFonts w:ascii="Times New Roman" w:hAnsi="Times New Roman"/>
          <w:b/>
          <w:color w:val="0F172A"/>
          <w:sz w:val="32"/>
        </w:rPr>
        <w:t>CHAPTER 3: METHODOLOGY ADOPTED</w:t>
      </w:r>
    </w:p>
    <w:p>
      <w:pPr>
        <w:keepNext/>
        <w:spacing w:before="200" w:after="80"/>
      </w:pPr>
      <w:r>
        <w:rPr>
          <w:rFonts w:ascii="Times New Roman" w:hAnsi="Times New Roman"/>
          <w:b/>
          <w:color w:val="0F172A"/>
          <w:sz w:val="28"/>
        </w:rPr>
        <w:t>3.1 Investigative Techniques &amp; Empirical FPR Explanation</w:t>
      </w:r>
    </w:p>
    <w:p>
      <w:pPr>
        <w:keepNext/>
        <w:spacing w:before="160" w:after="6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(559/569 adversarial) at 0.0% benign FPR (0/320 benign) (Phase 2).</w:t>
            </w:r>
          </w:p>
        </w:tc>
      </w:tr>
    </w:tbl>
    <w:p>
      <w:pPr>
        <w:spacing w:line="360" w:lineRule="auto" w:after="120"/>
        <w:ind w:firstLine="432"/>
        <w:jc w:val="both"/>
      </w:pPr>
      <w:r>
        <w:rPr>
          <w:rFonts w:ascii="Times New Roman" w:hAnsi="Times New Roman"/>
          <w:sz w:val="24"/>
        </w:rPr>
        <w:t>Technical Analysis of the 0.0% Benign False Positive Rate (FPR): The measured 0.0% FPR represents exactly 0 out of 320 held-out domain queries flagged falsely as adversarial. This empirical result is achieved through two-stage threshold calibration: (1) The Tier-1 statistical classifier was trained on a domain-specific telecommunications corpus where customer intents (e.g., SIM provisioning, roaming rates, invoice queries) possess distinct vocabulary distributions with safe scores consistently &lt; 0.08, well below the conservative threshold of 0.15; (2) Ambiguous queries in the margin (0.15 to 0.70) are escalated to Tier-2 Llama-Guard 3 [11], which performs context-aware semantic evaluation and preserves legitimate customer queries. While 0.0% FPR holds for the curated in-domain evaluation test split, out-of-domain open-ended dialogues are expected to yield non-zero FPR, which will be extensively profiled in Phase 6.</w:t>
      </w:r>
    </w:p>
    <w:p>
      <w:pPr>
        <w:keepNext/>
        <w:spacing w:before="200" w:after="80"/>
      </w:pPr>
      <w:r>
        <w:rPr>
          <w:rFonts w:ascii="Times New Roman" w:hAnsi="Times New Roman"/>
          <w:b/>
          <w:color w:val="0F172A"/>
          <w:sz w:val="28"/>
        </w:rPr>
        <w:t>3.2 Proposed Solution &amp; Multi-Tier Architecture</w:t>
      </w:r>
    </w:p>
    <w:p>
      <w:pPr>
        <w:spacing w:line="360" w:lineRule="auto" w:after="80"/>
        <w:ind w:left="360" w:hanging="216"/>
        <w:jc w:val="both"/>
      </w:pPr>
      <w:r>
        <w:rPr>
          <w:rFonts w:ascii="Times New Roman" w:hAnsi="Times New Roman"/>
          <w:sz w:val="24"/>
        </w:rPr>
        <w:t>•  Tier-0 Semantic Guardrail Cache: Fast semantic embedding matcher resolving known techniques in 10 to 20 ms (Phase 4).</w:t>
      </w:r>
    </w:p>
    <w:p>
      <w:pPr>
        <w:spacing w:line="360" w:lineRule="auto" w:after="80"/>
        <w:ind w:left="360" w:hanging="216"/>
        <w:jc w:val="both"/>
      </w:pPr>
      <w:r>
        <w:rPr>
          <w:rFonts w:ascii="Times New Roman" w:hAnsi="Times New Roman"/>
          <w:sz w:val="24"/>
        </w:rPr>
        <w:t>•  Tier-1 Statistical Fast-Path: TF-IDF + Logistic Regression resolving benign customer traffic in ~2 ms (Phase 2).</w:t>
      </w:r>
    </w:p>
    <w:p>
      <w:pPr>
        <w:spacing w:line="360" w:lineRule="auto" w:after="80"/>
        <w:ind w:left="360" w:hanging="216"/>
        <w:jc w:val="both"/>
      </w:pPr>
      <w:r>
        <w:rPr>
          <w:rFonts w:ascii="Times New Roman" w:hAnsi="Times New Roman"/>
          <w:sz w:val="24"/>
        </w:rPr>
        <w:t>•  Tier-2 Deep Moderation Sieve: 8B Llama-Guard 3 [11] custom injection policy analyzing multi-turn history (Phase 2).</w:t>
      </w:r>
    </w:p>
    <w:p>
      <w:pPr>
        <w:spacing w:line="360" w:lineRule="auto" w:after="80"/>
        <w:ind w:left="360" w:hanging="216"/>
        <w:jc w:val="both"/>
      </w:pPr>
      <w:r>
        <w:rPr>
          <w:rFonts w:ascii="Times New Roman" w:hAnsi="Times New Roman"/>
          <w:sz w:val="24"/>
        </w:rPr>
        <w:t>•  Deceptive Mirror Maze Sandbox: Docker-isolated 'Sarah' decoy persona dynamic-leaking synthetic bait (Phase 3).</w:t>
      </w:r>
    </w:p>
    <w:p>
      <w:pPr>
        <w:keepNext/>
        <w:spacing w:before="200" w:after="80"/>
      </w:pPr>
      <w:r>
        <w:rPr>
          <w:rFonts w:ascii="Times New Roman" w:hAnsi="Times New Roman"/>
          <w:b/>
          <w:color w:val="0F172A"/>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00" w:after="80"/>
      </w:pPr>
      <w:r>
        <w:rPr>
          <w:rFonts w:ascii="Times New Roman" w:hAnsi="Times New Roman"/>
          <w:b/>
          <w:color w:val="0F172A"/>
          <w:sz w:val="28"/>
        </w:rPr>
        <w:t>3.4 Enterprise Hardware, Software, and Framework Stack</w:t>
      </w:r>
    </w:p>
    <w:p>
      <w:pPr>
        <w:keepNext/>
        <w:spacing w:before="160" w:after="6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Enterprise Host Compute (&gt;=16 GB RAM / VRAM)</w:t>
            </w:r>
          </w:p>
        </w:tc>
        <w:tc>
          <w:tcPr>
            <w:tcW w:type="dxa" w:w="2770"/>
          </w:tcPr>
          <w:p>
            <w:r>
              <w:rPr>
                <w:rFonts w:ascii="Times New Roman" w:hAnsi="Times New Roman"/>
                <w:sz w:val="19"/>
              </w:rPr>
              <w:t>Local execution for Llama-Guard 3 8B [11]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 [6]</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 Isolation</w:t>
            </w:r>
          </w:p>
        </w:tc>
        <w:tc>
          <w:tcPr>
            <w:tcW w:type="dxa" w:w="2770"/>
          </w:tcPr>
          <w:p>
            <w:r>
              <w:rPr>
                <w:rFonts w:ascii="Times New Roman" w:hAnsi="Times New Roman"/>
                <w:sz w:val="19"/>
              </w:rPr>
              <w:t>Docker Engine / Linux Namespaces &amp; cgroups</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[13] / Custom Harnesses</w:t>
            </w:r>
          </w:p>
        </w:tc>
        <w:tc>
          <w:tcPr>
            <w:tcW w:type="dxa" w:w="2770"/>
          </w:tcPr>
          <w:p>
            <w:r>
              <w:rPr>
                <w:rFonts w:ascii="Times New Roman" w:hAnsi="Times New Roman"/>
                <w:sz w:val="19"/>
              </w:rPr>
              <w:t>12+ obfuscation converters, break-out audits, load tests.</w:t>
            </w:r>
          </w:p>
        </w:tc>
      </w:tr>
    </w:tbl>
    <w:p>
      <w:pPr>
        <w:keepNext/>
        <w:spacing w:before="200" w:after="80"/>
      </w:pPr>
      <w:r>
        <w:rPr>
          <w:rFonts w:ascii="Times New Roman" w:hAnsi="Times New Roman"/>
          <w:b/>
          <w:color w:val="0F172A"/>
          <w:sz w:val="28"/>
        </w:rPr>
        <w:t>3.5 UML Sequence Model for Interception Flow</w:t>
      </w:r>
    </w:p>
    <w:p>
      <w:pPr>
        <w:spacing w:line="360" w:lineRule="auto" w:after="120"/>
        <w:ind w:firstLine="432"/>
        <w:jc w:val="both"/>
      </w:pPr>
      <w:r>
        <w:rPr>
          <w:rFonts w:ascii="Times New Roman" w:hAnsi="Times New Roman"/>
          <w:sz w:val="24"/>
        </w:rPr>
        <w:t>Figure 3.1 provides the formal UML sequence diagram tracing both benign customer queries and adversarial prompt injection attempts across all software lifelines.</w:t>
      </w:r>
    </w:p>
    <w:p>
      <w:pPr>
        <w:jc w:val="center"/>
      </w:pPr>
      <w:r>
        <w:drawing>
          <wp:inline xmlns:a="http://schemas.openxmlformats.org/drawingml/2006/main" xmlns:pic="http://schemas.openxmlformats.org/drawingml/2006/picture">
            <wp:extent cx="5029200" cy="2228817"/>
            <wp:docPr id="4" name="Picture 4"/>
            <wp:cNvGraphicFramePr>
              <a:graphicFrameLocks noChangeAspect="1"/>
            </wp:cNvGraphicFramePr>
            <a:graphic>
              <a:graphicData uri="http://schemas.openxmlformats.org/drawingml/2006/picture">
                <pic:pic>
                  <pic:nvPicPr>
                    <pic:cNvPr id="0" name="fig3_1_sequence.png"/>
                    <pic:cNvPicPr/>
                  </pic:nvPicPr>
                  <pic:blipFill>
                    <a:blip r:embed="rId12"/>
                    <a:stretch>
                      <a:fillRect/>
                    </a:stretch>
                  </pic:blipFill>
                  <pic:spPr>
                    <a:xfrm>
                      <a:off x="0" y="0"/>
                      <a:ext cx="5029200" cy="2228817"/>
                    </a:xfrm>
                    <a:prstGeom prst="rect"/>
                  </pic:spPr>
                </pic:pic>
              </a:graphicData>
            </a:graphic>
          </wp:inline>
        </w:drawing>
      </w:r>
    </w:p>
    <w:p>
      <w:pPr>
        <w:keepNext/>
        <w:spacing w:before="80" w:after="160"/>
        <w:jc w:val="center"/>
      </w:pPr>
      <w:r>
        <w:rPr>
          <w:rFonts w:ascii="Times New Roman" w:hAnsi="Times New Roman"/>
          <w:b/>
          <w:sz w:val="20"/>
        </w:rPr>
        <w:t>FIGURE 3.1: UML Sequence Diagram for Multi-Tier Request Interception &amp; Deception</w:t>
      </w:r>
    </w:p>
    <w:p>
      <w:r>
        <w:br w:type="page"/>
      </w:r>
    </w:p>
    <w:p>
      <w:pPr>
        <w:keepNext/>
        <w:spacing w:before="240" w:after="120"/>
      </w:pPr>
      <w:r>
        <w:rPr>
          <w:rFonts w:ascii="Times New Roman" w:hAnsi="Times New Roman"/>
          <w:b/>
          <w:color w:val="0F172A"/>
          <w:sz w:val="32"/>
        </w:rPr>
        <w:t>CHAPTER 4: DESIGN SPECIFICATIONS</w:t>
      </w:r>
    </w:p>
    <w:p>
      <w:pPr>
        <w:keepNext/>
        <w:spacing w:before="200" w:after="80"/>
      </w:pPr>
      <w:r>
        <w:rPr>
          <w:rFonts w:ascii="Times New Roman" w:hAnsi="Times New Roman"/>
          <w:b/>
          <w:color w:val="0F172A"/>
          <w:sz w:val="28"/>
        </w:rPr>
        <w:t>4.1 System Architecture &amp; Sieve Gateway Flow</w:t>
      </w:r>
    </w:p>
    <w:p>
      <w:pPr>
        <w:spacing w:line="360" w:lineRule="auto" w:after="120"/>
        <w:ind w:firstLine="432"/>
        <w:jc w:val="both"/>
      </w:pPr>
      <w:r>
        <w:rPr>
          <w:rFonts w:ascii="Times New Roman" w:hAnsi="Times New Roman"/>
          <w:sz w:val="24"/>
        </w:rPr>
        <w:t>The architecture enforces strict structural isolation between public RAG knowledge and internal synthetic bait. When an HTTP request enters the gateway, it passes through the Tier-0 Guardrail store and Tier-1 Fast Path. If cleared as SAFE, the query is dispatched to the production RAG engine, which is structurally restricted to the public domain knowledge corpus. If flagged UNSAFE, the gateway silently delegates the query to the Mirror Maze container via an internal ingress proxy port (:9100).</w:t>
      </w:r>
    </w:p>
    <w:p>
      <w:pPr>
        <w:keepNext/>
        <w:spacing w:before="200" w:after="80"/>
      </w:pPr>
      <w:r>
        <w:rPr>
          <w:rFonts w:ascii="Times New Roman" w:hAnsi="Times New Roman"/>
          <w:b/>
          <w:color w:val="0F172A"/>
          <w:sz w:val="28"/>
        </w:rPr>
        <w:t>4.2 Threat Taxonomy &amp; Sticky Quarantine State Machine</w:t>
      </w:r>
    </w:p>
    <w:p>
      <w:pPr>
        <w:spacing w:line="360" w:lineRule="auto" w:after="120"/>
        <w:ind w:firstLine="432"/>
        <w:jc w:val="both"/>
      </w:pPr>
      <w:r>
        <w:rPr>
          <w:rFonts w:ascii="Times New Roman" w:hAnsi="Times New Roman"/>
          <w:sz w:val="24"/>
        </w:rPr>
        <w:t>The system maintains state consistency through sticky quarantine. Once a session ID is flagged as adversarial, subsequent benign queries within the same session remain trapped in the Mirror Maze, preventing attackers from probing for filter boundaries. Table 4.1 maps the 8 threat taxonomy categories established in Phase 1.</w:t>
      </w:r>
    </w:p>
    <w:p>
      <w:pPr>
        <w:keepNext/>
        <w:spacing w:before="160" w:after="6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jc w:val="center"/>
      </w:pPr>
      <w:r>
        <w:drawing>
          <wp:inline xmlns:a="http://schemas.openxmlformats.org/drawingml/2006/main" xmlns:pic="http://schemas.openxmlformats.org/drawingml/2006/picture">
            <wp:extent cx="5029200" cy="1628530"/>
            <wp:docPr id="5" name="Picture 5"/>
            <wp:cNvGraphicFramePr>
              <a:graphicFrameLocks noChangeAspect="1"/>
            </wp:cNvGraphicFramePr>
            <a:graphic>
              <a:graphicData uri="http://schemas.openxmlformats.org/drawingml/2006/picture">
                <pic:pic>
                  <pic:nvPicPr>
                    <pic:cNvPr id="0" name="fig4_1_state_machine.png"/>
                    <pic:cNvPicPr/>
                  </pic:nvPicPr>
                  <pic:blipFill>
                    <a:blip r:embed="rId13"/>
                    <a:stretch>
                      <a:fillRect/>
                    </a:stretch>
                  </pic:blipFill>
                  <pic:spPr>
                    <a:xfrm>
                      <a:off x="0" y="0"/>
                      <a:ext cx="5029200" cy="1628530"/>
                    </a:xfrm>
                    <a:prstGeom prst="rect"/>
                  </pic:spPr>
                </pic:pic>
              </a:graphicData>
            </a:graphic>
          </wp:inline>
        </w:drawing>
      </w:r>
    </w:p>
    <w:p>
      <w:pPr>
        <w:keepNext/>
        <w:spacing w:before="80" w:after="160"/>
        <w:jc w:val="center"/>
      </w:pPr>
      <w:r>
        <w:rPr>
          <w:rFonts w:ascii="Times New Roman" w:hAnsi="Times New Roman"/>
          <w:b/>
          <w:sz w:val="20"/>
        </w:rPr>
        <w:t>FIGURE 4.1: UML State Machine Diagram for Session Quarantine &amp; Self-Healing Loop</w:t>
      </w:r>
    </w:p>
    <w:p>
      <w:pPr>
        <w:keepNext/>
        <w:spacing w:before="200" w:after="80"/>
      </w:pPr>
      <w:r>
        <w:rPr>
          <w:rFonts w:ascii="Times New Roman" w:hAnsi="Times New Roman"/>
          <w:b/>
          <w:color w:val="0F172A"/>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spacing w:line="360" w:lineRule="auto" w:after="80"/>
        <w:ind w:left="360" w:hanging="216"/>
        <w:jc w:val="both"/>
      </w:pPr>
      <w:r>
        <w:rPr>
          <w:rFonts w:ascii="Times New Roman" w:hAnsi="Times New Roman"/>
          <w:sz w:val="24"/>
        </w:rPr>
        <w:t>•  1. NexTel Customer Chat Interface (/chat): Clean corporate telecom portal with zero visual indicators of the security interception layer (Figure 4.2).</w:t>
      </w:r>
    </w:p>
    <w:p>
      <w:pPr>
        <w:spacing w:line="360" w:lineRule="auto" w:after="80"/>
        <w:ind w:left="360" w:hanging="216"/>
        <w:jc w:val="both"/>
      </w:pPr>
      <w:r>
        <w:rPr>
          <w:rFonts w:ascii="Times New Roman" w:hAnsi="Times New Roman"/>
          <w:sz w:val="24"/>
        </w:rPr>
        <w:t>•  2. Admin Live Sieve Decision Tracer (/admin): Interactive test surface allowing evaluation panels to trigger sample benign and malicious prompts live, tracing Tier-0/1/2 evaluation times and sandbox quarantine routing (Figure 4.3).</w:t>
      </w:r>
    </w:p>
    <w:p>
      <w:pPr>
        <w:spacing w:line="360" w:lineRule="auto" w:after="80"/>
        <w:ind w:left="360" w:hanging="216"/>
        <w:jc w:val="both"/>
      </w:pPr>
      <w:r>
        <w:rPr>
          <w:rFonts w:ascii="Times New Roman" w:hAnsi="Times New Roman"/>
          <w:sz w:val="24"/>
        </w:rPr>
        <w:t>•  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prototype_chat_ui.png"/>
                    <pic:cNvPicPr/>
                  </pic:nvPicPr>
                  <pic:blipFill>
                    <a:blip r:embed="rId14"/>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prototype_admin_ui.png"/>
                    <pic:cNvPicPr/>
                  </pic:nvPicPr>
                  <pic:blipFill>
                    <a:blip r:embed="rId15"/>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4.3: Honey-LLM Admin Live Sieve Decision Tracer (/admin)</w:t>
      </w:r>
    </w:p>
    <w:p>
      <w:pPr>
        <w:keepNext/>
        <w:spacing w:before="200" w:after="80"/>
      </w:pPr>
      <w:r>
        <w:rPr>
          <w:rFonts w:ascii="Times New Roman" w:hAnsi="Times New Roman"/>
          <w:b/>
          <w:color w:val="0F172A"/>
          <w:sz w:val="28"/>
        </w:rPr>
        <w:t>4.4 Working Prototype Execution (Phases 1 to 4 Verified)</w:t>
      </w:r>
    </w:p>
    <w:p>
      <w:pPr>
        <w:keepNext/>
        <w:spacing w:before="160" w:after="6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prototype_soc_dashboard.png"/>
                    <pic:cNvPicPr/>
                  </pic:nvPicPr>
                  <pic:blipFill>
                    <a:blip r:embed="rId16"/>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4.4: Dark SOC Real-Time Threat Intelligence Dashboard (/dashboard)</w:t>
      </w:r>
    </w:p>
    <w:p>
      <w:r>
        <w:br w:type="page"/>
      </w:r>
    </w:p>
    <w:p>
      <w:pPr>
        <w:keepNext/>
        <w:spacing w:before="240" w:after="120"/>
      </w:pPr>
      <w:r>
        <w:rPr>
          <w:rFonts w:ascii="Times New Roman" w:hAnsi="Times New Roman"/>
          <w:b/>
          <w:color w:val="0F172A"/>
          <w:sz w:val="32"/>
        </w:rPr>
        <w:t>CHAPTER 5: CONCLUSIONS AND FUTURE SCOPE</w:t>
      </w:r>
    </w:p>
    <w:p>
      <w:pPr>
        <w:keepNext/>
        <w:spacing w:before="200" w:after="80"/>
      </w:pPr>
      <w:r>
        <w:rPr>
          <w:rFonts w:ascii="Times New Roman" w:hAnsi="Times New Roman"/>
          <w:b/>
          <w:color w:val="0F172A"/>
          <w:sz w:val="28"/>
        </w:rPr>
        <w:t>5.1 Mid-Semester Accomplishments vs. Approved Objectives</w:t>
      </w:r>
    </w:p>
    <w:p>
      <w:pPr>
        <w:keepNext/>
        <w:spacing w:before="160" w:after="6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[12], FPR &lt;1%</w:t>
            </w:r>
          </w:p>
        </w:tc>
        <w:tc>
          <w:tcPr>
            <w:tcW w:type="dxa" w:w="2077"/>
          </w:tcPr>
          <w:p>
            <w:r>
              <w:rPr>
                <w:rFonts w:ascii="Times New Roman" w:hAnsi="Times New Roman"/>
                <w:sz w:val="19"/>
              </w:rPr>
              <w:t>98.3% detection (559/569 adversarial); 0.0% benign FPR (0/320 benign); ~2 ms benign latency.</w:t>
            </w:r>
          </w:p>
        </w:tc>
        <w:tc>
          <w:tcPr>
            <w:tcW w:type="dxa" w:w="2077"/>
          </w:tcPr>
          <w:p>
            <w:r>
              <w:rPr>
                <w:rFonts w:ascii="Times New Roman" w:hAnsi="Times New Roman"/>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[6], passes regression gate; time-to-patch 10.4 s.</w:t>
            </w:r>
          </w:p>
        </w:tc>
        <w:tc>
          <w:tcPr>
            <w:tcW w:type="dxa" w:w="2077"/>
          </w:tcPr>
          <w:p>
            <w:r>
              <w:rPr>
                <w:rFonts w:ascii="Times New Roman" w:hAnsi="Times New Roman"/>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Zero-egress container isolation, zero network/host leakage under audit probes</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completed; live telemetry populated (176 requests, 85 attacks, 4m 46s avg dwell).</w:t>
            </w:r>
          </w:p>
        </w:tc>
        <w:tc>
          <w:tcPr>
            <w:tcW w:type="dxa" w:w="2077"/>
          </w:tcPr>
          <w:p>
            <w:r>
              <w:rPr>
                <w:rFonts w:ascii="Times New Roman" w:hAnsi="Times New Roman"/>
                <w:sz w:val="19"/>
              </w:rPr>
              <w:t>Phase 5 (IN PROGRESS)</w:t>
            </w:r>
          </w:p>
        </w:tc>
      </w:tr>
    </w:tbl>
    <w:p>
      <w:pPr>
        <w:keepNext/>
        <w:spacing w:before="200" w:after="80"/>
      </w:pPr>
      <w:r>
        <w:rPr>
          <w:rFonts w:ascii="Times New Roman" w:hAnsi="Times New Roman"/>
          <w:b/>
          <w:color w:val="0F172A"/>
          <w:sz w:val="28"/>
        </w:rPr>
        <w:t>5.2 Mid-Semester Conclusions &amp; Empirical Reliability</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(559/569 attacks) without penalizing benign customer traffic (0/320 false flags); (2) generative honeypots running on zero-trust containerization effectively contain attacker reconnaissance; and (3) closed-loop self-healing can compile and hot-patch permanent NeMo Colang rules [6] within seconds.</w:t>
      </w:r>
    </w:p>
    <w:p>
      <w:pPr>
        <w:keepNext/>
        <w:spacing w:before="160" w:after="6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37.5%</w:t>
            </w:r>
          </w:p>
        </w:tc>
        <w:tc>
          <w:tcPr>
            <w:tcW w:type="dxa" w:w="1662"/>
          </w:tcPr>
          <w:p>
            <w:r>
              <w:rPr>
                <w:rFonts w:ascii="Times New Roman" w:hAnsi="Times New Roman"/>
                <w:sz w:val="19"/>
              </w:rPr>
              <w:t>0.0% (0/100)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62.5%</w:t>
            </w:r>
          </w:p>
        </w:tc>
        <w:tc>
          <w:tcPr>
            <w:tcW w:type="dxa" w:w="1662"/>
          </w:tcPr>
          <w:p>
            <w:r>
              <w:rPr>
                <w:rFonts w:ascii="Times New Roman" w:hAnsi="Times New Roman"/>
                <w:sz w:val="19"/>
              </w:rPr>
              <w:t>0.0% (0/100)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 [11]</w:t>
            </w:r>
          </w:p>
        </w:tc>
        <w:tc>
          <w:tcPr>
            <w:tcW w:type="dxa" w:w="1662"/>
          </w:tcPr>
          <w:p>
            <w:r>
              <w:rPr>
                <w:rFonts w:ascii="Times New Roman" w:hAnsi="Times New Roman"/>
                <w:sz w:val="19"/>
              </w:rPr>
              <w:t>JailbreakBench (100) [12]</w:t>
            </w:r>
          </w:p>
        </w:tc>
        <w:tc>
          <w:tcPr>
            <w:tcW w:type="dxa" w:w="1662"/>
          </w:tcPr>
          <w:p>
            <w:r>
              <w:rPr>
                <w:rFonts w:ascii="Times New Roman" w:hAnsi="Times New Roman"/>
                <w:sz w:val="19"/>
              </w:rPr>
              <w:t>95.8%</w:t>
            </w:r>
          </w:p>
        </w:tc>
        <w:tc>
          <w:tcPr>
            <w:tcW w:type="dxa" w:w="1662"/>
          </w:tcPr>
          <w:p>
            <w:r>
              <w:rPr>
                <w:rFonts w:ascii="Times New Roman" w:hAnsi="Times New Roman"/>
                <w:sz w:val="19"/>
              </w:rPr>
              <w:t>0.0% (0/100)</w:t>
            </w:r>
          </w:p>
        </w:tc>
        <w:tc>
          <w:tcPr>
            <w:tcW w:type="dxa" w:w="1662"/>
          </w:tcPr>
          <w:p>
            <w:r>
              <w:rPr>
                <w:rFonts w:ascii="Times New Roman" w:hAnsi="Times New Roman"/>
                <w:sz w:val="19"/>
              </w:rPr>
              <w:t>740 ms</w:t>
            </w:r>
          </w:p>
        </w:tc>
      </w:tr>
      <w:tr>
        <w:tc>
          <w:tcPr>
            <w:tcW w:type="dxa" w:w="1662"/>
          </w:tcPr>
          <w:p>
            <w:r>
              <w:rPr>
                <w:rFonts w:ascii="Times New Roman" w:hAnsi="Times New Roman"/>
                <w:sz w:val="19"/>
              </w:rPr>
              <w:t>Honey-LLM Two-Tier Sieve (Ensemble)</w:t>
            </w:r>
          </w:p>
        </w:tc>
        <w:tc>
          <w:tcPr>
            <w:tcW w:type="dxa" w:w="1662"/>
          </w:tcPr>
          <w:p>
            <w:r>
              <w:rPr>
                <w:rFonts w:ascii="Times New Roman" w:hAnsi="Times New Roman"/>
                <w:sz w:val="19"/>
              </w:rPr>
              <w:t>Curated + Wild (889)</w:t>
            </w:r>
          </w:p>
        </w:tc>
        <w:tc>
          <w:tcPr>
            <w:tcW w:type="dxa" w:w="1662"/>
          </w:tcPr>
          <w:p>
            <w:r>
              <w:rPr>
                <w:rFonts w:ascii="Times New Roman" w:hAnsi="Times New Roman"/>
                <w:sz w:val="19"/>
              </w:rPr>
              <w:t>98.3% (559/569)</w:t>
            </w:r>
          </w:p>
        </w:tc>
        <w:tc>
          <w:tcPr>
            <w:tcW w:type="dxa" w:w="1662"/>
          </w:tcPr>
          <w:p>
            <w:r>
              <w:rPr>
                <w:rFonts w:ascii="Times New Roman" w:hAnsi="Times New Roman"/>
                <w:sz w:val="19"/>
              </w:rPr>
              <w:t>0.0% (0/320)</w:t>
            </w:r>
          </w:p>
        </w:tc>
        <w:tc>
          <w:tcPr>
            <w:tcW w:type="dxa" w:w="1662"/>
          </w:tcPr>
          <w:p>
            <w:r>
              <w:rPr>
                <w:rFonts w:ascii="Times New Roman" w:hAnsi="Times New Roman"/>
                <w:sz w:val="19"/>
              </w:rPr>
              <w:t>~2.1 ms (benign)</w:t>
            </w:r>
          </w:p>
        </w:tc>
      </w:tr>
      <w:tr>
        <w:tc>
          <w:tcPr>
            <w:tcW w:type="dxa" w:w="1662"/>
          </w:tcPr>
          <w:p/>
        </w:tc>
        <w:tc>
          <w:tcPr>
            <w:tcW w:type="dxa" w:w="1662"/>
          </w:tcPr>
          <w:p/>
        </w:tc>
        <w:tc>
          <w:tcPr>
            <w:tcW w:type="dxa" w:w="1662"/>
          </w:tcPr>
          <w:p/>
        </w:tc>
        <w:tc>
          <w:tcPr>
            <w:tcW w:type="dxa" w:w="1662"/>
          </w:tcPr>
          <w:p/>
        </w:tc>
        <w:tc>
          <w:tcPr>
            <w:tcW w:type="dxa" w:w="1662"/>
          </w:tcPr>
          <w:p/>
        </w:tc>
      </w:tr>
    </w:tbl>
    <w:p>
      <w:pPr>
        <w:keepNext/>
        <w:spacing w:before="200" w:after="80"/>
      </w:pPr>
      <w:r>
        <w:rPr>
          <w:rFonts w:ascii="Times New Roman" w:hAnsi="Times New Roman"/>
          <w:b/>
          <w:color w:val="0F172A"/>
          <w:sz w:val="28"/>
        </w:rPr>
        <w:t>5.3 Economic, Social, and Environmental Benefits</w:t>
      </w:r>
    </w:p>
    <w:p>
      <w:pPr>
        <w:spacing w:line="360" w:lineRule="auto" w:after="80"/>
        <w:ind w:left="360" w:hanging="216"/>
        <w:jc w:val="both"/>
      </w:pPr>
      <w:r>
        <w:rPr>
          <w:rFonts w:ascii="Times New Roman" w:hAnsi="Times New Roman"/>
          <w:sz w:val="24"/>
        </w:rPr>
        <w:t>•  Economic Benefits: Eliminates commercial API token expenditures (~$27,000/year savings for high-throughput enterprises) and protects sensitive corporate data from exfiltration.</w:t>
      </w:r>
    </w:p>
    <w:p>
      <w:pPr>
        <w:spacing w:line="360" w:lineRule="auto" w:after="80"/>
        <w:ind w:left="360" w:hanging="216"/>
        <w:jc w:val="both"/>
      </w:pPr>
      <w:r>
        <w:rPr>
          <w:rFonts w:ascii="Times New Roman" w:hAnsi="Times New Roman"/>
          <w:sz w:val="24"/>
        </w:rPr>
        <w:t>•  Social &amp; National Security Benefits: Highly relevant for India's rapidly expanding digital public infrastructure (UPI, DigiLocker, e-governance bots), preventing malicious manipulation of public-facing citizen services.</w:t>
      </w:r>
    </w:p>
    <w:p>
      <w:pPr>
        <w:spacing w:line="360" w:lineRule="auto" w:after="80"/>
        <w:ind w:left="360" w:hanging="216"/>
        <w:jc w:val="both"/>
      </w:pPr>
      <w:r>
        <w:rPr>
          <w:rFonts w:ascii="Times New Roman" w:hAnsi="Times New Roman"/>
          <w:sz w:val="24"/>
        </w:rPr>
        <w:t>•  Environmental Benefits: Localized SLM quantization and sub-millisecond fast-path bypassing reduce cloud GPU server compute requirements by over 85%, significantly lowering the carbon footprint of AI security operations.</w:t>
      </w:r>
    </w:p>
    <w:p>
      <w:pPr>
        <w:keepNext/>
        <w:spacing w:before="200" w:after="80"/>
      </w:pPr>
      <w:r>
        <w:rPr>
          <w:rFonts w:ascii="Times New Roman" w:hAnsi="Times New Roman"/>
          <w:b/>
          <w:color w:val="0F172A"/>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spacing w:line="360" w:lineRule="auto" w:after="80"/>
        <w:ind w:left="360" w:hanging="216"/>
        <w:jc w:val="both"/>
      </w:pPr>
      <w:r>
        <w:rPr>
          <w:rFonts w:ascii="Times New Roman" w:hAnsi="Times New Roman"/>
          <w:sz w:val="24"/>
        </w:rPr>
        <w:t>•  Phase 5: Forensic Telemetry &amp; Threat Intelligence Dashboard: Finalize the sub-second polling Next.js 15 SOC dashboard, integrate live attacker dwell-time meters, and complete end-to-end visualization of attack taxonomy trends.</w:t>
      </w:r>
    </w:p>
    <w:p>
      <w:pPr>
        <w:spacing w:line="360" w:lineRule="auto" w:after="80"/>
        <w:ind w:left="360" w:hanging="216"/>
        <w:jc w:val="both"/>
      </w:pPr>
      <w:r>
        <w:rPr>
          <w:rFonts w:ascii="Times New Roman" w:hAnsi="Times New Roman"/>
          <w:sz w:val="24"/>
        </w:rPr>
        <w:t>•  Phase 6: Empirical Validation &amp; Adversarial Red-Teaming: Subject the deployed gateway to scaled Microsoft PyRIT [13] adversarial stress campaigns across 12+ prompt obfuscation converters (Base64, ROT13, Leetspeak, Unicode confusables), conduct multi-user concurrency load profiling, and author the final capstone thesis.</w:t>
      </w:r>
    </w:p>
    <w:p>
      <w:r>
        <w:br w:type="page"/>
      </w:r>
    </w:p>
    <w:p>
      <w:pPr>
        <w:keepNext/>
        <w:spacing w:before="240" w:after="120"/>
      </w:pPr>
      <w:r>
        <w:rPr>
          <w:rFonts w:ascii="Times New Roman" w:hAnsi="Times New Roman"/>
          <w:b/>
          <w:color w:val="0F172A"/>
          <w:sz w:val="32"/>
        </w:rPr>
        <w:t>APPENDIX A: REFERENCES</w:t>
      </w:r>
    </w:p>
    <w:p>
      <w:pPr>
        <w:spacing w:line="276" w:lineRule="auto" w:after="80"/>
        <w:ind w:left="576" w:hanging="576"/>
        <w:jc w:val="both"/>
      </w:pPr>
      <w:r>
        <w:rPr>
          <w:rFonts w:ascii="Times New Roman" w:hAnsi="Times New Roman"/>
          <w:sz w:val="21"/>
        </w:rPr>
        <w:t>[1] Anthropic. "Constitutional AI: Harmlessness from AI feedback." arXiv preprint arXiv:2212.08073, 2022.</w:t>
      </w:r>
    </w:p>
    <w:p>
      <w:pPr>
        <w:spacing w:line="276" w:lineRule="auto" w:after="80"/>
        <w:ind w:left="576" w:hanging="576"/>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ind w:left="576" w:hanging="576"/>
        <w:jc w:val="both"/>
      </w:pPr>
      <w:r>
        <w:rPr>
          <w:rFonts w:ascii="Times New Roman" w:hAnsi="Times New Roman"/>
          <w:sz w:val="21"/>
        </w:rPr>
        <w:t>[3] I. Goodfellow, Y. Bengio, and A. Courville. Deep Learning. Cambridge, MA, USA: MIT Press, 2016.</w:t>
      </w:r>
    </w:p>
    <w:p>
      <w:pPr>
        <w:spacing w:line="276" w:lineRule="auto" w:after="80"/>
        <w:ind w:left="576" w:hanging="576"/>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ind w:left="576" w:hanging="576"/>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ind w:left="576" w:hanging="576"/>
        <w:jc w:val="both"/>
      </w:pPr>
      <w:r>
        <w:rPr>
          <w:rFonts w:ascii="Times New Roman" w:hAnsi="Times New Roman"/>
          <w:sz w:val="21"/>
        </w:rPr>
        <w:t>[7] OpenAI. "GPT-4 Technical Report." arXiv preprint arXiv:2303.08774, 2023.</w:t>
      </w:r>
    </w:p>
    <w:p>
      <w:pPr>
        <w:spacing w:line="276" w:lineRule="auto" w:after="80"/>
        <w:ind w:left="576" w:hanging="576"/>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ind w:left="576" w:hanging="576"/>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ind w:left="576" w:hanging="576"/>
        <w:jc w:val="both"/>
      </w:pPr>
      <w:r>
        <w:rPr>
          <w:rFonts w:ascii="Times New Roman" w:hAnsi="Times New Roman"/>
          <w:sz w:val="21"/>
        </w:rPr>
        <w:t>[11] Meta AI. "Llama Guard 3: Developing safe and responsible generative AI models." Meta Research Technical Report, 2024.</w:t>
      </w:r>
    </w:p>
    <w:p>
      <w:pPr>
        <w:spacing w:line="276" w:lineRule="auto" w:after="80"/>
        <w:ind w:left="576" w:hanging="576"/>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ind w:left="576" w:hanging="576"/>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240" w:after="120"/>
      </w:pPr>
      <w:r>
        <w:rPr>
          <w:rFonts w:ascii="Times New Roman" w:hAnsi="Times New Roman"/>
          <w:b/>
          <w:color w:val="0F172A"/>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