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p>
      <w:pPr>
        <w:spacing w:line="288" w:lineRule="auto" w:after="40"/>
        <w:jc w:val="center"/>
      </w:pPr>
      <w:r>
        <w:rPr>
          <w:rFonts w:ascii="Times New Roman" w:hAnsi="Times New Roman"/>
          <w:b/>
          <w:sz w:val="24"/>
        </w:rPr>
        <w:t>(102303312) ANOUSHKA SINGH</w:t>
      </w:r>
    </w:p>
    <w:p>
      <w:pPr>
        <w:spacing w:line="288" w:lineRule="auto" w:after="40"/>
        <w:jc w:val="center"/>
      </w:pPr>
      <w:r>
        <w:rPr>
          <w:rFonts w:ascii="Times New Roman" w:hAnsi="Times New Roman"/>
          <w:b/>
          <w:sz w:val="24"/>
        </w:rPr>
        <w:t>(102303315) TARUN KRISHNA SHASTRI</w:t>
      </w:r>
    </w:p>
    <w:p>
      <w:pPr>
        <w:spacing w:line="288" w:lineRule="auto" w:after="40"/>
        <w:jc w:val="center"/>
      </w:pPr>
      <w:r>
        <w:rPr>
          <w:rFonts w:ascii="Times New Roman" w:hAnsi="Times New Roman"/>
          <w:b/>
          <w:sz w:val="24"/>
        </w:rPr>
        <w:t>(102303631) DEVANSH WADHWANI</w:t>
      </w:r>
    </w:p>
    <w:p>
      <w:pPr>
        <w:spacing w:line="288" w:lineRule="auto" w:after="40"/>
        <w:jc w:val="center"/>
      </w:pPr>
      <w:r>
        <w:rPr>
          <w:rFonts w:ascii="Times New Roman" w:hAnsi="Times New Roman"/>
          <w:b/>
          <w:sz w:val="24"/>
        </w:rPr>
        <w:t>(102303684) SHREYA GIRI</w:t>
      </w:r>
    </w:p>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evaluation set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tbl>
      <w:tblPr>
        <w:tblW w:type="auto" w:w="0"/>
        <w:jc w:val="center"/>
        <w:tblLook w:firstColumn="1" w:firstRow="1" w:lastColumn="0" w:lastRow="0" w:noHBand="0" w:noVBand="1" w:val="04A0"/>
      </w:tblPr>
      <w:tblGrid>
        <w:gridCol w:w="4154"/>
        <w:gridCol w:w="4154"/>
      </w:tblGrid>
      <w:tr>
        <w:tc>
          <w:tcPr>
            <w:tcW w:type="dxa" w:w="4154"/>
          </w:tcPr>
          <w:p>
            <w:r>
              <w:rPr>
                <w:b/>
              </w:rPr>
              <w:t>Faculty Mentor:</w:t>
            </w:r>
          </w:p>
        </w:tc>
        <w:tc>
          <w:tcPr>
            <w:tcW w:type="dxa" w:w="4154"/>
          </w:tcPr>
          <w:p>
            <w:r>
              <w:rPr>
                <w:b/>
              </w:rPr>
              <w:t>Head of Department:</w:t>
            </w:r>
          </w:p>
        </w:tc>
      </w:tr>
      <w:tr>
        <w:tc>
          <w:tcPr>
            <w:tcW w:type="dxa" w:w="4154"/>
          </w:tcPr>
          <w:p>
            <w:r>
              <w:drawing>
                <wp:inline xmlns:a="http://schemas.openxmlformats.org/drawingml/2006/main" xmlns:pic="http://schemas.openxmlformats.org/drawingml/2006/picture">
                  <wp:extent cx="1005840" cy="702082"/>
                  <wp:docPr id="1" name="Picture 1"/>
                  <wp:cNvGraphicFramePr>
                    <a:graphicFrameLocks noChangeAspect="1"/>
                  </wp:cNvGraphicFramePr>
                  <a:graphic>
                    <a:graphicData uri="http://schemas.openxmlformats.org/drawingml/2006/picture">
                      <pic:pic>
                        <pic:nvPicPr>
                          <pic:cNvPr id="0" name="saif_nalband_signature.jpg"/>
                          <pic:cNvPicPr/>
                        </pic:nvPicPr>
                        <pic:blipFill>
                          <a:blip r:embed="rId9"/>
                          <a:stretch>
                            <a:fillRect/>
                          </a:stretch>
                        </pic:blipFill>
                        <pic:spPr>
                          <a:xfrm>
                            <a:off x="0" y="0"/>
                            <a:ext cx="1005840" cy="702082"/>
                          </a:xfrm>
                          <a:prstGeom prst="rect"/>
                        </pic:spPr>
                      </pic:pic>
                    </a:graphicData>
                  </a:graphic>
                </wp:inline>
              </w:drawing>
            </w:r>
          </w:p>
        </w:tc>
        <w:tc>
          <w:tcPr>
            <w:tcW w:type="dxa" w:w="4154"/>
          </w:tcPr>
          <w:p/>
        </w:tc>
      </w:tr>
      <w:tr>
        <w:tc>
          <w:tcPr>
            <w:tcW w:type="dxa" w:w="4154"/>
          </w:tcPr>
          <w:p>
            <w:r>
              <w:rPr>
                <w:b/>
              </w:rPr>
              <w:t>Dr. Saif Nalband</w:t>
              <w:br/>
              <w:t>Assistant Professor, CSED</w:t>
              <w:br/>
              <w:t>TIET, Patiala</w:t>
            </w:r>
          </w:p>
        </w:tc>
        <w:tc>
          <w:tcPr>
            <w:tcW w:type="dxa" w:w="4154"/>
          </w:tcPr>
          <w:p>
            <w:r>
              <w:rPr>
                <w:b/>
              </w:rPr>
              <w:t>Dr. Neeraj Kumar</w:t>
              <w:br/>
              <w:t>Professor &amp; Head, CSED</w:t>
              <w:br/>
              <w:t>TIET, Patiala</w:t>
            </w:r>
          </w:p>
        </w:tc>
      </w:tr>
    </w:tbl>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0.0% FPR on benign domain traffic (0/320 benign queries flagged).</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[6],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200" w:after="60"/>
      </w:pPr>
      <w:r>
        <w:rPr>
          <w:rFonts w:ascii="Times New Roman" w:hAnsi="Times New Roman"/>
          <w:b/>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 [5].</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(such as Llama-Guard 3 8B [11])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 [9].</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 [6].</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standard benchmarks like JailbreakBench [12],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keepNext w:val="0"/>
        <w:spacing w:before="80" w:after="160"/>
        <w:jc w:val="center"/>
      </w:pPr>
      <w:r>
        <w:rPr>
          <w:rFonts w:ascii="Times New Roman" w:hAnsi="Times New Roman"/>
          <w:b/>
          <w:sz w:val="20"/>
        </w:rPr>
        <w:t>FIGURE 1.1: Honey-LLM Multi-Tier Routing and Decision Gateway Architecture</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[11]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pStyle w:val="ListBullet"/>
        <w:spacing w:line="336" w:lineRule="auto" w:after="80"/>
        <w:jc w:val="both"/>
      </w:pPr>
      <w:r>
        <w:rPr>
          <w:rFonts w:ascii="Times New Roman" w:hAnsi="Times New Roman"/>
          <w:sz w:val="24"/>
        </w:rPr>
        <w:t>1. NexTel Customer Chat Interface (/chat): Clean corporate telecom portal with zero visual indicators of the security interception layer (Figure 4.2).</w:t>
      </w:r>
    </w:p>
    <w:p>
      <w:pPr>
        <w:pStyle w:val="ListBullet"/>
        <w:spacing w:line="336" w:lineRule="auto" w:after="80"/>
        <w:jc w:val="both"/>
      </w:pPr>
      <w:r>
        <w:rPr>
          <w:rFonts w:ascii="Times New Roman" w:hAnsi="Times New Roman"/>
          <w:sz w:val="24"/>
        </w:rPr>
        <w:t>2. Admin Live Sieve Decision Tracer (/admin): Interactive test surface allowing evaluation panels to trigger sample benign and malicious prompts live, tracing Tier-0/1/2 evaluation times and sandbox quarantine routing (Figure 4.3).</w:t>
      </w:r>
    </w:p>
    <w:p>
      <w:pPr>
        <w:pStyle w:val="ListBullet"/>
        <w:spacing w:line="336" w:lineRule="auto" w:after="80"/>
        <w:jc w:val="both"/>
      </w:pPr>
      <w:r>
        <w:rPr>
          <w:rFonts w:ascii="Times New Roman" w:hAnsi="Times New Roman"/>
          <w:sz w:val="24"/>
        </w:rPr>
        <w:t>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prototype_chat_ui.png"/>
                    <pic:cNvPicPr/>
                  </pic:nvPicPr>
                  <pic:blipFill>
                    <a:blip r:embed="rId10"/>
                    <a:stretch>
                      <a:fillRect/>
                    </a:stretch>
                  </pic:blipFill>
                  <pic:spPr>
                    <a:xfrm>
                      <a:off x="0" y="0"/>
                      <a:ext cx="5029200" cy="3143250"/>
                    </a:xfrm>
                    <a:prstGeom prst="rect"/>
                  </pic:spPr>
                </pic:pic>
              </a:graphicData>
            </a:graphic>
          </wp:inline>
        </w:drawing>
      </w:r>
    </w:p>
    <w:p>
      <w:pPr>
        <w:keepNext w:val="0"/>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2856722"/>
            <wp:docPr id="3" name="Picture 3"/>
            <wp:cNvGraphicFramePr>
              <a:graphicFrameLocks noChangeAspect="1"/>
            </wp:cNvGraphicFramePr>
            <a:graphic>
              <a:graphicData uri="http://schemas.openxmlformats.org/drawingml/2006/picture">
                <pic:pic>
                  <pic:nvPicPr>
                    <pic:cNvPr id="0" name="prototype_admin_ui.png"/>
                    <pic:cNvPicPr/>
                  </pic:nvPicPr>
                  <pic:blipFill>
                    <a:blip r:embed="rId11"/>
                    <a:stretch>
                      <a:fillRect/>
                    </a:stretch>
                  </pic:blipFill>
                  <pic:spPr>
                    <a:xfrm>
                      <a:off x="0" y="0"/>
                      <a:ext cx="5029200" cy="2856722"/>
                    </a:xfrm>
                    <a:prstGeom prst="rect"/>
                  </pic:spPr>
                </pic:pic>
              </a:graphicData>
            </a:graphic>
          </wp:inline>
        </w:drawing>
      </w:r>
    </w:p>
    <w:p>
      <w:pPr>
        <w:keepNext w:val="0"/>
        <w:spacing w:before="80" w:after="160"/>
        <w:jc w:val="center"/>
      </w:pPr>
      <w:r>
        <w:rPr>
          <w:rFonts w:ascii="Times New Roman" w:hAnsi="Times New Roman"/>
          <w:b/>
          <w:sz w:val="20"/>
        </w:rPr>
        <w:t>FIGURE 4.3: Honey-LLM Admin Live Sieve Decision Tracer (/admin)</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keepNext w:val="0"/>
        <w:spacing w:before="80" w:after="160"/>
        <w:jc w:val="center"/>
      </w:pPr>
      <w:r>
        <w:rPr>
          <w:rFonts w:ascii="Times New Roman" w:hAnsi="Times New Roman"/>
          <w:b/>
          <w:sz w:val="20"/>
        </w:rPr>
        <w:t>FIGURE 4.1: Dual-Path Sequence Tracing and Autonomous Self-Healing Flow</w:t>
      </w:r>
    </w:p>
    <w:p>
      <w:pPr>
        <w:jc w:val="center"/>
      </w:pPr>
      <w:r>
        <w:drawing>
          <wp:inline xmlns:a="http://schemas.openxmlformats.org/drawingml/2006/main" xmlns:pic="http://schemas.openxmlformats.org/drawingml/2006/picture">
            <wp:extent cx="5029200" cy="2856722"/>
            <wp:docPr id="4" name="Picture 4"/>
            <wp:cNvGraphicFramePr>
              <a:graphicFrameLocks noChangeAspect="1"/>
            </wp:cNvGraphicFramePr>
            <a:graphic>
              <a:graphicData uri="http://schemas.openxmlformats.org/drawingml/2006/picture">
                <pic:pic>
                  <pic:nvPicPr>
                    <pic:cNvPr id="0" name="prototype_soc_dashboard.png"/>
                    <pic:cNvPicPr/>
                  </pic:nvPicPr>
                  <pic:blipFill>
                    <a:blip r:embed="rId12"/>
                    <a:stretch>
                      <a:fillRect/>
                    </a:stretch>
                  </pic:blipFill>
                  <pic:spPr>
                    <a:xfrm>
                      <a:off x="0" y="0"/>
                      <a:ext cx="5029200" cy="2856722"/>
                    </a:xfrm>
                    <a:prstGeom prst="rect"/>
                  </pic:spPr>
                </pic:pic>
              </a:graphicData>
            </a:graphic>
          </wp:inline>
        </w:drawing>
      </w:r>
    </w:p>
    <w:p>
      <w:pPr>
        <w:keepNext w:val="0"/>
        <w:spacing w:before="80" w:after="160"/>
        <w:jc w:val="center"/>
      </w:pPr>
      <w:r>
        <w:rPr>
          <w:rFonts w:ascii="Times New Roman" w:hAnsi="Times New Roman"/>
          <w:b/>
          <w:sz w:val="20"/>
        </w:rPr>
        <w:t>FIGURE 4.4: Dark SOC Real-Time Threat Intelligence Dashboard (/dashboard)</w:t>
      </w:r>
    </w:p>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 (559/569)</w:t>
            </w:r>
          </w:p>
        </w:tc>
        <w:tc>
          <w:tcPr>
            <w:tcW w:type="dxa" w:w="1662"/>
          </w:tcPr>
          <w:p>
            <w:r>
              <w:rPr>
                <w:rFonts w:ascii="Times New Roman" w:hAnsi="Times New Roman"/>
                <w:b/>
                <w:sz w:val="19"/>
              </w:rPr>
              <w:t>0.0% (0/320)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[13]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