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66666"/>
          <w:sz w:val="20"/>
        </w:rPr>
        <w:t>(A typical Specimen of Cover Page &amp; Title Page)</w:t>
      </w:r>
    </w:p>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tbl>
      <w:tblPr>
        <w:tblW w:type="auto" w:w="0"/>
        <w:jc w:val="center"/>
        <w:tblLook w:firstColumn="1" w:firstRow="1" w:lastColumn="0" w:lastRow="0" w:noHBand="0" w:noVBand="1" w:val="04A0"/>
      </w:tblPr>
      <w:tblGrid>
        <w:gridCol w:w="4154"/>
        <w:gridCol w:w="4154"/>
      </w:tblGrid>
      <w:tr>
        <w:tc>
          <w:tcPr>
            <w:tcW w:type="dxa" w:w="4154"/>
          </w:tcPr>
          <w:p>
            <w:pPr>
              <w:jc w:val="right"/>
            </w:pPr>
            <w:r>
              <w:rPr>
                <w:rFonts w:ascii="Times New Roman" w:hAnsi="Times New Roman"/>
                <w:sz w:val="24"/>
              </w:rPr>
              <w:t>(102303312)</w:t>
            </w:r>
          </w:p>
        </w:tc>
        <w:tc>
          <w:tcPr>
            <w:tcW w:type="dxa" w:w="4154"/>
          </w:tcPr>
          <w:p>
            <w:r>
              <w:rPr>
                <w:rFonts w:ascii="Times New Roman" w:hAnsi="Times New Roman"/>
                <w:b/>
                <w:sz w:val="24"/>
              </w:rPr>
              <w:t>ANOUSHKA SINGH</w:t>
            </w:r>
          </w:p>
        </w:tc>
      </w:tr>
      <w:tr>
        <w:tc>
          <w:tcPr>
            <w:tcW w:type="dxa" w:w="4154"/>
          </w:tcPr>
          <w:p>
            <w:pPr>
              <w:jc w:val="right"/>
            </w:pPr>
            <w:r>
              <w:rPr>
                <w:rFonts w:ascii="Times New Roman" w:hAnsi="Times New Roman"/>
                <w:sz w:val="24"/>
              </w:rPr>
              <w:t>(102303315)</w:t>
            </w:r>
          </w:p>
        </w:tc>
        <w:tc>
          <w:tcPr>
            <w:tcW w:type="dxa" w:w="4154"/>
          </w:tcPr>
          <w:p>
            <w:r>
              <w:rPr>
                <w:rFonts w:ascii="Times New Roman" w:hAnsi="Times New Roman"/>
                <w:b/>
                <w:sz w:val="24"/>
              </w:rPr>
              <w:t>TARUN KRISHNA SHASTRI</w:t>
            </w:r>
          </w:p>
        </w:tc>
      </w:tr>
      <w:tr>
        <w:tc>
          <w:tcPr>
            <w:tcW w:type="dxa" w:w="4154"/>
          </w:tcPr>
          <w:p>
            <w:pPr>
              <w:jc w:val="right"/>
            </w:pPr>
            <w:r>
              <w:rPr>
                <w:rFonts w:ascii="Times New Roman" w:hAnsi="Times New Roman"/>
                <w:sz w:val="24"/>
              </w:rPr>
              <w:t>(102303631)</w:t>
            </w:r>
          </w:p>
        </w:tc>
        <w:tc>
          <w:tcPr>
            <w:tcW w:type="dxa" w:w="4154"/>
          </w:tcPr>
          <w:p>
            <w:r>
              <w:rPr>
                <w:rFonts w:ascii="Times New Roman" w:hAnsi="Times New Roman"/>
                <w:b/>
                <w:sz w:val="24"/>
              </w:rPr>
              <w:t>DEVANSH WADHWANI</w:t>
            </w:r>
          </w:p>
        </w:tc>
      </w:tr>
      <w:tr>
        <w:tc>
          <w:tcPr>
            <w:tcW w:type="dxa" w:w="4154"/>
          </w:tcPr>
          <w:p>
            <w:pPr>
              <w:jc w:val="right"/>
            </w:pPr>
            <w:r>
              <w:rPr>
                <w:rFonts w:ascii="Times New Roman" w:hAnsi="Times New Roman"/>
                <w:sz w:val="24"/>
              </w:rPr>
              <w:t>(102303684)</w:t>
            </w:r>
          </w:p>
        </w:tc>
        <w:tc>
          <w:tcPr>
            <w:tcW w:type="dxa" w:w="4154"/>
          </w:tcPr>
          <w:p>
            <w:r>
              <w:rPr>
                <w:rFonts w:ascii="Times New Roman" w:hAnsi="Times New Roman"/>
                <w:b/>
                <w:sz w:val="24"/>
              </w:rPr>
              <w:t>SHREYA GIRI</w:t>
            </w:r>
          </w:p>
        </w:tc>
      </w:tr>
    </w:tbl>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evaluation set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p>
      <w:r>
        <w:rPr>
          <w:b/>
        </w:rPr>
        <w:t>Dr. Saif Nalband</w:t>
        <w:tab/>
        <w:tab/>
        <w:tab/>
        <w:tab/>
        <w:t>Dr. Neeraj Kumar</w:t>
        <w:br/>
        <w:t>Assistant Professor, CSED</w:t>
        <w:tab/>
        <w:tab/>
        <w:tab/>
        <w:tab/>
        <w:t>Professor &amp; Head, CSED</w:t>
        <w:br/>
        <w:t>TIET, Patiala</w:t>
        <w:tab/>
        <w:tab/>
        <w:tab/>
        <w:tab/>
        <w:t>TIET, Patiala</w:t>
      </w:r>
    </w:p>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0.0% FPR on benign domain traffic (0/320 benign queries flagged).</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[6],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200" w:after="60"/>
      </w:pPr>
      <w:r>
        <w:rPr>
          <w:rFonts w:ascii="Times New Roman" w:hAnsi="Times New Roman"/>
          <w:b/>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 [5].</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(such as Llama-Guard 3 8B [11])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 [9].</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 [6].</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standard benchmarks like JailbreakBench [12],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keepNext w:val="0"/>
        <w:spacing w:before="80" w:after="160"/>
        <w:jc w:val="center"/>
      </w:pPr>
      <w:r>
        <w:rPr>
          <w:rFonts w:ascii="Times New Roman" w:hAnsi="Times New Roman"/>
          <w:b/>
          <w:sz w:val="20"/>
        </w:rPr>
        <w:t>FIGURE 1.1: Honey-LLM Multi-Tier Routing and Decision Gateway Architecture</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[11]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user interface surfaces: (1) NexTel Customer Chat Widget (/chat): Clean corporate telecom aesthetic with zero visual indicators of the security layer; (2) Dark SOC Threat Intelligence Dashboard (/dashboard): Designed monitor for real-time attack frequency, taxonomy breakdown, detection tier ratios, and measured dwell times (Phase 5 implementation); and (3) Admin &amp; Demo Control Panel (/admin): Authenticated control surface allowing evaluation panels to trigger benign and malicious scenarios live and trace the tier-by-tier decision path in real time.</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keepNext w:val="0"/>
        <w:spacing w:before="80" w:after="160"/>
        <w:jc w:val="center"/>
      </w:pPr>
      <w:r>
        <w:rPr>
          <w:rFonts w:ascii="Times New Roman" w:hAnsi="Times New Roman"/>
          <w:b/>
          <w:sz w:val="20"/>
        </w:rPr>
        <w:t>FIGURE 4.1: Dual-Path Sequence Tracing and Autonomous Self-Healing Flow</w:t>
      </w:r>
    </w:p>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 (559/569)</w:t>
            </w:r>
          </w:p>
        </w:tc>
        <w:tc>
          <w:tcPr>
            <w:tcW w:type="dxa" w:w="1662"/>
          </w:tcPr>
          <w:p>
            <w:r>
              <w:rPr>
                <w:rFonts w:ascii="Times New Roman" w:hAnsi="Times New Roman"/>
                <w:b/>
                <w:sz w:val="19"/>
              </w:rPr>
              <w:t>0.0% (0/320)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[13]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