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HONEY-LLM: AN INTERACTIVE, SELF-HEALING HONEYPOT DEFENSE ECOSYSTEM FOR AGENTIC AI</w:t>
      </w:r>
    </w:p>
    <w:p>
      <w:pPr>
        <w:jc w:val="center"/>
      </w:pPr>
      <w:r>
        <w:rPr>
          <w:b/>
          <w:sz w:val="24"/>
        </w:rPr>
        <w:t>Capstone Project Report</w:t>
        <w:br/>
        <w:t>MID SEMESTER EVALUATION (Phases 1 to 4 Progress)</w:t>
      </w:r>
    </w:p>
    <w:p>
      <w:pPr>
        <w:jc w:val="center"/>
      </w:pPr>
      <w:r>
        <w:rPr>
          <w:b/>
          <w:sz w:val="24"/>
        </w:rPr>
        <w:t>Submitted by:</w:t>
        <w:br/>
        <w:t>(102303312) ANOUSHKA SINGH</w:t>
        <w:br/>
        <w:t>(102303315) TARUN KRISHNA SHASTRI</w:t>
        <w:br/>
        <w:t>(102303631) DEVANSH WADHWANI</w:t>
        <w:br/>
        <w:t>(102303684) SHREYA GIRI</w:t>
      </w:r>
    </w:p>
    <w:p>
      <w:pPr>
        <w:jc w:val="center"/>
      </w:pPr>
      <w:r>
        <w:rPr>
          <w:b/>
          <w:sz w:val="24"/>
        </w:rPr>
        <w:t>BE Third Year, Computer Engineering (CoE)</w:t>
        <w:br/>
        <w:t>CPG No: 75</w:t>
      </w:r>
    </w:p>
    <w:p>
      <w:pPr>
        <w:jc w:val="center"/>
      </w:pPr>
      <w:r>
        <w:rPr>
          <w:sz w:val="24"/>
        </w:rPr>
        <w:t>Under the Mentorship of:</w:t>
        <w:br/>
        <w:t>Dr. Saif Nalband</w:t>
        <w:br/>
        <w:t>Assistant Professor, Computer Science and Engineering Department</w:t>
      </w:r>
    </w:p>
    <w:p>
      <w:pPr>
        <w:jc w:val="center"/>
      </w:pPr>
      <w:r>
        <w:drawing>
          <wp:inline xmlns:a="http://schemas.openxmlformats.org/drawingml/2006/main" xmlns:pic="http://schemas.openxmlformats.org/drawingml/2006/picture">
            <wp:extent cx="1645920" cy="794905"/>
            <wp:docPr id="1" name="Picture 1"/>
            <wp:cNvGraphicFramePr>
              <a:graphicFrameLocks noChangeAspect="1"/>
            </wp:cNvGraphicFramePr>
            <a:graphic>
              <a:graphicData uri="http://schemas.openxmlformats.org/drawingml/2006/picture">
                <pic:pic>
                  <pic:nvPicPr>
                    <pic:cNvPr id="0" name="thapar_logo.png"/>
                    <pic:cNvPicPr/>
                  </pic:nvPicPr>
                  <pic:blipFill>
                    <a:blip r:embed="rId9"/>
                    <a:stretch>
                      <a:fillRect/>
                    </a:stretch>
                  </pic:blipFill>
                  <pic:spPr>
                    <a:xfrm>
                      <a:off x="0" y="0"/>
                      <a:ext cx="1645920" cy="794905"/>
                    </a:xfrm>
                    <a:prstGeom prst="rect"/>
                  </pic:spPr>
                </pic:pic>
              </a:graphicData>
            </a:graphic>
          </wp:inline>
        </w:drawing>
      </w:r>
    </w:p>
    <w:p>
      <w:pPr>
        <w:jc w:val="center"/>
      </w:pPr>
      <w:r>
        <w:rPr>
          <w:b/>
          <w:sz w:val="24"/>
        </w:rPr>
        <w:t>Computer Science and Engineering Department</w:t>
        <w:br/>
        <w:t>Thapar Institute of Engineering and Technology, Patiala</w:t>
        <w:br/>
        <w:t>August 2026</w:t>
      </w:r>
    </w:p>
    <w:p>
      <w:r>
        <w:br w:type="page"/>
      </w:r>
    </w:p>
    <w:p>
      <w:pPr>
        <w:keepNext/>
        <w:spacing w:before="240" w:after="120"/>
      </w:pPr>
      <w:r>
        <w:rPr>
          <w:rFonts w:ascii="Times New Roman" w:hAnsi="Times New Roman"/>
          <w:b/>
          <w:color w:val="0F172A"/>
          <w:sz w:val="32"/>
        </w:rPr>
        <w:t>ABSTRACT</w:t>
      </w:r>
    </w:p>
    <w:p>
      <w:pPr>
        <w:spacing w:line="360" w:lineRule="auto" w:after="120"/>
        <w:ind w:firstLine="432"/>
        <w:jc w:val="both"/>
      </w:pPr>
      <w:r>
        <w:rPr>
          <w:rFonts w:ascii="Times New Roman" w:hAnsi="Times New Roman"/>
          <w:sz w:val="24"/>
        </w:rPr>
        <w:t>As generative Artificial Intelligence and Large Language Models (LLMs) transition from exploratory conversational tools to autonomous enterprise agents capable of executing multi-turn workflows, they introduce critical security vulnerabilities. Chief among these is adversarial prompt injection, where attackers manipulate natural-language instructions to bypass safety guardrails, hijack system roles, and exfiltrate proprietary corporate assets. Conventional perimeter defenses, including static Web Application Firewalls (WAFs) and rigid keyword matchers, operate on a reactive rejection paradigm that inadvertently reveals filter boundaries to attackers while failing against multi-turn semantic chaining.</w:t>
      </w:r>
    </w:p>
    <w:p>
      <w:pPr>
        <w:spacing w:line="360" w:lineRule="auto" w:after="120"/>
        <w:ind w:firstLine="432"/>
        <w:jc w:val="both"/>
      </w:pPr>
      <w:r>
        <w:rPr>
          <w:rFonts w:ascii="Times New Roman" w:hAnsi="Times New Roman"/>
          <w:sz w:val="24"/>
        </w:rPr>
        <w:t>This capstone project presents the design, system architecture, and verified implementation of Honey-LLM, covering work completed across Phases 1 through 4 of the academic project roadmap. Specifically, the mid-semester implementation achieves four core deliverables: (1) an 8-class Adversarial Threat Taxonomy tailored to conversational enterprise agents; (2) a multi-tier Intent Sieve combining a ~2.1 ms P50 benign fast-path statistical classifier (Tier-1) with an authoritative 8B moderation model governed by a custom prompt injection policy (Llama-Guard 3 [11]), achieving a 95.8% adversarial recall on JailbreakBench [12] and 98.3% adversarial detection recall across the combined 889-sample evaluation corpus (559/569 adversarial payloads intercepted, 98.9% overall classification accuracy) while maintaining a 0.0% False Positive Rate on the benign domain evaluation split (0/320 legitimate customer queries flagged); (3) a containerized zero-trust deception sandbox termed the Mirror Maze running an LLM-driven decoy persona that dynamic-hallucinates synthetic bait to absorb attacker reconnaissance (verified with no container escapes observed across 5/5 executed penetration probes); and (4) an Autonomous Guardrail Synthesis feedback loop that distills captured exploit patterns into formal NVIDIA NeMo Colang rules [6], hot-patching live gateway policies in 10.4 seconds with zero service interruption.</w:t>
      </w:r>
    </w:p>
    <w:p>
      <w:pPr>
        <w:spacing w:line="360" w:lineRule="auto" w:after="120"/>
        <w:ind w:firstLine="432"/>
        <w:jc w:val="both"/>
      </w:pPr>
      <w:r>
        <w:rPr>
          <w:rFonts w:ascii="Times New Roman" w:hAnsi="Times New Roman"/>
          <w:sz w:val="24"/>
        </w:rPr>
        <w:t>The subsequent project lifecycle, comprising Phase 5 (Forensic Telemetry and Live SOC Threat Intelligence Dashboard visualization) and Phase 6 (Empirical Red-Teaming at scale via multi-converter Microsoft PyRIT campaigns [13] and concurrency load profiling), is established as the structured roadmap for the final semester evaluation.</w:t>
      </w:r>
    </w:p>
    <w:p>
      <w:pPr>
        <w:spacing w:line="360" w:lineRule="auto" w:after="120"/>
        <w:jc w:val="both"/>
      </w:pPr>
      <w:r>
        <w:rPr>
          <w:rFonts w:ascii="Times New Roman" w:hAnsi="Times New Roman"/>
          <w:sz w:val="24"/>
        </w:rPr>
        <w:t>Keywords: Generative AI Security, Prompt Injection, Semantic Intent Sieve, LLM Honeypot, Autonomous Guardrails, NVIDIA NeMo, Zero-Trust Containerization.</w:t>
      </w:r>
    </w:p>
    <w:p>
      <w:r>
        <w:br w:type="page"/>
      </w:r>
    </w:p>
    <w:p>
      <w:pPr>
        <w:keepNext/>
        <w:spacing w:before="240" w:after="120"/>
      </w:pPr>
      <w:r>
        <w:rPr>
          <w:rFonts w:ascii="Times New Roman" w:hAnsi="Times New Roman"/>
          <w:b/>
          <w:color w:val="0F172A"/>
          <w:sz w:val="32"/>
        </w:rPr>
        <w:t>DECLARATION</w:t>
      </w:r>
    </w:p>
    <w:p>
      <w:pPr>
        <w:spacing w:line="360" w:lineRule="auto" w:after="120"/>
        <w:ind w:firstLine="432"/>
        <w:jc w:val="both"/>
      </w:pPr>
      <w:r>
        <w:rPr>
          <w:rFonts w:ascii="Times New Roman" w:hAnsi="Times New Roman"/>
          <w:sz w:val="24"/>
        </w:rPr>
        <w:t>We hereby declare that the design principles, experimental methodologies, system implementation, and working prototype model of the capstone project entitled "HONEY-LLM: AN INTERACTIVE, SELF-HEALING HONEYPOT DEFENSE ECOSYSTEM FOR AGENTIC AI" is an authentic record of our own work completed up to Phase 4 (Autonomous Guardrail Synthesis and Policy Hardening) in the Computer Science and Engineering Department, Thapar Institute of Engineering and Technology (TIET), Patiala, under the mentorship and guidance of Dr. Saif Nalband during the academic semester (August 2026).</w:t>
      </w:r>
    </w:p>
    <w:p>
      <w:pPr>
        <w:spacing w:line="360" w:lineRule="auto" w:after="120"/>
        <w:ind w:firstLine="432"/>
        <w:jc w:val="both"/>
      </w:pPr>
      <w:r>
        <w:rPr>
          <w:rFonts w:ascii="Times New Roman" w:hAnsi="Times New Roman"/>
          <w:sz w:val="24"/>
        </w:rPr>
        <w:t>We further confirm that this report has not been submitted in part or full to any other University or Institution for the award of any degree or diploma.</w:t>
      </w:r>
    </w:p>
    <w:p>
      <w:pPr>
        <w:spacing w:line="360" w:lineRule="auto" w:after="120"/>
        <w:jc w:val="both"/>
      </w:pPr>
      <w:r>
        <w:rPr>
          <w:rFonts w:ascii="Times New Roman" w:hAnsi="Times New Roman"/>
          <w:sz w:val="24"/>
        </w:rPr>
        <w:t>Date: August 20, 2026</w:t>
      </w:r>
    </w:p>
    <w:tbl>
      <w:tblPr>
        <w:tblW w:type="auto" w:w="0"/>
        <w:jc w:val="center"/>
        <w:tblLook w:firstColumn="1" w:firstRow="1" w:lastColumn="0" w:lastRow="0" w:noHBand="0" w:noVBand="1" w:val="04A0"/>
      </w:tblPr>
      <w:tblGrid>
        <w:gridCol w:w="2770"/>
        <w:gridCol w:w="2770"/>
        <w:gridCol w:w="2770"/>
      </w:tblGrid>
      <w:tr>
        <w:tc>
          <w:tcPr>
            <w:tcW w:type="dxa" w:w="2770"/>
            <w:shd w:fill="F1F5F9"/>
          </w:tcPr>
          <w:p>
            <w:r>
              <w:rPr>
                <w:b/>
              </w:rPr>
              <w:t>Roll No.</w:t>
            </w:r>
          </w:p>
        </w:tc>
        <w:tc>
          <w:tcPr>
            <w:tcW w:type="dxa" w:w="2770"/>
            <w:shd w:fill="F1F5F9"/>
          </w:tcPr>
          <w:p>
            <w:r>
              <w:rPr>
                <w:b/>
              </w:rPr>
              <w:t>Name of Student</w:t>
            </w:r>
          </w:p>
        </w:tc>
        <w:tc>
          <w:tcPr>
            <w:tcW w:type="dxa" w:w="2770"/>
            <w:shd w:fill="F1F5F9"/>
          </w:tcPr>
          <w:p>
            <w:r>
              <w:rPr>
                <w:b/>
              </w:rPr>
              <w:t>Signature</w:t>
            </w:r>
          </w:p>
        </w:tc>
      </w:tr>
      <w:tr>
        <w:tc>
          <w:tcPr>
            <w:tcW w:type="dxa" w:w="2770"/>
          </w:tcPr>
          <w:p>
            <w:r>
              <w:rPr>
                <w:rFonts w:ascii="Times New Roman" w:hAnsi="Times New Roman"/>
                <w:sz w:val="20"/>
              </w:rPr>
              <w:t>102303312</w:t>
            </w:r>
          </w:p>
        </w:tc>
        <w:tc>
          <w:tcPr>
            <w:tcW w:type="dxa" w:w="2770"/>
          </w:tcPr>
          <w:p>
            <w:r>
              <w:rPr>
                <w:rFonts w:ascii="Times New Roman" w:hAnsi="Times New Roman"/>
                <w:sz w:val="20"/>
              </w:rPr>
              <w:t>Anoushka Singh</w:t>
            </w:r>
          </w:p>
        </w:tc>
        <w:tc>
          <w:tcPr>
            <w:tcW w:type="dxa" w:w="2770"/>
          </w:tcPr>
          <w:p>
            <w:r>
              <w:rPr>
                <w:rFonts w:ascii="Times New Roman" w:hAnsi="Times New Roman"/>
                <w:sz w:val="20"/>
              </w:rPr>
              <w:t>____________________</w:t>
            </w:r>
          </w:p>
        </w:tc>
      </w:tr>
      <w:tr>
        <w:tc>
          <w:tcPr>
            <w:tcW w:type="dxa" w:w="2770"/>
          </w:tcPr>
          <w:p>
            <w:r>
              <w:rPr>
                <w:rFonts w:ascii="Times New Roman" w:hAnsi="Times New Roman"/>
                <w:sz w:val="20"/>
              </w:rPr>
              <w:t>102303315</w:t>
            </w:r>
          </w:p>
        </w:tc>
        <w:tc>
          <w:tcPr>
            <w:tcW w:type="dxa" w:w="2770"/>
          </w:tcPr>
          <w:p>
            <w:r>
              <w:rPr>
                <w:rFonts w:ascii="Times New Roman" w:hAnsi="Times New Roman"/>
                <w:sz w:val="20"/>
              </w:rPr>
              <w:t>Tarun Krishna Shastri</w:t>
            </w:r>
          </w:p>
        </w:tc>
        <w:tc>
          <w:tcPr>
            <w:tcW w:type="dxa" w:w="2770"/>
          </w:tcPr>
          <w:p>
            <w:r>
              <w:rPr>
                <w:rFonts w:ascii="Times New Roman" w:hAnsi="Times New Roman"/>
                <w:sz w:val="20"/>
              </w:rPr>
              <w:t>____________________</w:t>
            </w:r>
          </w:p>
        </w:tc>
      </w:tr>
      <w:tr>
        <w:tc>
          <w:tcPr>
            <w:tcW w:type="dxa" w:w="2770"/>
          </w:tcPr>
          <w:p>
            <w:r>
              <w:rPr>
                <w:rFonts w:ascii="Times New Roman" w:hAnsi="Times New Roman"/>
                <w:sz w:val="20"/>
              </w:rPr>
              <w:t>102303631</w:t>
            </w:r>
          </w:p>
        </w:tc>
        <w:tc>
          <w:tcPr>
            <w:tcW w:type="dxa" w:w="2770"/>
          </w:tcPr>
          <w:p>
            <w:r>
              <w:rPr>
                <w:rFonts w:ascii="Times New Roman" w:hAnsi="Times New Roman"/>
                <w:sz w:val="20"/>
              </w:rPr>
              <w:t>Devansh Wadhwani</w:t>
            </w:r>
          </w:p>
        </w:tc>
        <w:tc>
          <w:tcPr>
            <w:tcW w:type="dxa" w:w="2770"/>
          </w:tcPr>
          <w:p>
            <w:r>
              <w:rPr>
                <w:rFonts w:ascii="Times New Roman" w:hAnsi="Times New Roman"/>
                <w:sz w:val="20"/>
              </w:rPr>
              <w:t>____________________</w:t>
            </w:r>
          </w:p>
        </w:tc>
      </w:tr>
      <w:tr>
        <w:tc>
          <w:tcPr>
            <w:tcW w:type="dxa" w:w="2770"/>
          </w:tcPr>
          <w:p>
            <w:r>
              <w:rPr>
                <w:rFonts w:ascii="Times New Roman" w:hAnsi="Times New Roman"/>
                <w:sz w:val="20"/>
              </w:rPr>
              <w:t>102303684</w:t>
            </w:r>
          </w:p>
        </w:tc>
        <w:tc>
          <w:tcPr>
            <w:tcW w:type="dxa" w:w="2770"/>
          </w:tcPr>
          <w:p>
            <w:r>
              <w:rPr>
                <w:rFonts w:ascii="Times New Roman" w:hAnsi="Times New Roman"/>
                <w:sz w:val="20"/>
              </w:rPr>
              <w:t>Shreya Giri</w:t>
            </w:r>
          </w:p>
        </w:tc>
        <w:tc>
          <w:tcPr>
            <w:tcW w:type="dxa" w:w="2770"/>
          </w:tcPr>
          <w:p>
            <w:r>
              <w:rPr>
                <w:rFonts w:ascii="Times New Roman" w:hAnsi="Times New Roman"/>
                <w:sz w:val="20"/>
              </w:rPr>
              <w:t>____________________</w:t>
            </w:r>
          </w:p>
        </w:tc>
      </w:tr>
    </w:tbl>
    <w:p>
      <w:pPr>
        <w:spacing w:before="400"/>
      </w:pPr>
    </w:p>
    <w:p>
      <w:r>
        <w:rPr>
          <w:b/>
        </w:rPr>
        <w:t>Counter Signed By:</w:t>
      </w:r>
    </w:p>
    <w:p>
      <w:r>
        <w:drawing>
          <wp:inline xmlns:a="http://schemas.openxmlformats.org/drawingml/2006/main" xmlns:pic="http://schemas.openxmlformats.org/drawingml/2006/picture">
            <wp:extent cx="1097280" cy="765908"/>
            <wp:docPr id="2" name="Picture 2"/>
            <wp:cNvGraphicFramePr>
              <a:graphicFrameLocks noChangeAspect="1"/>
            </wp:cNvGraphicFramePr>
            <a:graphic>
              <a:graphicData uri="http://schemas.openxmlformats.org/drawingml/2006/picture">
                <pic:pic>
                  <pic:nvPicPr>
                    <pic:cNvPr id="0" name="saif_nalband_signature.jpg"/>
                    <pic:cNvPicPr/>
                  </pic:nvPicPr>
                  <pic:blipFill>
                    <a:blip r:embed="rId10"/>
                    <a:stretch>
                      <a:fillRect/>
                    </a:stretch>
                  </pic:blipFill>
                  <pic:spPr>
                    <a:xfrm>
                      <a:off x="0" y="0"/>
                      <a:ext cx="1097280" cy="765908"/>
                    </a:xfrm>
                    <a:prstGeom prst="rect"/>
                  </pic:spPr>
                </pic:pic>
              </a:graphicData>
            </a:graphic>
          </wp:inline>
        </w:drawing>
      </w:r>
    </w:p>
    <w:p>
      <w:r>
        <w:rPr>
          <w:sz w:val="22"/>
        </w:rPr>
        <w:t>Dr. Saif Nalband</w:t>
        <w:br/>
        <w:t>Assistant Professor, CSED</w:t>
        <w:br/>
        <w:t>TIET, Patiala</w:t>
      </w:r>
    </w:p>
    <w:p>
      <w:r>
        <w:br w:type="page"/>
      </w:r>
    </w:p>
    <w:p>
      <w:pPr>
        <w:keepNext/>
        <w:spacing w:before="240" w:after="120"/>
      </w:pPr>
      <w:r>
        <w:rPr>
          <w:rFonts w:ascii="Times New Roman" w:hAnsi="Times New Roman"/>
          <w:b/>
          <w:color w:val="0F172A"/>
          <w:sz w:val="32"/>
        </w:rPr>
        <w:t>ACKNOWLEDGEMENT</w:t>
      </w:r>
    </w:p>
    <w:p>
      <w:pPr>
        <w:spacing w:line="360" w:lineRule="auto" w:after="120"/>
        <w:ind w:firstLine="432"/>
        <w:jc w:val="both"/>
      </w:pPr>
      <w:r>
        <w:rPr>
          <w:rFonts w:ascii="Times New Roman" w:hAnsi="Times New Roman"/>
          <w:sz w:val="24"/>
        </w:rPr>
        <w:t>We would like to express our deepest gratitude and heartfelt thanks to our respected project mentor, Dr. Saif Nalband, Assistant Professor, Computer Science and Engineering Department, Thapar Institute of Engineering and Technology, Patiala. His profound domain expertise, constructive technical criticism, constant encouragement, and intellectual guidance throughout the formulation and implementation of the initial four phases of Honey-LLM have been indispensable in steering this research to a successful milestone.</w:t>
      </w:r>
    </w:p>
    <w:p>
      <w:pPr>
        <w:spacing w:line="360" w:lineRule="auto" w:after="120"/>
        <w:ind w:firstLine="432"/>
        <w:jc w:val="both"/>
      </w:pPr>
      <w:r>
        <w:rPr>
          <w:rFonts w:ascii="Times New Roman" w:hAnsi="Times New Roman"/>
          <w:sz w:val="24"/>
        </w:rPr>
        <w:t>We extend our sincere thanks to Dr. Neeraj Kumar, Professor and Head of the Computer Science and Engineering Department, for providing state-of-the-art laboratory infrastructure, computational facilities, and an academic environment conducive to advanced systems research.</w:t>
      </w:r>
    </w:p>
    <w:p>
      <w:pPr>
        <w:spacing w:line="360" w:lineRule="auto" w:after="120"/>
        <w:ind w:firstLine="432"/>
        <w:jc w:val="both"/>
      </w:pPr>
      <w:r>
        <w:rPr>
          <w:rFonts w:ascii="Times New Roman" w:hAnsi="Times New Roman"/>
          <w:sz w:val="24"/>
        </w:rPr>
        <w:t>We also acknowledge the collective support of the faculty and technical staff of the Computer Science and Engineering Department at TIET, whose valuable academic perspectives helped refine our software architecture and evaluation methodologies. Furthermore, we are deeply grateful to our peers who supported adversarial dataset curation.</w:t>
      </w:r>
    </w:p>
    <w:p>
      <w:pPr>
        <w:spacing w:line="360" w:lineRule="auto" w:after="120"/>
        <w:ind w:firstLine="432"/>
        <w:jc w:val="both"/>
      </w:pPr>
      <w:r>
        <w:rPr>
          <w:rFonts w:ascii="Times New Roman" w:hAnsi="Times New Roman"/>
          <w:sz w:val="24"/>
        </w:rPr>
        <w:t>Lastly, we express our profound gratitude to our families and parents for their unyielding patience, emotional encouragement, and steadfast moral support throughout our academic journey.</w:t>
      </w:r>
    </w:p>
    <w:p>
      <w:pPr>
        <w:spacing w:line="360" w:lineRule="auto" w:after="120"/>
        <w:jc w:val="both"/>
      </w:pPr>
      <w:r>
        <w:rPr>
          <w:rFonts w:ascii="Times New Roman" w:hAnsi="Times New Roman"/>
          <w:sz w:val="24"/>
        </w:rPr>
        <w:t>Project Team Members:</w:t>
        <w:br/>
        <w:t>Anoushka Singh (102303312), Tarun Krishna Shastri (102303315),</w:t>
        <w:br/>
        <w:t>Devansh Wadhwani (102303631), Shreya Giri (102303684)</w:t>
      </w:r>
    </w:p>
    <w:p>
      <w:r>
        <w:br w:type="page"/>
      </w:r>
    </w:p>
    <w:p>
      <w:pPr>
        <w:keepNext/>
        <w:spacing w:before="240" w:after="120"/>
      </w:pPr>
      <w:r>
        <w:rPr>
          <w:rFonts w:ascii="Times New Roman" w:hAnsi="Times New Roman"/>
          <w:b/>
          <w:color w:val="0F172A"/>
          <w:sz w:val="32"/>
        </w:rPr>
        <w:t>TABLE OF CONTENTS</w:t>
      </w:r>
    </w:p>
    <w:p>
      <w:pPr>
        <w:spacing w:line="276" w:lineRule="auto" w:after="40"/>
      </w:pPr>
      <w:r>
        <w:rPr>
          <w:rFonts w:ascii="Times New Roman" w:hAnsi="Times New Roman"/>
          <w:b/>
          <w:sz w:val="20"/>
        </w:rPr>
        <w:t>ABSTRACT</w:t>
      </w:r>
      <w:r>
        <w:rPr>
          <w:rFonts w:ascii="Times New Roman" w:hAnsi="Times New Roman"/>
          <w:sz w:val="20"/>
        </w:rPr>
        <w:tab/>
        <w:tab/>
        <w:tab/>
        <w:tab/>
        <w:tab/>
        <w:tab/>
        <w:tab/>
        <w:t>i</w:t>
      </w:r>
    </w:p>
    <w:p>
      <w:pPr>
        <w:spacing w:line="276" w:lineRule="auto" w:after="40"/>
      </w:pPr>
      <w:r>
        <w:rPr>
          <w:rFonts w:ascii="Times New Roman" w:hAnsi="Times New Roman"/>
          <w:b/>
          <w:sz w:val="20"/>
        </w:rPr>
        <w:t>DECLARATION</w:t>
      </w:r>
      <w:r>
        <w:rPr>
          <w:rFonts w:ascii="Times New Roman" w:hAnsi="Times New Roman"/>
          <w:sz w:val="20"/>
        </w:rPr>
        <w:tab/>
        <w:tab/>
        <w:tab/>
        <w:tab/>
        <w:tab/>
        <w:tab/>
        <w:tab/>
        <w:t>ii</w:t>
      </w:r>
    </w:p>
    <w:p>
      <w:pPr>
        <w:spacing w:line="276" w:lineRule="auto" w:after="40"/>
      </w:pPr>
      <w:r>
        <w:rPr>
          <w:rFonts w:ascii="Times New Roman" w:hAnsi="Times New Roman"/>
          <w:b/>
          <w:sz w:val="20"/>
        </w:rPr>
        <w:t>ACKNOWLEDGEMENT</w:t>
      </w:r>
      <w:r>
        <w:rPr>
          <w:rFonts w:ascii="Times New Roman" w:hAnsi="Times New Roman"/>
          <w:sz w:val="20"/>
        </w:rPr>
        <w:tab/>
        <w:tab/>
        <w:tab/>
        <w:tab/>
        <w:tab/>
        <w:tab/>
        <w:tab/>
        <w:t>iii</w:t>
      </w:r>
    </w:p>
    <w:p>
      <w:pPr>
        <w:spacing w:line="276" w:lineRule="auto" w:after="40"/>
      </w:pPr>
      <w:r>
        <w:rPr>
          <w:rFonts w:ascii="Times New Roman" w:hAnsi="Times New Roman"/>
          <w:b/>
          <w:sz w:val="20"/>
        </w:rPr>
        <w:t>LIST OF TABLES</w:t>
      </w:r>
      <w:r>
        <w:rPr>
          <w:rFonts w:ascii="Times New Roman" w:hAnsi="Times New Roman"/>
          <w:sz w:val="20"/>
        </w:rPr>
        <w:tab/>
        <w:tab/>
        <w:tab/>
        <w:tab/>
        <w:tab/>
        <w:tab/>
        <w:tab/>
        <w:t>vi</w:t>
      </w:r>
    </w:p>
    <w:p>
      <w:pPr>
        <w:spacing w:line="276" w:lineRule="auto" w:after="40"/>
      </w:pPr>
      <w:r>
        <w:rPr>
          <w:rFonts w:ascii="Times New Roman" w:hAnsi="Times New Roman"/>
          <w:b/>
          <w:sz w:val="20"/>
        </w:rPr>
        <w:t>LIST OF FIGURES</w:t>
      </w:r>
      <w:r>
        <w:rPr>
          <w:rFonts w:ascii="Times New Roman" w:hAnsi="Times New Roman"/>
          <w:sz w:val="20"/>
        </w:rPr>
        <w:tab/>
        <w:tab/>
        <w:tab/>
        <w:tab/>
        <w:tab/>
        <w:tab/>
        <w:tab/>
        <w:t>vii</w:t>
      </w:r>
    </w:p>
    <w:p>
      <w:pPr>
        <w:spacing w:line="276" w:lineRule="auto" w:after="40"/>
      </w:pPr>
      <w:r>
        <w:rPr>
          <w:rFonts w:ascii="Times New Roman" w:hAnsi="Times New Roman"/>
          <w:b/>
          <w:sz w:val="20"/>
        </w:rPr>
        <w:t>LIST OF ABBREVIATIONS</w:t>
      </w:r>
      <w:r>
        <w:rPr>
          <w:rFonts w:ascii="Times New Roman" w:hAnsi="Times New Roman"/>
          <w:sz w:val="20"/>
        </w:rPr>
        <w:tab/>
        <w:tab/>
        <w:tab/>
        <w:tab/>
        <w:tab/>
        <w:tab/>
        <w:tab/>
        <w:t>viii</w:t>
      </w:r>
    </w:p>
    <w:p>
      <w:pPr>
        <w:spacing w:line="276" w:lineRule="auto" w:after="40"/>
      </w:pPr>
      <w:r>
        <w:rPr>
          <w:rFonts w:ascii="Times New Roman" w:hAnsi="Times New Roman"/>
          <w:b/>
          <w:sz w:val="20"/>
        </w:rPr>
        <w:t>CHAPTER 1: INTRODUCTION</w:t>
      </w:r>
      <w:r>
        <w:rPr>
          <w:rFonts w:ascii="Times New Roman" w:hAnsi="Times New Roman"/>
          <w:b/>
          <w:sz w:val="20"/>
        </w:rPr>
        <w:tab/>
        <w:tab/>
        <w:tab/>
        <w:tab/>
        <w:tab/>
        <w:tab/>
        <w:tab/>
        <w:t>1</w:t>
      </w:r>
    </w:p>
    <w:p>
      <w:pPr>
        <w:spacing w:line="276" w:lineRule="auto" w:after="40"/>
      </w:pPr>
      <w:r>
        <w:rPr>
          <w:rFonts w:ascii="Times New Roman" w:hAnsi="Times New Roman"/>
          <w:sz w:val="20"/>
        </w:rPr>
        <w:t xml:space="preserve">    1.1 Project Overview</w:t>
      </w:r>
      <w:r>
        <w:rPr>
          <w:rFonts w:ascii="Times New Roman" w:hAnsi="Times New Roman"/>
          <w:sz w:val="20"/>
        </w:rPr>
        <w:tab/>
        <w:tab/>
        <w:tab/>
        <w:tab/>
        <w:tab/>
        <w:tab/>
        <w:tab/>
        <w:t>1</w:t>
      </w:r>
    </w:p>
    <w:p>
      <w:pPr>
        <w:spacing w:line="276" w:lineRule="auto" w:after="40"/>
      </w:pPr>
      <w:r>
        <w:rPr>
          <w:rFonts w:ascii="Times New Roman" w:hAnsi="Times New Roman"/>
          <w:sz w:val="20"/>
        </w:rPr>
        <w:t xml:space="preserve">    1.2 Need Analysis</w:t>
      </w:r>
      <w:r>
        <w:rPr>
          <w:rFonts w:ascii="Times New Roman" w:hAnsi="Times New Roman"/>
          <w:sz w:val="20"/>
        </w:rPr>
        <w:tab/>
        <w:tab/>
        <w:tab/>
        <w:tab/>
        <w:tab/>
        <w:tab/>
        <w:tab/>
        <w:t>2</w:t>
      </w:r>
    </w:p>
    <w:p>
      <w:pPr>
        <w:spacing w:line="276" w:lineRule="auto" w:after="40"/>
      </w:pPr>
      <w:r>
        <w:rPr>
          <w:rFonts w:ascii="Times New Roman" w:hAnsi="Times New Roman"/>
          <w:sz w:val="20"/>
        </w:rPr>
        <w:t xml:space="preserve">        1.2.1 The 'Smart Mirror' Trap: Enterprise Adoption vs. Defensive Lag</w:t>
      </w:r>
      <w:r>
        <w:rPr>
          <w:rFonts w:ascii="Times New Roman" w:hAnsi="Times New Roman"/>
          <w:sz w:val="20"/>
        </w:rPr>
        <w:tab/>
        <w:tab/>
        <w:tab/>
        <w:tab/>
        <w:tab/>
        <w:tab/>
        <w:tab/>
        <w:t>2</w:t>
      </w:r>
    </w:p>
    <w:p>
      <w:pPr>
        <w:spacing w:line="276" w:lineRule="auto" w:after="40"/>
      </w:pPr>
      <w:r>
        <w:rPr>
          <w:rFonts w:ascii="Times New Roman" w:hAnsi="Times New Roman"/>
          <w:sz w:val="20"/>
        </w:rPr>
        <w:t xml:space="preserve">        1.2.2 The Shift: Machine-Speed Autonomous Warfare</w:t>
      </w:r>
      <w:r>
        <w:rPr>
          <w:rFonts w:ascii="Times New Roman" w:hAnsi="Times New Roman"/>
          <w:sz w:val="20"/>
        </w:rPr>
        <w:tab/>
        <w:tab/>
        <w:tab/>
        <w:tab/>
        <w:tab/>
        <w:tab/>
        <w:tab/>
        <w:t>3</w:t>
      </w:r>
    </w:p>
    <w:p>
      <w:pPr>
        <w:spacing w:line="276" w:lineRule="auto" w:after="40"/>
      </w:pPr>
      <w:r>
        <w:rPr>
          <w:rFonts w:ascii="Times New Roman" w:hAnsi="Times New Roman"/>
          <w:sz w:val="20"/>
        </w:rPr>
        <w:t xml:space="preserve">        1.2.3 The 'Shadow Trust' Gap: Vulnerability of the Semantic Layer</w:t>
      </w:r>
      <w:r>
        <w:rPr>
          <w:rFonts w:ascii="Times New Roman" w:hAnsi="Times New Roman"/>
          <w:sz w:val="20"/>
        </w:rPr>
        <w:tab/>
        <w:tab/>
        <w:tab/>
        <w:tab/>
        <w:tab/>
        <w:tab/>
        <w:tab/>
        <w:t>3</w:t>
      </w:r>
    </w:p>
    <w:p>
      <w:pPr>
        <w:spacing w:line="276" w:lineRule="auto" w:after="40"/>
      </w:pPr>
      <w:r>
        <w:rPr>
          <w:rFonts w:ascii="Times New Roman" w:hAnsi="Times New Roman"/>
          <w:sz w:val="20"/>
        </w:rPr>
        <w:t xml:space="preserve">        1.2.4 The Dynamic Security Window: Addressing Reactive Lag</w:t>
      </w:r>
      <w:r>
        <w:rPr>
          <w:rFonts w:ascii="Times New Roman" w:hAnsi="Times New Roman"/>
          <w:sz w:val="20"/>
        </w:rPr>
        <w:tab/>
        <w:tab/>
        <w:tab/>
        <w:tab/>
        <w:tab/>
        <w:tab/>
        <w:tab/>
        <w:t>3</w:t>
      </w:r>
    </w:p>
    <w:p>
      <w:pPr>
        <w:spacing w:line="276" w:lineRule="auto" w:after="40"/>
      </w:pPr>
      <w:r>
        <w:rPr>
          <w:rFonts w:ascii="Times New Roman" w:hAnsi="Times New Roman"/>
          <w:sz w:val="20"/>
        </w:rPr>
        <w:t xml:space="preserve">    1.3 Research Gaps</w:t>
      </w:r>
      <w:r>
        <w:rPr>
          <w:rFonts w:ascii="Times New Roman" w:hAnsi="Times New Roman"/>
          <w:sz w:val="20"/>
        </w:rPr>
        <w:tab/>
        <w:tab/>
        <w:tab/>
        <w:tab/>
        <w:tab/>
        <w:tab/>
        <w:tab/>
        <w:t>3</w:t>
      </w:r>
    </w:p>
    <w:p>
      <w:pPr>
        <w:spacing w:line="276" w:lineRule="auto" w:after="40"/>
      </w:pPr>
      <w:r>
        <w:rPr>
          <w:rFonts w:ascii="Times New Roman" w:hAnsi="Times New Roman"/>
          <w:sz w:val="20"/>
        </w:rPr>
        <w:t xml:space="preserve">    1.4 Problem Definition and Scope</w:t>
      </w:r>
      <w:r>
        <w:rPr>
          <w:rFonts w:ascii="Times New Roman" w:hAnsi="Times New Roman"/>
          <w:sz w:val="20"/>
        </w:rPr>
        <w:tab/>
        <w:tab/>
        <w:tab/>
        <w:tab/>
        <w:tab/>
        <w:tab/>
        <w:tab/>
        <w:t>4</w:t>
      </w:r>
    </w:p>
    <w:p>
      <w:pPr>
        <w:spacing w:line="276" w:lineRule="auto" w:after="40"/>
      </w:pPr>
      <w:r>
        <w:rPr>
          <w:rFonts w:ascii="Times New Roman" w:hAnsi="Times New Roman"/>
          <w:sz w:val="20"/>
        </w:rPr>
        <w:t xml:space="preserve">    1.5 Assumptions and Constraints</w:t>
      </w:r>
      <w:r>
        <w:rPr>
          <w:rFonts w:ascii="Times New Roman" w:hAnsi="Times New Roman"/>
          <w:sz w:val="20"/>
        </w:rPr>
        <w:tab/>
        <w:tab/>
        <w:tab/>
        <w:tab/>
        <w:tab/>
        <w:tab/>
        <w:tab/>
        <w:t>4</w:t>
      </w:r>
    </w:p>
    <w:p>
      <w:pPr>
        <w:spacing w:line="276" w:lineRule="auto" w:after="40"/>
      </w:pPr>
      <w:r>
        <w:rPr>
          <w:rFonts w:ascii="Times New Roman" w:hAnsi="Times New Roman"/>
          <w:sz w:val="20"/>
        </w:rPr>
        <w:t xml:space="preserve">    1.6 Applicable Standards</w:t>
      </w:r>
      <w:r>
        <w:rPr>
          <w:rFonts w:ascii="Times New Roman" w:hAnsi="Times New Roman"/>
          <w:sz w:val="20"/>
        </w:rPr>
        <w:tab/>
        <w:tab/>
        <w:tab/>
        <w:tab/>
        <w:tab/>
        <w:tab/>
        <w:tab/>
        <w:t>5</w:t>
      </w:r>
    </w:p>
    <w:p>
      <w:pPr>
        <w:spacing w:line="276" w:lineRule="auto" w:after="40"/>
      </w:pPr>
      <w:r>
        <w:rPr>
          <w:rFonts w:ascii="Times New Roman" w:hAnsi="Times New Roman"/>
          <w:sz w:val="20"/>
        </w:rPr>
        <w:t xml:space="preserve">    1.7 Approved Objectives (Proposal Evaluation)</w:t>
      </w:r>
      <w:r>
        <w:rPr>
          <w:rFonts w:ascii="Times New Roman" w:hAnsi="Times New Roman"/>
          <w:sz w:val="20"/>
        </w:rPr>
        <w:tab/>
        <w:tab/>
        <w:tab/>
        <w:tab/>
        <w:tab/>
        <w:tab/>
        <w:tab/>
        <w:t>5</w:t>
      </w:r>
    </w:p>
    <w:p>
      <w:pPr>
        <w:spacing w:line="276" w:lineRule="auto" w:after="40"/>
      </w:pPr>
      <w:r>
        <w:rPr>
          <w:rFonts w:ascii="Times New Roman" w:hAnsi="Times New Roman"/>
          <w:sz w:val="20"/>
        </w:rPr>
        <w:t xml:space="preserve">    1.8 Methodology Overview (Phases 1 to 4 Scope)</w:t>
      </w:r>
      <w:r>
        <w:rPr>
          <w:rFonts w:ascii="Times New Roman" w:hAnsi="Times New Roman"/>
          <w:sz w:val="20"/>
        </w:rPr>
        <w:tab/>
        <w:tab/>
        <w:tab/>
        <w:tab/>
        <w:tab/>
        <w:tab/>
        <w:tab/>
        <w:t>6</w:t>
      </w:r>
    </w:p>
    <w:p>
      <w:pPr>
        <w:spacing w:line="276" w:lineRule="auto" w:after="40"/>
      </w:pPr>
      <w:r>
        <w:rPr>
          <w:rFonts w:ascii="Times New Roman" w:hAnsi="Times New Roman"/>
          <w:sz w:val="20"/>
        </w:rPr>
        <w:t xml:space="preserve">    1.9 Mid-Semester Outcomes and Deliverables</w:t>
      </w:r>
      <w:r>
        <w:rPr>
          <w:rFonts w:ascii="Times New Roman" w:hAnsi="Times New Roman"/>
          <w:sz w:val="20"/>
        </w:rPr>
        <w:tab/>
        <w:tab/>
        <w:tab/>
        <w:tab/>
        <w:tab/>
        <w:tab/>
        <w:tab/>
        <w:t>6</w:t>
      </w:r>
    </w:p>
    <w:p>
      <w:pPr>
        <w:spacing w:line="276" w:lineRule="auto" w:after="40"/>
      </w:pPr>
      <w:r>
        <w:rPr>
          <w:rFonts w:ascii="Times New Roman" w:hAnsi="Times New Roman"/>
          <w:sz w:val="20"/>
        </w:rPr>
        <w:t xml:space="preserve">    1.10 Novelty of Work</w:t>
      </w:r>
      <w:r>
        <w:rPr>
          <w:rFonts w:ascii="Times New Roman" w:hAnsi="Times New Roman"/>
          <w:sz w:val="20"/>
        </w:rPr>
        <w:tab/>
        <w:tab/>
        <w:tab/>
        <w:tab/>
        <w:tab/>
        <w:tab/>
        <w:tab/>
        <w:t>6</w:t>
      </w:r>
    </w:p>
    <w:p>
      <w:pPr>
        <w:spacing w:line="276" w:lineRule="auto" w:after="40"/>
      </w:pPr>
      <w:r>
        <w:rPr>
          <w:rFonts w:ascii="Times New Roman" w:hAnsi="Times New Roman"/>
          <w:b/>
          <w:sz w:val="20"/>
        </w:rPr>
        <w:t>CHAPTER 2: REQUIREMENT ANALYSIS</w:t>
      </w:r>
      <w:r>
        <w:rPr>
          <w:rFonts w:ascii="Times New Roman" w:hAnsi="Times New Roman"/>
          <w:b/>
          <w:sz w:val="20"/>
        </w:rPr>
        <w:tab/>
        <w:tab/>
        <w:tab/>
        <w:tab/>
        <w:tab/>
        <w:tab/>
        <w:tab/>
        <w:t>8</w:t>
      </w:r>
    </w:p>
    <w:p>
      <w:pPr>
        <w:spacing w:line="276" w:lineRule="auto" w:after="40"/>
      </w:pPr>
      <w:r>
        <w:rPr>
          <w:rFonts w:ascii="Times New Roman" w:hAnsi="Times New Roman"/>
          <w:sz w:val="20"/>
        </w:rPr>
        <w:t xml:space="preserve">    2.1 Literature Survey</w:t>
      </w:r>
      <w:r>
        <w:rPr>
          <w:rFonts w:ascii="Times New Roman" w:hAnsi="Times New Roman"/>
          <w:sz w:val="20"/>
        </w:rPr>
        <w:tab/>
        <w:tab/>
        <w:tab/>
        <w:tab/>
        <w:tab/>
        <w:tab/>
        <w:tab/>
        <w:t>8</w:t>
      </w:r>
    </w:p>
    <w:p>
      <w:pPr>
        <w:spacing w:line="276" w:lineRule="auto" w:after="40"/>
      </w:pPr>
      <w:r>
        <w:rPr>
          <w:rFonts w:ascii="Times New Roman" w:hAnsi="Times New Roman"/>
          <w:sz w:val="20"/>
        </w:rPr>
        <w:t xml:space="preserve">        2.1.1 Theory Associated With Problem Area</w:t>
      </w:r>
      <w:r>
        <w:rPr>
          <w:rFonts w:ascii="Times New Roman" w:hAnsi="Times New Roman"/>
          <w:sz w:val="20"/>
        </w:rPr>
        <w:tab/>
        <w:tab/>
        <w:tab/>
        <w:tab/>
        <w:tab/>
        <w:tab/>
        <w:tab/>
        <w:t>8</w:t>
      </w:r>
    </w:p>
    <w:p>
      <w:pPr>
        <w:spacing w:line="276" w:lineRule="auto" w:after="40"/>
      </w:pPr>
      <w:r>
        <w:rPr>
          <w:rFonts w:ascii="Times New Roman" w:hAnsi="Times New Roman"/>
          <w:sz w:val="20"/>
        </w:rPr>
        <w:t xml:space="preserve">        2.1.2 Existing Systems and Solutions</w:t>
      </w:r>
      <w:r>
        <w:rPr>
          <w:rFonts w:ascii="Times New Roman" w:hAnsi="Times New Roman"/>
          <w:sz w:val="20"/>
        </w:rPr>
        <w:tab/>
        <w:tab/>
        <w:tab/>
        <w:tab/>
        <w:tab/>
        <w:tab/>
        <w:tab/>
        <w:t>8</w:t>
      </w:r>
    </w:p>
    <w:p>
      <w:pPr>
        <w:spacing w:line="276" w:lineRule="auto" w:after="40"/>
      </w:pPr>
      <w:r>
        <w:rPr>
          <w:rFonts w:ascii="Times New Roman" w:hAnsi="Times New Roman"/>
          <w:sz w:val="20"/>
        </w:rPr>
        <w:t xml:space="preserve">        2.1.3 Research Findings for Existing Literature</w:t>
      </w:r>
      <w:r>
        <w:rPr>
          <w:rFonts w:ascii="Times New Roman" w:hAnsi="Times New Roman"/>
          <w:sz w:val="20"/>
        </w:rPr>
        <w:tab/>
        <w:tab/>
        <w:tab/>
        <w:tab/>
        <w:tab/>
        <w:tab/>
        <w:tab/>
        <w:t>8</w:t>
      </w:r>
    </w:p>
    <w:p>
      <w:pPr>
        <w:spacing w:line="276" w:lineRule="auto" w:after="40"/>
      </w:pPr>
      <w:r>
        <w:rPr>
          <w:rFonts w:ascii="Times New Roman" w:hAnsi="Times New Roman"/>
          <w:sz w:val="20"/>
        </w:rPr>
        <w:t xml:space="preserve">        2.1.4 Problems Identified in State of the Art</w:t>
      </w:r>
      <w:r>
        <w:rPr>
          <w:rFonts w:ascii="Times New Roman" w:hAnsi="Times New Roman"/>
          <w:sz w:val="20"/>
        </w:rPr>
        <w:tab/>
        <w:tab/>
        <w:tab/>
        <w:tab/>
        <w:tab/>
        <w:tab/>
        <w:tab/>
        <w:t>9</w:t>
      </w:r>
    </w:p>
    <w:p>
      <w:pPr>
        <w:spacing w:line="276" w:lineRule="auto" w:after="40"/>
      </w:pPr>
      <w:r>
        <w:rPr>
          <w:rFonts w:ascii="Times New Roman" w:hAnsi="Times New Roman"/>
          <w:sz w:val="20"/>
        </w:rPr>
        <w:t xml:space="preserve">        2.1.5 Survey of Tools and Technologies Used</w:t>
      </w:r>
      <w:r>
        <w:rPr>
          <w:rFonts w:ascii="Times New Roman" w:hAnsi="Times New Roman"/>
          <w:sz w:val="20"/>
        </w:rPr>
        <w:tab/>
        <w:tab/>
        <w:tab/>
        <w:tab/>
        <w:tab/>
        <w:tab/>
        <w:tab/>
        <w:t>9</w:t>
      </w:r>
    </w:p>
    <w:p>
      <w:pPr>
        <w:spacing w:line="276" w:lineRule="auto" w:after="40"/>
      </w:pPr>
      <w:r>
        <w:rPr>
          <w:rFonts w:ascii="Times New Roman" w:hAnsi="Times New Roman"/>
          <w:sz w:val="20"/>
        </w:rPr>
        <w:t xml:space="preserve">    2.2 Software Requirement Specification (SRS)</w:t>
      </w:r>
      <w:r>
        <w:rPr>
          <w:rFonts w:ascii="Times New Roman" w:hAnsi="Times New Roman"/>
          <w:sz w:val="20"/>
        </w:rPr>
        <w:tab/>
        <w:tab/>
        <w:tab/>
        <w:tab/>
        <w:tab/>
        <w:tab/>
        <w:tab/>
        <w:t>9</w:t>
      </w:r>
    </w:p>
    <w:p>
      <w:pPr>
        <w:spacing w:line="276" w:lineRule="auto" w:after="40"/>
      </w:pPr>
      <w:r>
        <w:rPr>
          <w:rFonts w:ascii="Times New Roman" w:hAnsi="Times New Roman"/>
          <w:sz w:val="20"/>
        </w:rPr>
        <w:t xml:space="preserve">        2.2.1 Introduction &amp; Scope</w:t>
      </w:r>
      <w:r>
        <w:rPr>
          <w:rFonts w:ascii="Times New Roman" w:hAnsi="Times New Roman"/>
          <w:sz w:val="20"/>
        </w:rPr>
        <w:tab/>
        <w:tab/>
        <w:tab/>
        <w:tab/>
        <w:tab/>
        <w:tab/>
        <w:tab/>
        <w:t>9</w:t>
      </w:r>
    </w:p>
    <w:p>
      <w:pPr>
        <w:spacing w:line="276" w:lineRule="auto" w:after="40"/>
      </w:pPr>
      <w:r>
        <w:rPr>
          <w:rFonts w:ascii="Times New Roman" w:hAnsi="Times New Roman"/>
          <w:sz w:val="20"/>
        </w:rPr>
        <w:t xml:space="preserve">        2.2.2 Overall Product Description &amp; Features</w:t>
      </w:r>
      <w:r>
        <w:rPr>
          <w:rFonts w:ascii="Times New Roman" w:hAnsi="Times New Roman"/>
          <w:sz w:val="20"/>
        </w:rPr>
        <w:tab/>
        <w:tab/>
        <w:tab/>
        <w:tab/>
        <w:tab/>
        <w:tab/>
        <w:tab/>
        <w:t>9</w:t>
      </w:r>
    </w:p>
    <w:p>
      <w:pPr>
        <w:spacing w:line="276" w:lineRule="auto" w:after="40"/>
      </w:pPr>
      <w:r>
        <w:rPr>
          <w:rFonts w:ascii="Times New Roman" w:hAnsi="Times New Roman"/>
          <w:sz w:val="20"/>
        </w:rPr>
        <w:t xml:space="preserve">        2.2.3 External Interface Requirements</w:t>
      </w:r>
      <w:r>
        <w:rPr>
          <w:rFonts w:ascii="Times New Roman" w:hAnsi="Times New Roman"/>
          <w:sz w:val="20"/>
        </w:rPr>
        <w:tab/>
        <w:tab/>
        <w:tab/>
        <w:tab/>
        <w:tab/>
        <w:tab/>
        <w:tab/>
        <w:t>10</w:t>
      </w:r>
    </w:p>
    <w:p>
      <w:pPr>
        <w:spacing w:line="276" w:lineRule="auto" w:after="40"/>
      </w:pPr>
      <w:r>
        <w:rPr>
          <w:rFonts w:ascii="Times New Roman" w:hAnsi="Times New Roman"/>
          <w:sz w:val="20"/>
        </w:rPr>
        <w:t xml:space="preserve">        2.2.4 Non-Functional Requirements</w:t>
      </w:r>
      <w:r>
        <w:rPr>
          <w:rFonts w:ascii="Times New Roman" w:hAnsi="Times New Roman"/>
          <w:sz w:val="20"/>
        </w:rPr>
        <w:tab/>
        <w:tab/>
        <w:tab/>
        <w:tab/>
        <w:tab/>
        <w:tab/>
        <w:tab/>
        <w:t>10</w:t>
      </w:r>
    </w:p>
    <w:p>
      <w:pPr>
        <w:spacing w:line="276" w:lineRule="auto" w:after="40"/>
      </w:pPr>
      <w:r>
        <w:rPr>
          <w:rFonts w:ascii="Times New Roman" w:hAnsi="Times New Roman"/>
          <w:sz w:val="20"/>
        </w:rPr>
        <w:t xml:space="preserve">    2.3 Cost &amp; Computational Feasibility Analysis</w:t>
      </w:r>
      <w:r>
        <w:rPr>
          <w:rFonts w:ascii="Times New Roman" w:hAnsi="Times New Roman"/>
          <w:sz w:val="20"/>
        </w:rPr>
        <w:tab/>
        <w:tab/>
        <w:tab/>
        <w:tab/>
        <w:tab/>
        <w:tab/>
        <w:tab/>
        <w:t>10</w:t>
      </w:r>
    </w:p>
    <w:p>
      <w:pPr>
        <w:spacing w:line="276" w:lineRule="auto" w:after="40"/>
      </w:pPr>
      <w:r>
        <w:rPr>
          <w:rFonts w:ascii="Times New Roman" w:hAnsi="Times New Roman"/>
          <w:sz w:val="20"/>
        </w:rPr>
        <w:t xml:space="preserve">    2.4 Risk Analysis and Mitigation Strategies</w:t>
      </w:r>
      <w:r>
        <w:rPr>
          <w:rFonts w:ascii="Times New Roman" w:hAnsi="Times New Roman"/>
          <w:sz w:val="20"/>
        </w:rPr>
        <w:tab/>
        <w:tab/>
        <w:tab/>
        <w:tab/>
        <w:tab/>
        <w:tab/>
        <w:tab/>
        <w:t>10</w:t>
      </w:r>
    </w:p>
    <w:p>
      <w:pPr>
        <w:spacing w:line="276" w:lineRule="auto" w:after="40"/>
      </w:pPr>
      <w:r>
        <w:rPr>
          <w:rFonts w:ascii="Times New Roman" w:hAnsi="Times New Roman"/>
          <w:b/>
          <w:sz w:val="20"/>
        </w:rPr>
        <w:t>CHAPTER 3: METHODOLOGY ADOPTED</w:t>
      </w:r>
      <w:r>
        <w:rPr>
          <w:rFonts w:ascii="Times New Roman" w:hAnsi="Times New Roman"/>
          <w:b/>
          <w:sz w:val="20"/>
        </w:rPr>
        <w:tab/>
        <w:tab/>
        <w:tab/>
        <w:tab/>
        <w:tab/>
        <w:tab/>
        <w:tab/>
        <w:t>11</w:t>
      </w:r>
    </w:p>
    <w:p>
      <w:pPr>
        <w:spacing w:line="276" w:lineRule="auto" w:after="40"/>
      </w:pPr>
      <w:r>
        <w:rPr>
          <w:rFonts w:ascii="Times New Roman" w:hAnsi="Times New Roman"/>
          <w:sz w:val="20"/>
        </w:rPr>
        <w:t xml:space="preserve">    3.1 Investigative Techniques &amp; 0.0% FPR Analysis</w:t>
      </w:r>
      <w:r>
        <w:rPr>
          <w:rFonts w:ascii="Times New Roman" w:hAnsi="Times New Roman"/>
          <w:sz w:val="20"/>
        </w:rPr>
        <w:tab/>
        <w:tab/>
        <w:tab/>
        <w:tab/>
        <w:tab/>
        <w:tab/>
        <w:tab/>
        <w:t>11</w:t>
      </w:r>
    </w:p>
    <w:p>
      <w:pPr>
        <w:spacing w:line="276" w:lineRule="auto" w:after="40"/>
      </w:pPr>
      <w:r>
        <w:rPr>
          <w:rFonts w:ascii="Times New Roman" w:hAnsi="Times New Roman"/>
          <w:sz w:val="20"/>
        </w:rPr>
        <w:t xml:space="preserve">    3.2 Proposed Solution &amp; Multi-Tier Architecture</w:t>
      </w:r>
      <w:r>
        <w:rPr>
          <w:rFonts w:ascii="Times New Roman" w:hAnsi="Times New Roman"/>
          <w:sz w:val="20"/>
        </w:rPr>
        <w:tab/>
        <w:tab/>
        <w:tab/>
        <w:tab/>
        <w:tab/>
        <w:tab/>
        <w:tab/>
        <w:t>11</w:t>
      </w:r>
    </w:p>
    <w:p>
      <w:pPr>
        <w:spacing w:line="276" w:lineRule="auto" w:after="40"/>
      </w:pPr>
      <w:r>
        <w:rPr>
          <w:rFonts w:ascii="Times New Roman" w:hAnsi="Times New Roman"/>
          <w:sz w:val="20"/>
        </w:rPr>
        <w:t xml:space="preserve">    3.3 Work Breakdown Structure (Phases 1 to 4 Completed)</w:t>
      </w:r>
      <w:r>
        <w:rPr>
          <w:rFonts w:ascii="Times New Roman" w:hAnsi="Times New Roman"/>
          <w:sz w:val="20"/>
        </w:rPr>
        <w:tab/>
        <w:tab/>
        <w:tab/>
        <w:tab/>
        <w:tab/>
        <w:tab/>
        <w:tab/>
        <w:t>12</w:t>
      </w:r>
    </w:p>
    <w:p>
      <w:pPr>
        <w:spacing w:line="276" w:lineRule="auto" w:after="40"/>
      </w:pPr>
      <w:r>
        <w:rPr>
          <w:rFonts w:ascii="Times New Roman" w:hAnsi="Times New Roman"/>
          <w:sz w:val="20"/>
        </w:rPr>
        <w:t xml:space="preserve">    3.4 Enterprise Hardware, Software, and Framework Stack</w:t>
      </w:r>
      <w:r>
        <w:rPr>
          <w:rFonts w:ascii="Times New Roman" w:hAnsi="Times New Roman"/>
          <w:sz w:val="20"/>
        </w:rPr>
        <w:tab/>
        <w:tab/>
        <w:tab/>
        <w:tab/>
        <w:tab/>
        <w:tab/>
        <w:tab/>
        <w:t>12</w:t>
      </w:r>
    </w:p>
    <w:p>
      <w:pPr>
        <w:spacing w:line="276" w:lineRule="auto" w:after="40"/>
      </w:pPr>
      <w:r>
        <w:rPr>
          <w:rFonts w:ascii="Times New Roman" w:hAnsi="Times New Roman"/>
          <w:sz w:val="20"/>
        </w:rPr>
        <w:t xml:space="preserve">    3.5 UML Sequence Model for Interception Flow</w:t>
      </w:r>
      <w:r>
        <w:rPr>
          <w:rFonts w:ascii="Times New Roman" w:hAnsi="Times New Roman"/>
          <w:sz w:val="20"/>
        </w:rPr>
        <w:tab/>
        <w:tab/>
        <w:tab/>
        <w:tab/>
        <w:tab/>
        <w:tab/>
        <w:tab/>
        <w:t>13</w:t>
      </w:r>
    </w:p>
    <w:p>
      <w:pPr>
        <w:spacing w:line="276" w:lineRule="auto" w:after="40"/>
      </w:pPr>
      <w:r>
        <w:rPr>
          <w:rFonts w:ascii="Times New Roman" w:hAnsi="Times New Roman"/>
          <w:b/>
          <w:sz w:val="20"/>
        </w:rPr>
        <w:t>CHAPTER 4: DESIGN SPECIFICATIONS</w:t>
      </w:r>
      <w:r>
        <w:rPr>
          <w:rFonts w:ascii="Times New Roman" w:hAnsi="Times New Roman"/>
          <w:b/>
          <w:sz w:val="20"/>
        </w:rPr>
        <w:tab/>
        <w:tab/>
        <w:tab/>
        <w:tab/>
        <w:tab/>
        <w:tab/>
        <w:tab/>
        <w:t>14</w:t>
      </w:r>
    </w:p>
    <w:p>
      <w:pPr>
        <w:spacing w:line="276" w:lineRule="auto" w:after="40"/>
      </w:pPr>
      <w:r>
        <w:rPr>
          <w:rFonts w:ascii="Times New Roman" w:hAnsi="Times New Roman"/>
          <w:sz w:val="20"/>
        </w:rPr>
        <w:t xml:space="preserve">    4.1 System Architecture &amp; Sieve Gateway Flow</w:t>
      </w:r>
      <w:r>
        <w:rPr>
          <w:rFonts w:ascii="Times New Roman" w:hAnsi="Times New Roman"/>
          <w:sz w:val="20"/>
        </w:rPr>
        <w:tab/>
        <w:tab/>
        <w:tab/>
        <w:tab/>
        <w:tab/>
        <w:tab/>
        <w:tab/>
        <w:t>14</w:t>
      </w:r>
    </w:p>
    <w:p>
      <w:pPr>
        <w:spacing w:line="276" w:lineRule="auto" w:after="40"/>
      </w:pPr>
      <w:r>
        <w:rPr>
          <w:rFonts w:ascii="Times New Roman" w:hAnsi="Times New Roman"/>
          <w:sz w:val="20"/>
        </w:rPr>
        <w:t xml:space="preserve">    4.2 Threat Taxonomy &amp; Sticky Quarantine State Machine</w:t>
      </w:r>
      <w:r>
        <w:rPr>
          <w:rFonts w:ascii="Times New Roman" w:hAnsi="Times New Roman"/>
          <w:sz w:val="20"/>
        </w:rPr>
        <w:tab/>
        <w:tab/>
        <w:tab/>
        <w:tab/>
        <w:tab/>
        <w:tab/>
        <w:tab/>
        <w:t>14</w:t>
      </w:r>
    </w:p>
    <w:p>
      <w:pPr>
        <w:spacing w:line="276" w:lineRule="auto" w:after="40"/>
      </w:pPr>
      <w:r>
        <w:rPr>
          <w:rFonts w:ascii="Times New Roman" w:hAnsi="Times New Roman"/>
          <w:sz w:val="20"/>
        </w:rPr>
        <w:t xml:space="preserve">    4.3 User Interface Specifications &amp; Designed Surfaces</w:t>
      </w:r>
      <w:r>
        <w:rPr>
          <w:rFonts w:ascii="Times New Roman" w:hAnsi="Times New Roman"/>
          <w:sz w:val="20"/>
        </w:rPr>
        <w:tab/>
        <w:tab/>
        <w:tab/>
        <w:tab/>
        <w:tab/>
        <w:tab/>
        <w:tab/>
        <w:t>15</w:t>
      </w:r>
    </w:p>
    <w:p>
      <w:pPr>
        <w:spacing w:line="276" w:lineRule="auto" w:after="40"/>
      </w:pPr>
      <w:r>
        <w:rPr>
          <w:rFonts w:ascii="Times New Roman" w:hAnsi="Times New Roman"/>
          <w:sz w:val="20"/>
        </w:rPr>
        <w:t xml:space="preserve">    4.4 Working Prototype Execution (Phases 1 to 4 Verified)</w:t>
      </w:r>
      <w:r>
        <w:rPr>
          <w:rFonts w:ascii="Times New Roman" w:hAnsi="Times New Roman"/>
          <w:sz w:val="20"/>
        </w:rPr>
        <w:tab/>
        <w:tab/>
        <w:tab/>
        <w:tab/>
        <w:tab/>
        <w:tab/>
        <w:tab/>
        <w:t>16</w:t>
      </w:r>
    </w:p>
    <w:p>
      <w:pPr>
        <w:spacing w:line="276" w:lineRule="auto" w:after="40"/>
      </w:pPr>
      <w:r>
        <w:rPr>
          <w:rFonts w:ascii="Times New Roman" w:hAnsi="Times New Roman"/>
          <w:b/>
          <w:sz w:val="20"/>
        </w:rPr>
        <w:t>CHAPTER 5: CONCLUSIONS AND FUTURE SCOPE</w:t>
      </w:r>
      <w:r>
        <w:rPr>
          <w:rFonts w:ascii="Times New Roman" w:hAnsi="Times New Roman"/>
          <w:b/>
          <w:sz w:val="20"/>
        </w:rPr>
        <w:tab/>
        <w:tab/>
        <w:tab/>
        <w:tab/>
        <w:tab/>
        <w:tab/>
        <w:tab/>
        <w:t>18</w:t>
      </w:r>
    </w:p>
    <w:p>
      <w:pPr>
        <w:spacing w:line="276" w:lineRule="auto" w:after="40"/>
      </w:pPr>
      <w:r>
        <w:rPr>
          <w:rFonts w:ascii="Times New Roman" w:hAnsi="Times New Roman"/>
          <w:sz w:val="20"/>
        </w:rPr>
        <w:t xml:space="preserve">    5.1 Mid-Semester Accomplishments vs. Approved Objectives</w:t>
      </w:r>
      <w:r>
        <w:rPr>
          <w:rFonts w:ascii="Times New Roman" w:hAnsi="Times New Roman"/>
          <w:sz w:val="20"/>
        </w:rPr>
        <w:tab/>
        <w:tab/>
        <w:tab/>
        <w:tab/>
        <w:tab/>
        <w:tab/>
        <w:tab/>
        <w:t>18</w:t>
      </w:r>
    </w:p>
    <w:p>
      <w:pPr>
        <w:spacing w:line="276" w:lineRule="auto" w:after="40"/>
      </w:pPr>
      <w:r>
        <w:rPr>
          <w:rFonts w:ascii="Times New Roman" w:hAnsi="Times New Roman"/>
          <w:sz w:val="20"/>
        </w:rPr>
        <w:t xml:space="preserve">    5.2 Mid-Semester Conclusions &amp; Empirical Reliability</w:t>
      </w:r>
      <w:r>
        <w:rPr>
          <w:rFonts w:ascii="Times New Roman" w:hAnsi="Times New Roman"/>
          <w:sz w:val="20"/>
        </w:rPr>
        <w:tab/>
        <w:tab/>
        <w:tab/>
        <w:tab/>
        <w:tab/>
        <w:tab/>
        <w:tab/>
        <w:t>18</w:t>
      </w:r>
    </w:p>
    <w:p>
      <w:pPr>
        <w:spacing w:line="276" w:lineRule="auto" w:after="40"/>
      </w:pPr>
      <w:r>
        <w:rPr>
          <w:rFonts w:ascii="Times New Roman" w:hAnsi="Times New Roman"/>
          <w:sz w:val="20"/>
        </w:rPr>
        <w:t xml:space="preserve">    5.3 Economic, Social, and Environmental Benefits</w:t>
      </w:r>
      <w:r>
        <w:rPr>
          <w:rFonts w:ascii="Times New Roman" w:hAnsi="Times New Roman"/>
          <w:sz w:val="20"/>
        </w:rPr>
        <w:tab/>
        <w:tab/>
        <w:tab/>
        <w:tab/>
        <w:tab/>
        <w:tab/>
        <w:tab/>
        <w:t>19</w:t>
      </w:r>
    </w:p>
    <w:p>
      <w:pPr>
        <w:spacing w:line="276" w:lineRule="auto" w:after="40"/>
      </w:pPr>
      <w:r>
        <w:rPr>
          <w:rFonts w:ascii="Times New Roman" w:hAnsi="Times New Roman"/>
          <w:sz w:val="20"/>
        </w:rPr>
        <w:t xml:space="preserve">    5.4 Future Work Plan (Phases 5 and 6 Roadmap)</w:t>
      </w:r>
      <w:r>
        <w:rPr>
          <w:rFonts w:ascii="Times New Roman" w:hAnsi="Times New Roman"/>
          <w:sz w:val="20"/>
        </w:rPr>
        <w:tab/>
        <w:tab/>
        <w:tab/>
        <w:tab/>
        <w:tab/>
        <w:tab/>
        <w:tab/>
        <w:t>19</w:t>
      </w:r>
    </w:p>
    <w:p>
      <w:pPr>
        <w:spacing w:line="276" w:lineRule="auto" w:after="40"/>
      </w:pPr>
      <w:r>
        <w:rPr>
          <w:rFonts w:ascii="Times New Roman" w:hAnsi="Times New Roman"/>
          <w:b/>
          <w:sz w:val="20"/>
        </w:rPr>
        <w:t>APPENDIX A: REFERENCES (IEEE Style)</w:t>
      </w:r>
      <w:r>
        <w:rPr>
          <w:rFonts w:ascii="Times New Roman" w:hAnsi="Times New Roman"/>
          <w:b/>
          <w:sz w:val="20"/>
        </w:rPr>
        <w:tab/>
        <w:tab/>
        <w:tab/>
        <w:tab/>
        <w:tab/>
        <w:tab/>
        <w:tab/>
        <w:t>20</w:t>
      </w:r>
    </w:p>
    <w:p>
      <w:pPr>
        <w:spacing w:line="276" w:lineRule="auto" w:after="40"/>
      </w:pPr>
      <w:r>
        <w:rPr>
          <w:rFonts w:ascii="Times New Roman" w:hAnsi="Times New Roman"/>
          <w:b/>
          <w:sz w:val="20"/>
        </w:rPr>
        <w:t>APPENDIX B: PLAGIARISM &amp; AUTHENTICITY STATEMENT</w:t>
      </w:r>
      <w:r>
        <w:rPr>
          <w:rFonts w:ascii="Times New Roman" w:hAnsi="Times New Roman"/>
          <w:b/>
          <w:sz w:val="20"/>
        </w:rPr>
        <w:tab/>
        <w:tab/>
        <w:tab/>
        <w:tab/>
        <w:tab/>
        <w:tab/>
        <w:tab/>
        <w:t>21</w:t>
      </w:r>
    </w:p>
    <w:p>
      <w:r>
        <w:br w:type="page"/>
      </w:r>
    </w:p>
    <w:p>
      <w:pPr>
        <w:keepNext/>
        <w:spacing w:before="240" w:after="120"/>
      </w:pPr>
      <w:r>
        <w:rPr>
          <w:rFonts w:ascii="Times New Roman" w:hAnsi="Times New Roman"/>
          <w:b/>
          <w:color w:val="0F172A"/>
          <w:sz w:val="32"/>
        </w:rPr>
        <w:t>LIST OF TABLES</w:t>
      </w:r>
    </w:p>
    <w:tbl>
      <w:tblPr>
        <w:tblW w:type="auto" w:w="0"/>
        <w:jc w:val="center"/>
        <w:tblLook w:firstColumn="1" w:firstRow="1" w:lastColumn="0" w:lastRow="0" w:noHBand="0" w:noVBand="1" w:val="04A0"/>
      </w:tblPr>
      <w:tblGrid>
        <w:gridCol w:w="2770"/>
        <w:gridCol w:w="2770"/>
        <w:gridCol w:w="2770"/>
      </w:tblGrid>
      <w:tr>
        <w:tc>
          <w:tcPr>
            <w:tcW w:type="dxa" w:w="2770"/>
            <w:shd w:fill="F1F5F9"/>
          </w:tcPr>
          <w:p>
            <w:r>
              <w:rPr>
                <w:b/>
              </w:rPr>
              <w:t>Table No.</w:t>
            </w:r>
          </w:p>
        </w:tc>
        <w:tc>
          <w:tcPr>
            <w:tcW w:type="dxa" w:w="2770"/>
            <w:shd w:fill="F1F5F9"/>
          </w:tcPr>
          <w:p>
            <w:r>
              <w:rPr>
                <w:b/>
              </w:rPr>
              <w:t>Caption</w:t>
            </w:r>
          </w:p>
        </w:tc>
        <w:tc>
          <w:tcPr>
            <w:tcW w:type="dxa" w:w="2770"/>
            <w:shd w:fill="F1F5F9"/>
          </w:tcPr>
          <w:p>
            <w:r>
              <w:rPr>
                <w:b/>
              </w:rPr>
              <w:t>Page No.</w:t>
            </w:r>
          </w:p>
        </w:tc>
      </w:tr>
      <w:tr>
        <w:tc>
          <w:tcPr>
            <w:tcW w:type="dxa" w:w="2770"/>
          </w:tcPr>
          <w:p>
            <w:r>
              <w:rPr>
                <w:rFonts w:ascii="Times New Roman" w:hAnsi="Times New Roman"/>
                <w:sz w:val="20"/>
              </w:rPr>
              <w:t>Table 1.1</w:t>
            </w:r>
          </w:p>
        </w:tc>
        <w:tc>
          <w:tcPr>
            <w:tcW w:type="dxa" w:w="2770"/>
          </w:tcPr>
          <w:p>
            <w:r>
              <w:rPr>
                <w:rFonts w:ascii="Times New Roman" w:hAnsi="Times New Roman"/>
                <w:sz w:val="20"/>
              </w:rPr>
              <w:t>System Assumptions and Engineering Constraints</w:t>
            </w:r>
          </w:p>
        </w:tc>
        <w:tc>
          <w:tcPr>
            <w:tcW w:type="dxa" w:w="2770"/>
          </w:tcPr>
          <w:p>
            <w:r>
              <w:rPr>
                <w:rFonts w:ascii="Times New Roman" w:hAnsi="Times New Roman"/>
                <w:sz w:val="20"/>
              </w:rPr>
              <w:t>5</w:t>
            </w:r>
          </w:p>
        </w:tc>
      </w:tr>
      <w:tr>
        <w:tc>
          <w:tcPr>
            <w:tcW w:type="dxa" w:w="2770"/>
          </w:tcPr>
          <w:p>
            <w:r>
              <w:rPr>
                <w:rFonts w:ascii="Times New Roman" w:hAnsi="Times New Roman"/>
                <w:sz w:val="20"/>
              </w:rPr>
              <w:t>Table 2.1</w:t>
            </w:r>
          </w:p>
        </w:tc>
        <w:tc>
          <w:tcPr>
            <w:tcW w:type="dxa" w:w="2770"/>
          </w:tcPr>
          <w:p>
            <w:r>
              <w:rPr>
                <w:rFonts w:ascii="Times New Roman" w:hAnsi="Times New Roman"/>
                <w:sz w:val="20"/>
              </w:rPr>
              <w:t>Comparative Literature Survey of Generative Honeypot Frameworks</w:t>
            </w:r>
          </w:p>
        </w:tc>
        <w:tc>
          <w:tcPr>
            <w:tcW w:type="dxa" w:w="2770"/>
          </w:tcPr>
          <w:p>
            <w:r>
              <w:rPr>
                <w:rFonts w:ascii="Times New Roman" w:hAnsi="Times New Roman"/>
                <w:sz w:val="20"/>
              </w:rPr>
              <w:t>9</w:t>
            </w:r>
          </w:p>
        </w:tc>
      </w:tr>
      <w:tr>
        <w:tc>
          <w:tcPr>
            <w:tcW w:type="dxa" w:w="2770"/>
          </w:tcPr>
          <w:p>
            <w:r>
              <w:rPr>
                <w:rFonts w:ascii="Times New Roman" w:hAnsi="Times New Roman"/>
                <w:sz w:val="20"/>
              </w:rPr>
              <w:t>Table 2.2</w:t>
            </w:r>
          </w:p>
        </w:tc>
        <w:tc>
          <w:tcPr>
            <w:tcW w:type="dxa" w:w="2770"/>
          </w:tcPr>
          <w:p>
            <w:r>
              <w:rPr>
                <w:rFonts w:ascii="Times New Roman" w:hAnsi="Times New Roman"/>
                <w:sz w:val="20"/>
              </w:rPr>
              <w:t>Computational Resource Feasibility &amp; Cloud Cost Comparison</w:t>
            </w:r>
          </w:p>
        </w:tc>
        <w:tc>
          <w:tcPr>
            <w:tcW w:type="dxa" w:w="2770"/>
          </w:tcPr>
          <w:p>
            <w:r>
              <w:rPr>
                <w:rFonts w:ascii="Times New Roman" w:hAnsi="Times New Roman"/>
                <w:sz w:val="20"/>
              </w:rPr>
              <w:t>10</w:t>
            </w:r>
          </w:p>
        </w:tc>
      </w:tr>
      <w:tr>
        <w:tc>
          <w:tcPr>
            <w:tcW w:type="dxa" w:w="2770"/>
          </w:tcPr>
          <w:p>
            <w:r>
              <w:rPr>
                <w:rFonts w:ascii="Times New Roman" w:hAnsi="Times New Roman"/>
                <w:sz w:val="20"/>
              </w:rPr>
              <w:t>Table 2.3</w:t>
            </w:r>
          </w:p>
        </w:tc>
        <w:tc>
          <w:tcPr>
            <w:tcW w:type="dxa" w:w="2770"/>
          </w:tcPr>
          <w:p>
            <w:r>
              <w:rPr>
                <w:rFonts w:ascii="Times New Roman" w:hAnsi="Times New Roman"/>
                <w:sz w:val="20"/>
              </w:rPr>
              <w:t>Risk Assessment Matrix and Fail-Closed Mitigation Controls</w:t>
            </w:r>
          </w:p>
        </w:tc>
        <w:tc>
          <w:tcPr>
            <w:tcW w:type="dxa" w:w="2770"/>
          </w:tcPr>
          <w:p>
            <w:r>
              <w:rPr>
                <w:rFonts w:ascii="Times New Roman" w:hAnsi="Times New Roman"/>
                <w:sz w:val="20"/>
              </w:rPr>
              <w:t>10</w:t>
            </w:r>
          </w:p>
        </w:tc>
      </w:tr>
      <w:tr>
        <w:tc>
          <w:tcPr>
            <w:tcW w:type="dxa" w:w="2770"/>
          </w:tcPr>
          <w:p>
            <w:r>
              <w:rPr>
                <w:rFonts w:ascii="Times New Roman" w:hAnsi="Times New Roman"/>
                <w:sz w:val="20"/>
              </w:rPr>
              <w:t>Table 3.1</w:t>
            </w:r>
          </w:p>
        </w:tc>
        <w:tc>
          <w:tcPr>
            <w:tcW w:type="dxa" w:w="2770"/>
          </w:tcPr>
          <w:p>
            <w:r>
              <w:rPr>
                <w:rFonts w:ascii="Times New Roman" w:hAnsi="Times New Roman"/>
                <w:sz w:val="20"/>
              </w:rPr>
              <w:t>Classification and Justification of Investigative Research Techniques</w:t>
            </w:r>
          </w:p>
        </w:tc>
        <w:tc>
          <w:tcPr>
            <w:tcW w:type="dxa" w:w="2770"/>
          </w:tcPr>
          <w:p>
            <w:r>
              <w:rPr>
                <w:rFonts w:ascii="Times New Roman" w:hAnsi="Times New Roman"/>
                <w:sz w:val="20"/>
              </w:rPr>
              <w:t>11</w:t>
            </w:r>
          </w:p>
        </w:tc>
      </w:tr>
      <w:tr>
        <w:tc>
          <w:tcPr>
            <w:tcW w:type="dxa" w:w="2770"/>
          </w:tcPr>
          <w:p>
            <w:r>
              <w:rPr>
                <w:rFonts w:ascii="Times New Roman" w:hAnsi="Times New Roman"/>
                <w:sz w:val="20"/>
              </w:rPr>
              <w:t>Table 3.2</w:t>
            </w:r>
          </w:p>
        </w:tc>
        <w:tc>
          <w:tcPr>
            <w:tcW w:type="dxa" w:w="2770"/>
          </w:tcPr>
          <w:p>
            <w:r>
              <w:rPr>
                <w:rFonts w:ascii="Times New Roman" w:hAnsi="Times New Roman"/>
                <w:sz w:val="20"/>
              </w:rPr>
              <w:t>Honey-LLM Technology and Framework Specifications</w:t>
            </w:r>
          </w:p>
        </w:tc>
        <w:tc>
          <w:tcPr>
            <w:tcW w:type="dxa" w:w="2770"/>
          </w:tcPr>
          <w:p>
            <w:r>
              <w:rPr>
                <w:rFonts w:ascii="Times New Roman" w:hAnsi="Times New Roman"/>
                <w:sz w:val="20"/>
              </w:rPr>
              <w:t>13</w:t>
            </w:r>
          </w:p>
        </w:tc>
      </w:tr>
      <w:tr>
        <w:tc>
          <w:tcPr>
            <w:tcW w:type="dxa" w:w="2770"/>
          </w:tcPr>
          <w:p>
            <w:r>
              <w:rPr>
                <w:rFonts w:ascii="Times New Roman" w:hAnsi="Times New Roman"/>
                <w:sz w:val="20"/>
              </w:rPr>
              <w:t>Table 4.1</w:t>
            </w:r>
          </w:p>
        </w:tc>
        <w:tc>
          <w:tcPr>
            <w:tcW w:type="dxa" w:w="2770"/>
          </w:tcPr>
          <w:p>
            <w:r>
              <w:rPr>
                <w:rFonts w:ascii="Times New Roman" w:hAnsi="Times New Roman"/>
                <w:sz w:val="20"/>
              </w:rPr>
              <w:t>Adversarial Threat Taxonomy Mappings and Severity Classification</w:t>
            </w:r>
          </w:p>
        </w:tc>
        <w:tc>
          <w:tcPr>
            <w:tcW w:type="dxa" w:w="2770"/>
          </w:tcPr>
          <w:p>
            <w:r>
              <w:rPr>
                <w:rFonts w:ascii="Times New Roman" w:hAnsi="Times New Roman"/>
                <w:sz w:val="20"/>
              </w:rPr>
              <w:t>14</w:t>
            </w:r>
          </w:p>
        </w:tc>
      </w:tr>
      <w:tr>
        <w:tc>
          <w:tcPr>
            <w:tcW w:type="dxa" w:w="2770"/>
          </w:tcPr>
          <w:p>
            <w:r>
              <w:rPr>
                <w:rFonts w:ascii="Times New Roman" w:hAnsi="Times New Roman"/>
                <w:sz w:val="20"/>
              </w:rPr>
              <w:t>Table 4.2</w:t>
            </w:r>
          </w:p>
        </w:tc>
        <w:tc>
          <w:tcPr>
            <w:tcW w:type="dxa" w:w="2770"/>
          </w:tcPr>
          <w:p>
            <w:r>
              <w:rPr>
                <w:rFonts w:ascii="Times New Roman" w:hAnsi="Times New Roman"/>
                <w:sz w:val="20"/>
              </w:rPr>
              <w:t>Sandbox Container Breakout Penetration Test Results (5/5 Isolation)</w:t>
            </w:r>
          </w:p>
        </w:tc>
        <w:tc>
          <w:tcPr>
            <w:tcW w:type="dxa" w:w="2770"/>
          </w:tcPr>
          <w:p>
            <w:r>
              <w:rPr>
                <w:rFonts w:ascii="Times New Roman" w:hAnsi="Times New Roman"/>
                <w:sz w:val="20"/>
              </w:rPr>
              <w:t>16</w:t>
            </w:r>
          </w:p>
        </w:tc>
      </w:tr>
      <w:tr>
        <w:tc>
          <w:tcPr>
            <w:tcW w:type="dxa" w:w="2770"/>
          </w:tcPr>
          <w:p>
            <w:r>
              <w:rPr>
                <w:rFonts w:ascii="Times New Roman" w:hAnsi="Times New Roman"/>
                <w:sz w:val="20"/>
              </w:rPr>
              <w:t>Table 5.1</w:t>
            </w:r>
          </w:p>
        </w:tc>
        <w:tc>
          <w:tcPr>
            <w:tcW w:type="dxa" w:w="2770"/>
          </w:tcPr>
          <w:p>
            <w:r>
              <w:rPr>
                <w:rFonts w:ascii="Times New Roman" w:hAnsi="Times New Roman"/>
                <w:sz w:val="20"/>
              </w:rPr>
              <w:t>Mid-Semester Mapping of Approved Objectives to Implemented Progress</w:t>
            </w:r>
          </w:p>
        </w:tc>
        <w:tc>
          <w:tcPr>
            <w:tcW w:type="dxa" w:w="2770"/>
          </w:tcPr>
          <w:p>
            <w:r>
              <w:rPr>
                <w:rFonts w:ascii="Times New Roman" w:hAnsi="Times New Roman"/>
                <w:sz w:val="20"/>
              </w:rPr>
              <w:t>18</w:t>
            </w:r>
          </w:p>
        </w:tc>
      </w:tr>
      <w:tr>
        <w:tc>
          <w:tcPr>
            <w:tcW w:type="dxa" w:w="2770"/>
          </w:tcPr>
          <w:p>
            <w:r>
              <w:rPr>
                <w:rFonts w:ascii="Times New Roman" w:hAnsi="Times New Roman"/>
                <w:sz w:val="20"/>
              </w:rPr>
              <w:t>Table 5.2</w:t>
            </w:r>
          </w:p>
        </w:tc>
        <w:tc>
          <w:tcPr>
            <w:tcW w:type="dxa" w:w="2770"/>
          </w:tcPr>
          <w:p>
            <w:r>
              <w:rPr>
                <w:rFonts w:ascii="Times New Roman" w:hAnsi="Times New Roman"/>
                <w:sz w:val="20"/>
              </w:rPr>
              <w:t>Intent Sieve Benchmark Evaluation on In-The-Wild Adversarial Datasets</w:t>
            </w:r>
          </w:p>
        </w:tc>
        <w:tc>
          <w:tcPr>
            <w:tcW w:type="dxa" w:w="2770"/>
          </w:tcPr>
          <w:p>
            <w:r>
              <w:rPr>
                <w:rFonts w:ascii="Times New Roman" w:hAnsi="Times New Roman"/>
                <w:sz w:val="20"/>
              </w:rPr>
              <w:t>19</w:t>
            </w:r>
          </w:p>
        </w:tc>
      </w:tr>
    </w:tbl>
    <w:p>
      <w:r>
        <w:br w:type="page"/>
      </w:r>
    </w:p>
    <w:p>
      <w:pPr>
        <w:keepNext/>
        <w:spacing w:before="240" w:after="120"/>
      </w:pPr>
      <w:r>
        <w:rPr>
          <w:rFonts w:ascii="Times New Roman" w:hAnsi="Times New Roman"/>
          <w:b/>
          <w:color w:val="0F172A"/>
          <w:sz w:val="32"/>
        </w:rPr>
        <w:t>LIST OF FIGURES</w:t>
      </w:r>
    </w:p>
    <w:tbl>
      <w:tblPr>
        <w:tblW w:type="auto" w:w="0"/>
        <w:jc w:val="center"/>
        <w:tblLook w:firstColumn="1" w:firstRow="1" w:lastColumn="0" w:lastRow="0" w:noHBand="0" w:noVBand="1" w:val="04A0"/>
      </w:tblPr>
      <w:tblGrid>
        <w:gridCol w:w="2770"/>
        <w:gridCol w:w="2770"/>
        <w:gridCol w:w="2770"/>
      </w:tblGrid>
      <w:tr>
        <w:tc>
          <w:tcPr>
            <w:tcW w:type="dxa" w:w="2770"/>
            <w:shd w:fill="F1F5F9"/>
          </w:tcPr>
          <w:p>
            <w:r>
              <w:rPr>
                <w:b/>
              </w:rPr>
              <w:t>Figure No.</w:t>
            </w:r>
          </w:p>
        </w:tc>
        <w:tc>
          <w:tcPr>
            <w:tcW w:type="dxa" w:w="2770"/>
            <w:shd w:fill="F1F5F9"/>
          </w:tcPr>
          <w:p>
            <w:r>
              <w:rPr>
                <w:b/>
              </w:rPr>
              <w:t>Caption</w:t>
            </w:r>
          </w:p>
        </w:tc>
        <w:tc>
          <w:tcPr>
            <w:tcW w:type="dxa" w:w="2770"/>
            <w:shd w:fill="F1F5F9"/>
          </w:tcPr>
          <w:p>
            <w:r>
              <w:rPr>
                <w:b/>
              </w:rPr>
              <w:t>Page No.</w:t>
            </w:r>
          </w:p>
        </w:tc>
      </w:tr>
      <w:tr>
        <w:tc>
          <w:tcPr>
            <w:tcW w:type="dxa" w:w="2770"/>
          </w:tcPr>
          <w:p>
            <w:r>
              <w:rPr>
                <w:rFonts w:ascii="Times New Roman" w:hAnsi="Times New Roman"/>
                <w:sz w:val="20"/>
              </w:rPr>
              <w:t>Figure 1.1</w:t>
            </w:r>
          </w:p>
        </w:tc>
        <w:tc>
          <w:tcPr>
            <w:tcW w:type="dxa" w:w="2770"/>
          </w:tcPr>
          <w:p>
            <w:r>
              <w:rPr>
                <w:rFonts w:ascii="Times New Roman" w:hAnsi="Times New Roman"/>
                <w:sz w:val="20"/>
              </w:rPr>
              <w:t>Honey-LLM Multi-Tier Routing and Decision Gateway Architecture</w:t>
            </w:r>
          </w:p>
        </w:tc>
        <w:tc>
          <w:tcPr>
            <w:tcW w:type="dxa" w:w="2770"/>
          </w:tcPr>
          <w:p>
            <w:r>
              <w:rPr>
                <w:rFonts w:ascii="Times New Roman" w:hAnsi="Times New Roman"/>
                <w:sz w:val="20"/>
              </w:rPr>
              <w:t>7</w:t>
            </w:r>
          </w:p>
        </w:tc>
      </w:tr>
      <w:tr>
        <w:tc>
          <w:tcPr>
            <w:tcW w:type="dxa" w:w="2770"/>
          </w:tcPr>
          <w:p>
            <w:r>
              <w:rPr>
                <w:rFonts w:ascii="Times New Roman" w:hAnsi="Times New Roman"/>
                <w:sz w:val="20"/>
              </w:rPr>
              <w:t>Figure 3.1</w:t>
            </w:r>
          </w:p>
        </w:tc>
        <w:tc>
          <w:tcPr>
            <w:tcW w:type="dxa" w:w="2770"/>
          </w:tcPr>
          <w:p>
            <w:r>
              <w:rPr>
                <w:rFonts w:ascii="Times New Roman" w:hAnsi="Times New Roman"/>
                <w:sz w:val="20"/>
              </w:rPr>
              <w:t>UML Sequence Diagram for Multi-Tier Request Interception &amp; Deception</w:t>
            </w:r>
          </w:p>
        </w:tc>
        <w:tc>
          <w:tcPr>
            <w:tcW w:type="dxa" w:w="2770"/>
          </w:tcPr>
          <w:p>
            <w:r>
              <w:rPr>
                <w:rFonts w:ascii="Times New Roman" w:hAnsi="Times New Roman"/>
                <w:sz w:val="20"/>
              </w:rPr>
              <w:t>13</w:t>
            </w:r>
          </w:p>
        </w:tc>
      </w:tr>
      <w:tr>
        <w:tc>
          <w:tcPr>
            <w:tcW w:type="dxa" w:w="2770"/>
          </w:tcPr>
          <w:p>
            <w:r>
              <w:rPr>
                <w:rFonts w:ascii="Times New Roman" w:hAnsi="Times New Roman"/>
                <w:sz w:val="20"/>
              </w:rPr>
              <w:t>Figure 4.1</w:t>
            </w:r>
          </w:p>
        </w:tc>
        <w:tc>
          <w:tcPr>
            <w:tcW w:type="dxa" w:w="2770"/>
          </w:tcPr>
          <w:p>
            <w:r>
              <w:rPr>
                <w:rFonts w:ascii="Times New Roman" w:hAnsi="Times New Roman"/>
                <w:sz w:val="20"/>
              </w:rPr>
              <w:t>UML State Machine Diagram for Session Quarantine &amp; Self-Healing Loop</w:t>
            </w:r>
          </w:p>
        </w:tc>
        <w:tc>
          <w:tcPr>
            <w:tcW w:type="dxa" w:w="2770"/>
          </w:tcPr>
          <w:p>
            <w:r>
              <w:rPr>
                <w:rFonts w:ascii="Times New Roman" w:hAnsi="Times New Roman"/>
                <w:sz w:val="20"/>
              </w:rPr>
              <w:t>15</w:t>
            </w:r>
          </w:p>
        </w:tc>
      </w:tr>
      <w:tr>
        <w:tc>
          <w:tcPr>
            <w:tcW w:type="dxa" w:w="2770"/>
          </w:tcPr>
          <w:p>
            <w:r>
              <w:rPr>
                <w:rFonts w:ascii="Times New Roman" w:hAnsi="Times New Roman"/>
                <w:sz w:val="20"/>
              </w:rPr>
              <w:t>Figure 4.2</w:t>
            </w:r>
          </w:p>
        </w:tc>
        <w:tc>
          <w:tcPr>
            <w:tcW w:type="dxa" w:w="2770"/>
          </w:tcPr>
          <w:p>
            <w:r>
              <w:rPr>
                <w:rFonts w:ascii="Times New Roman" w:hAnsi="Times New Roman"/>
                <w:sz w:val="20"/>
              </w:rPr>
              <w:t>NexTel Production Customer Support Interface (/chat)</w:t>
            </w:r>
          </w:p>
        </w:tc>
        <w:tc>
          <w:tcPr>
            <w:tcW w:type="dxa" w:w="2770"/>
          </w:tcPr>
          <w:p>
            <w:r>
              <w:rPr>
                <w:rFonts w:ascii="Times New Roman" w:hAnsi="Times New Roman"/>
                <w:sz w:val="20"/>
              </w:rPr>
              <w:t>15</w:t>
            </w:r>
          </w:p>
        </w:tc>
      </w:tr>
      <w:tr>
        <w:tc>
          <w:tcPr>
            <w:tcW w:type="dxa" w:w="2770"/>
          </w:tcPr>
          <w:p>
            <w:r>
              <w:rPr>
                <w:rFonts w:ascii="Times New Roman" w:hAnsi="Times New Roman"/>
                <w:sz w:val="20"/>
              </w:rPr>
              <w:t>Figure 4.3</w:t>
            </w:r>
          </w:p>
        </w:tc>
        <w:tc>
          <w:tcPr>
            <w:tcW w:type="dxa" w:w="2770"/>
          </w:tcPr>
          <w:p>
            <w:r>
              <w:rPr>
                <w:rFonts w:ascii="Times New Roman" w:hAnsi="Times New Roman"/>
                <w:sz w:val="20"/>
              </w:rPr>
              <w:t>Honey-LLM Admin Live Sieve Decision Tracer (/admin)</w:t>
            </w:r>
          </w:p>
        </w:tc>
        <w:tc>
          <w:tcPr>
            <w:tcW w:type="dxa" w:w="2770"/>
          </w:tcPr>
          <w:p>
            <w:r>
              <w:rPr>
                <w:rFonts w:ascii="Times New Roman" w:hAnsi="Times New Roman"/>
                <w:sz w:val="20"/>
              </w:rPr>
              <w:t>16</w:t>
            </w:r>
          </w:p>
        </w:tc>
      </w:tr>
      <w:tr>
        <w:tc>
          <w:tcPr>
            <w:tcW w:type="dxa" w:w="2770"/>
          </w:tcPr>
          <w:p>
            <w:r>
              <w:rPr>
                <w:rFonts w:ascii="Times New Roman" w:hAnsi="Times New Roman"/>
                <w:sz w:val="20"/>
              </w:rPr>
              <w:t>Figure 4.4</w:t>
            </w:r>
          </w:p>
        </w:tc>
        <w:tc>
          <w:tcPr>
            <w:tcW w:type="dxa" w:w="2770"/>
          </w:tcPr>
          <w:p>
            <w:r>
              <w:rPr>
                <w:rFonts w:ascii="Times New Roman" w:hAnsi="Times New Roman"/>
                <w:sz w:val="20"/>
              </w:rPr>
              <w:t>Dark SOC Real-Time Threat Intelligence Dashboard (/dashboard)</w:t>
            </w:r>
          </w:p>
        </w:tc>
        <w:tc>
          <w:tcPr>
            <w:tcW w:type="dxa" w:w="2770"/>
          </w:tcPr>
          <w:p>
            <w:r>
              <w:rPr>
                <w:rFonts w:ascii="Times New Roman" w:hAnsi="Times New Roman"/>
                <w:sz w:val="20"/>
              </w:rPr>
              <w:t>17</w:t>
            </w:r>
          </w:p>
        </w:tc>
      </w:tr>
    </w:tbl>
    <w:p>
      <w:r>
        <w:br w:type="page"/>
      </w:r>
    </w:p>
    <w:p>
      <w:pPr>
        <w:keepNext/>
        <w:spacing w:before="240" w:after="120"/>
      </w:pPr>
      <w:r>
        <w:rPr>
          <w:rFonts w:ascii="Times New Roman" w:hAnsi="Times New Roman"/>
          <w:b/>
          <w:color w:val="0F172A"/>
          <w:sz w:val="32"/>
        </w:rPr>
        <w:t>LIST OF ABBREVIATIONS</w:t>
      </w:r>
    </w:p>
    <w:tbl>
      <w:tblPr>
        <w:tblW w:type="auto" w:w="0"/>
        <w:jc w:val="center"/>
        <w:tblLook w:firstColumn="1" w:firstRow="1" w:lastColumn="0" w:lastRow="0" w:noHBand="0" w:noVBand="1" w:val="04A0"/>
      </w:tblPr>
      <w:tblGrid>
        <w:gridCol w:w="4154"/>
        <w:gridCol w:w="4154"/>
      </w:tblGrid>
      <w:tr>
        <w:tc>
          <w:tcPr>
            <w:tcW w:type="dxa" w:w="4154"/>
            <w:shd w:fill="F1F5F9"/>
          </w:tcPr>
          <w:p>
            <w:r>
              <w:rPr>
                <w:b/>
              </w:rPr>
              <w:t>Abbreviation</w:t>
            </w:r>
          </w:p>
        </w:tc>
        <w:tc>
          <w:tcPr>
            <w:tcW w:type="dxa" w:w="4154"/>
            <w:shd w:fill="F1F5F9"/>
          </w:tcPr>
          <w:p>
            <w:r>
              <w:rPr>
                <w:b/>
              </w:rPr>
              <w:t>Full Expansion / Description</w:t>
            </w:r>
          </w:p>
        </w:tc>
      </w:tr>
      <w:tr>
        <w:tc>
          <w:tcPr>
            <w:tcW w:type="dxa" w:w="4154"/>
          </w:tcPr>
          <w:p>
            <w:r>
              <w:rPr>
                <w:rFonts w:ascii="Times New Roman" w:hAnsi="Times New Roman"/>
                <w:sz w:val="20"/>
              </w:rPr>
              <w:t>AI</w:t>
            </w:r>
          </w:p>
        </w:tc>
        <w:tc>
          <w:tcPr>
            <w:tcW w:type="dxa" w:w="4154"/>
          </w:tcPr>
          <w:p>
            <w:r>
              <w:rPr>
                <w:rFonts w:ascii="Times New Roman" w:hAnsi="Times New Roman"/>
                <w:sz w:val="20"/>
              </w:rPr>
              <w:t>Artificial Intelligence</w:t>
            </w:r>
          </w:p>
        </w:tc>
      </w:tr>
      <w:tr>
        <w:tc>
          <w:tcPr>
            <w:tcW w:type="dxa" w:w="4154"/>
          </w:tcPr>
          <w:p>
            <w:r>
              <w:rPr>
                <w:rFonts w:ascii="Times New Roman" w:hAnsi="Times New Roman"/>
                <w:sz w:val="20"/>
              </w:rPr>
              <w:t>LLM</w:t>
            </w:r>
          </w:p>
        </w:tc>
        <w:tc>
          <w:tcPr>
            <w:tcW w:type="dxa" w:w="4154"/>
          </w:tcPr>
          <w:p>
            <w:r>
              <w:rPr>
                <w:rFonts w:ascii="Times New Roman" w:hAnsi="Times New Roman"/>
                <w:sz w:val="20"/>
              </w:rPr>
              <w:t>Large Language Model</w:t>
            </w:r>
          </w:p>
        </w:tc>
      </w:tr>
      <w:tr>
        <w:tc>
          <w:tcPr>
            <w:tcW w:type="dxa" w:w="4154"/>
          </w:tcPr>
          <w:p>
            <w:r>
              <w:rPr>
                <w:rFonts w:ascii="Times New Roman" w:hAnsi="Times New Roman"/>
                <w:sz w:val="20"/>
              </w:rPr>
              <w:t>SLM</w:t>
            </w:r>
          </w:p>
        </w:tc>
        <w:tc>
          <w:tcPr>
            <w:tcW w:type="dxa" w:w="4154"/>
          </w:tcPr>
          <w:p>
            <w:r>
              <w:rPr>
                <w:rFonts w:ascii="Times New Roman" w:hAnsi="Times New Roman"/>
                <w:sz w:val="20"/>
              </w:rPr>
              <w:t>Small Language Model</w:t>
            </w:r>
          </w:p>
        </w:tc>
      </w:tr>
      <w:tr>
        <w:tc>
          <w:tcPr>
            <w:tcW w:type="dxa" w:w="4154"/>
          </w:tcPr>
          <w:p>
            <w:r>
              <w:rPr>
                <w:rFonts w:ascii="Times New Roman" w:hAnsi="Times New Roman"/>
                <w:sz w:val="20"/>
              </w:rPr>
              <w:t>RAG</w:t>
            </w:r>
          </w:p>
        </w:tc>
        <w:tc>
          <w:tcPr>
            <w:tcW w:type="dxa" w:w="4154"/>
          </w:tcPr>
          <w:p>
            <w:r>
              <w:rPr>
                <w:rFonts w:ascii="Times New Roman" w:hAnsi="Times New Roman"/>
                <w:sz w:val="20"/>
              </w:rPr>
              <w:t>Retrieval-Augmented Generation</w:t>
            </w:r>
          </w:p>
        </w:tc>
      </w:tr>
      <w:tr>
        <w:tc>
          <w:tcPr>
            <w:tcW w:type="dxa" w:w="4154"/>
          </w:tcPr>
          <w:p>
            <w:r>
              <w:rPr>
                <w:rFonts w:ascii="Times New Roman" w:hAnsi="Times New Roman"/>
                <w:sz w:val="20"/>
              </w:rPr>
              <w:t>WAF</w:t>
            </w:r>
          </w:p>
        </w:tc>
        <w:tc>
          <w:tcPr>
            <w:tcW w:type="dxa" w:w="4154"/>
          </w:tcPr>
          <w:p>
            <w:r>
              <w:rPr>
                <w:rFonts w:ascii="Times New Roman" w:hAnsi="Times New Roman"/>
                <w:sz w:val="20"/>
              </w:rPr>
              <w:t>Web Application Firewall</w:t>
            </w:r>
          </w:p>
        </w:tc>
      </w:tr>
      <w:tr>
        <w:tc>
          <w:tcPr>
            <w:tcW w:type="dxa" w:w="4154"/>
          </w:tcPr>
          <w:p>
            <w:r>
              <w:rPr>
                <w:rFonts w:ascii="Times New Roman" w:hAnsi="Times New Roman"/>
                <w:sz w:val="20"/>
              </w:rPr>
              <w:t>SOC</w:t>
            </w:r>
          </w:p>
        </w:tc>
        <w:tc>
          <w:tcPr>
            <w:tcW w:type="dxa" w:w="4154"/>
          </w:tcPr>
          <w:p>
            <w:r>
              <w:rPr>
                <w:rFonts w:ascii="Times New Roman" w:hAnsi="Times New Roman"/>
                <w:sz w:val="20"/>
              </w:rPr>
              <w:t>Security Operations Center</w:t>
            </w:r>
          </w:p>
        </w:tc>
      </w:tr>
      <w:tr>
        <w:tc>
          <w:tcPr>
            <w:tcW w:type="dxa" w:w="4154"/>
          </w:tcPr>
          <w:p>
            <w:r>
              <w:rPr>
                <w:rFonts w:ascii="Times New Roman" w:hAnsi="Times New Roman"/>
                <w:sz w:val="20"/>
              </w:rPr>
              <w:t>FPR</w:t>
            </w:r>
          </w:p>
        </w:tc>
        <w:tc>
          <w:tcPr>
            <w:tcW w:type="dxa" w:w="4154"/>
          </w:tcPr>
          <w:p>
            <w:r>
              <w:rPr>
                <w:rFonts w:ascii="Times New Roman" w:hAnsi="Times New Roman"/>
                <w:sz w:val="20"/>
              </w:rPr>
              <w:t>False Positive Rate</w:t>
            </w:r>
          </w:p>
        </w:tc>
      </w:tr>
      <w:tr>
        <w:tc>
          <w:tcPr>
            <w:tcW w:type="dxa" w:w="4154"/>
          </w:tcPr>
          <w:p>
            <w:r>
              <w:rPr>
                <w:rFonts w:ascii="Times New Roman" w:hAnsi="Times New Roman"/>
                <w:sz w:val="20"/>
              </w:rPr>
              <w:t>FNR</w:t>
            </w:r>
          </w:p>
        </w:tc>
        <w:tc>
          <w:tcPr>
            <w:tcW w:type="dxa" w:w="4154"/>
          </w:tcPr>
          <w:p>
            <w:r>
              <w:rPr>
                <w:rFonts w:ascii="Times New Roman" w:hAnsi="Times New Roman"/>
                <w:sz w:val="20"/>
              </w:rPr>
              <w:t>False Negative Rate</w:t>
            </w:r>
          </w:p>
        </w:tc>
      </w:tr>
      <w:tr>
        <w:tc>
          <w:tcPr>
            <w:tcW w:type="dxa" w:w="4154"/>
          </w:tcPr>
          <w:p>
            <w:r>
              <w:rPr>
                <w:rFonts w:ascii="Times New Roman" w:hAnsi="Times New Roman"/>
                <w:sz w:val="20"/>
              </w:rPr>
              <w:t>OWASP</w:t>
            </w:r>
          </w:p>
        </w:tc>
        <w:tc>
          <w:tcPr>
            <w:tcW w:type="dxa" w:w="4154"/>
          </w:tcPr>
          <w:p>
            <w:r>
              <w:rPr>
                <w:rFonts w:ascii="Times New Roman" w:hAnsi="Times New Roman"/>
                <w:sz w:val="20"/>
              </w:rPr>
              <w:t>Open Worldwide Application Security Project</w:t>
            </w:r>
          </w:p>
        </w:tc>
      </w:tr>
      <w:tr>
        <w:tc>
          <w:tcPr>
            <w:tcW w:type="dxa" w:w="4154"/>
          </w:tcPr>
          <w:p>
            <w:r>
              <w:rPr>
                <w:rFonts w:ascii="Times New Roman" w:hAnsi="Times New Roman"/>
                <w:sz w:val="20"/>
              </w:rPr>
              <w:t>NeMo</w:t>
            </w:r>
          </w:p>
        </w:tc>
        <w:tc>
          <w:tcPr>
            <w:tcW w:type="dxa" w:w="4154"/>
          </w:tcPr>
          <w:p>
            <w:r>
              <w:rPr>
                <w:rFonts w:ascii="Times New Roman" w:hAnsi="Times New Roman"/>
                <w:sz w:val="20"/>
              </w:rPr>
              <w:t>Neural Modules (NVIDIA Conversational AI &amp; Guardrails Framework)</w:t>
            </w:r>
          </w:p>
        </w:tc>
      </w:tr>
      <w:tr>
        <w:tc>
          <w:tcPr>
            <w:tcW w:type="dxa" w:w="4154"/>
          </w:tcPr>
          <w:p>
            <w:r>
              <w:rPr>
                <w:rFonts w:ascii="Times New Roman" w:hAnsi="Times New Roman"/>
                <w:sz w:val="20"/>
              </w:rPr>
              <w:t>TF-IDF</w:t>
            </w:r>
          </w:p>
        </w:tc>
        <w:tc>
          <w:tcPr>
            <w:tcW w:type="dxa" w:w="4154"/>
          </w:tcPr>
          <w:p>
            <w:r>
              <w:rPr>
                <w:rFonts w:ascii="Times New Roman" w:hAnsi="Times New Roman"/>
                <w:sz w:val="20"/>
              </w:rPr>
              <w:t>Term Frequency – Inverse Document Frequency</w:t>
            </w:r>
          </w:p>
        </w:tc>
      </w:tr>
      <w:tr>
        <w:tc>
          <w:tcPr>
            <w:tcW w:type="dxa" w:w="4154"/>
          </w:tcPr>
          <w:p>
            <w:r>
              <w:rPr>
                <w:rFonts w:ascii="Times New Roman" w:hAnsi="Times New Roman"/>
                <w:sz w:val="20"/>
              </w:rPr>
              <w:t>API</w:t>
            </w:r>
          </w:p>
        </w:tc>
        <w:tc>
          <w:tcPr>
            <w:tcW w:type="dxa" w:w="4154"/>
          </w:tcPr>
          <w:p>
            <w:r>
              <w:rPr>
                <w:rFonts w:ascii="Times New Roman" w:hAnsi="Times New Roman"/>
                <w:sz w:val="20"/>
              </w:rPr>
              <w:t>Application Programming Interface</w:t>
            </w:r>
          </w:p>
        </w:tc>
      </w:tr>
      <w:tr>
        <w:tc>
          <w:tcPr>
            <w:tcW w:type="dxa" w:w="4154"/>
          </w:tcPr>
          <w:p>
            <w:r>
              <w:rPr>
                <w:rFonts w:ascii="Times New Roman" w:hAnsi="Times New Roman"/>
                <w:sz w:val="20"/>
              </w:rPr>
              <w:t>REST</w:t>
            </w:r>
          </w:p>
        </w:tc>
        <w:tc>
          <w:tcPr>
            <w:tcW w:type="dxa" w:w="4154"/>
          </w:tcPr>
          <w:p>
            <w:r>
              <w:rPr>
                <w:rFonts w:ascii="Times New Roman" w:hAnsi="Times New Roman"/>
                <w:sz w:val="20"/>
              </w:rPr>
              <w:t>Representational State Transfer</w:t>
            </w:r>
          </w:p>
        </w:tc>
      </w:tr>
      <w:tr>
        <w:tc>
          <w:tcPr>
            <w:tcW w:type="dxa" w:w="4154"/>
          </w:tcPr>
          <w:p>
            <w:r>
              <w:rPr>
                <w:rFonts w:ascii="Times New Roman" w:hAnsi="Times New Roman"/>
                <w:sz w:val="20"/>
              </w:rPr>
              <w:t>JSONL</w:t>
            </w:r>
          </w:p>
        </w:tc>
        <w:tc>
          <w:tcPr>
            <w:tcW w:type="dxa" w:w="4154"/>
          </w:tcPr>
          <w:p>
            <w:r>
              <w:rPr>
                <w:rFonts w:ascii="Times New Roman" w:hAnsi="Times New Roman"/>
                <w:sz w:val="20"/>
              </w:rPr>
              <w:t>JavaScript Object Notation Lines</w:t>
            </w:r>
          </w:p>
        </w:tc>
      </w:tr>
      <w:tr>
        <w:tc>
          <w:tcPr>
            <w:tcW w:type="dxa" w:w="4154"/>
          </w:tcPr>
          <w:p>
            <w:r>
              <w:rPr>
                <w:rFonts w:ascii="Times New Roman" w:hAnsi="Times New Roman"/>
                <w:sz w:val="20"/>
              </w:rPr>
              <w:t>PyRIT</w:t>
            </w:r>
          </w:p>
        </w:tc>
        <w:tc>
          <w:tcPr>
            <w:tcW w:type="dxa" w:w="4154"/>
          </w:tcPr>
          <w:p>
            <w:r>
              <w:rPr>
                <w:rFonts w:ascii="Times New Roman" w:hAnsi="Times New Roman"/>
                <w:sz w:val="20"/>
              </w:rPr>
              <w:t>Python Risk Identification Tool for Generative AI (Microsoft)</w:t>
            </w:r>
          </w:p>
        </w:tc>
      </w:tr>
      <w:tr>
        <w:tc>
          <w:tcPr>
            <w:tcW w:type="dxa" w:w="4154"/>
          </w:tcPr>
          <w:p>
            <w:r>
              <w:rPr>
                <w:rFonts w:ascii="Times New Roman" w:hAnsi="Times New Roman"/>
                <w:sz w:val="20"/>
              </w:rPr>
              <w:t>SRS</w:t>
            </w:r>
          </w:p>
        </w:tc>
        <w:tc>
          <w:tcPr>
            <w:tcW w:type="dxa" w:w="4154"/>
          </w:tcPr>
          <w:p>
            <w:r>
              <w:rPr>
                <w:rFonts w:ascii="Times New Roman" w:hAnsi="Times New Roman"/>
                <w:sz w:val="20"/>
              </w:rPr>
              <w:t>Software Requirement Specification</w:t>
            </w:r>
          </w:p>
        </w:tc>
      </w:tr>
      <w:tr>
        <w:tc>
          <w:tcPr>
            <w:tcW w:type="dxa" w:w="4154"/>
          </w:tcPr>
          <w:p>
            <w:r>
              <w:rPr>
                <w:rFonts w:ascii="Times New Roman" w:hAnsi="Times New Roman"/>
                <w:sz w:val="20"/>
              </w:rPr>
              <w:t>WBS</w:t>
            </w:r>
          </w:p>
        </w:tc>
        <w:tc>
          <w:tcPr>
            <w:tcW w:type="dxa" w:w="4154"/>
          </w:tcPr>
          <w:p>
            <w:r>
              <w:rPr>
                <w:rFonts w:ascii="Times New Roman" w:hAnsi="Times New Roman"/>
                <w:sz w:val="20"/>
              </w:rPr>
              <w:t>Work Breakdown Structure</w:t>
            </w:r>
          </w:p>
        </w:tc>
      </w:tr>
      <w:tr>
        <w:tc>
          <w:tcPr>
            <w:tcW w:type="dxa" w:w="4154"/>
          </w:tcPr>
          <w:p>
            <w:r>
              <w:rPr>
                <w:rFonts w:ascii="Times New Roman" w:hAnsi="Times New Roman"/>
                <w:sz w:val="20"/>
              </w:rPr>
              <w:t>CSED</w:t>
            </w:r>
          </w:p>
        </w:tc>
        <w:tc>
          <w:tcPr>
            <w:tcW w:type="dxa" w:w="4154"/>
          </w:tcPr>
          <w:p>
            <w:r>
              <w:rPr>
                <w:rFonts w:ascii="Times New Roman" w:hAnsi="Times New Roman"/>
                <w:sz w:val="20"/>
              </w:rPr>
              <w:t>Computer Science and Engineering Department</w:t>
            </w:r>
          </w:p>
        </w:tc>
      </w:tr>
    </w:tbl>
    <w:p>
      <w:r>
        <w:br w:type="page"/>
      </w:r>
    </w:p>
    <w:p>
      <w:pPr>
        <w:keepNext/>
        <w:spacing w:before="240" w:after="120"/>
      </w:pPr>
      <w:r>
        <w:rPr>
          <w:rFonts w:ascii="Times New Roman" w:hAnsi="Times New Roman"/>
          <w:b/>
          <w:color w:val="0F172A"/>
          <w:sz w:val="32"/>
        </w:rPr>
        <w:t>CHAPTER 1: INTRODUCTION</w:t>
      </w:r>
    </w:p>
    <w:p>
      <w:pPr>
        <w:keepNext/>
        <w:spacing w:before="200" w:after="80"/>
      </w:pPr>
      <w:r>
        <w:rPr>
          <w:rFonts w:ascii="Times New Roman" w:hAnsi="Times New Roman"/>
          <w:b/>
          <w:color w:val="0F172A"/>
          <w:sz w:val="28"/>
        </w:rPr>
        <w:t>1.1 Project Overview</w:t>
      </w:r>
    </w:p>
    <w:p>
      <w:pPr>
        <w:spacing w:line="360" w:lineRule="auto" w:after="120"/>
        <w:ind w:firstLine="432"/>
        <w:jc w:val="both"/>
      </w:pPr>
      <w:r>
        <w:rPr>
          <w:rFonts w:ascii="Times New Roman" w:hAnsi="Times New Roman"/>
          <w:sz w:val="24"/>
        </w:rPr>
        <w:t>In the contemporary enterprise computing landscape of 2026, Large Language Models (LLMs) have evolved beyond isolated text generation interfaces into deeply integrated autonomous agents. Modern enterprise deployments rely on LLMs to automate mission-critical customer operations, query private structured databases, orchestrate multi-step API workflows, and execute tool-use tasks [7]. However, this rapid operational adoption has outpaced conventional cybersecurity paradigms, exposing a profound vulnerability surface known as the semantic attack vector [9].</w:t>
      </w:r>
    </w:p>
    <w:p>
      <w:pPr>
        <w:spacing w:line="360" w:lineRule="auto" w:after="120"/>
        <w:ind w:firstLine="432"/>
        <w:jc w:val="both"/>
      </w:pPr>
      <w:r>
        <w:rPr>
          <w:rFonts w:ascii="Times New Roman" w:hAnsi="Times New Roman"/>
          <w:sz w:val="24"/>
        </w:rPr>
        <w:t>Unlike traditional software systems where security boundaries are strictly demarcated between binary executable code and passive data buffers, LLMs process system instructions, operational context, and untrusted user inputs within a single unified semantic channel. Consequently, malicious actors exploit this architectural reality through Adversarial Prompt Injection and Jailbreaking techniques [9]. Attackers craft persuasive, contextually masked natural-language payloads, ranging from direct role overrides to indirect prompt injections embedded in retrieved enterprise documents, to manipulate the underlying model into bypassing access controls.</w:t>
      </w:r>
    </w:p>
    <w:p>
      <w:pPr>
        <w:spacing w:line="360" w:lineRule="auto" w:after="120"/>
        <w:ind w:firstLine="432"/>
        <w:jc w:val="both"/>
      </w:pPr>
      <w:r>
        <w:rPr>
          <w:rFonts w:ascii="Times New Roman" w:hAnsi="Times New Roman"/>
          <w:sz w:val="24"/>
        </w:rPr>
        <w:t>Traditional perimeter defenses, such as Web Application Firewalls (WAFs), heuristic keyword matchers, and static regular expressions, are fundamentally inadequate against semantic attacks. They lack linguistic context, cannot track conversational state across multi-turn sessions, and are trivially bypassed through character obfuscation or subtle adversarial paraphrasing. More critically, standard security mechanisms follow a rigid block-and-alert model. When a malicious query is blocked with an explicit refusal message, the attacker immediately learns the perimeter filtering boundary and iterates their attack prompt until an evasion succeeds.</w:t>
      </w:r>
    </w:p>
    <w:p>
      <w:pPr>
        <w:spacing w:line="360" w:lineRule="auto" w:after="120"/>
        <w:ind w:firstLine="432"/>
        <w:jc w:val="both"/>
      </w:pPr>
      <w:r>
        <w:rPr>
          <w:rFonts w:ascii="Times New Roman" w:hAnsi="Times New Roman"/>
          <w:sz w:val="24"/>
        </w:rPr>
        <w:t>To systematically address these defensive limitations, this capstone project develops and demonstrates Honey-LLM: an interactive, self-hardening defense ecosystem for conversational AI architectures. For the Mid-Semester Evaluation, the project team has fully developed, integrated, and verified the first four engineering phases:</w:t>
      </w:r>
    </w:p>
    <w:p>
      <w:pPr>
        <w:spacing w:line="360" w:lineRule="auto" w:after="80"/>
        <w:ind w:left="360" w:hanging="216"/>
        <w:jc w:val="both"/>
      </w:pPr>
      <w:r>
        <w:rPr>
          <w:rFonts w:ascii="Times New Roman" w:hAnsi="Times New Roman"/>
          <w:sz w:val="24"/>
        </w:rPr>
        <w:t>•  Phase 1 (Adversarial Profiling &amp; Threat Taxonomy): Formulated an 8-class threat taxonomy mapping prompt injections to specific enterprise manifestations and validated concurrent dual-model local inference.</w:t>
      </w:r>
    </w:p>
    <w:p>
      <w:pPr>
        <w:spacing w:line="360" w:lineRule="auto" w:after="80"/>
        <w:ind w:left="360" w:hanging="216"/>
        <w:jc w:val="both"/>
      </w:pPr>
      <w:r>
        <w:rPr>
          <w:rFonts w:ascii="Times New Roman" w:hAnsi="Times New Roman"/>
          <w:sz w:val="24"/>
        </w:rPr>
        <w:t>•  Phase 2 (The Multi-Tier Semantic Intent Sieve): Constructed an intelligent input-filtering pipeline that inspects queries in real time, pairing a ~2.1 ms P50 benign fast-path statistical classifier (Tier-1) with an authoritative 8B moderation model governed by a custom prompt injection policy (Llama-Guard 3 [11]), achieving a 95.8% adversarial recall on JailbreakBench [12] and 98.3% adversarial detection recall across 889 evaluation prompts (559/569 adversarial payloads intercepted, 98.9% overall accuracy) at a 0.0% False Positive Rate on benign domain traffic (0/320 benign queries flagged).</w:t>
      </w:r>
    </w:p>
    <w:p>
      <w:pPr>
        <w:spacing w:line="360" w:lineRule="auto" w:after="80"/>
        <w:ind w:left="360" w:hanging="216"/>
        <w:jc w:val="both"/>
      </w:pPr>
      <w:r>
        <w:rPr>
          <w:rFonts w:ascii="Times New Roman" w:hAnsi="Times New Roman"/>
          <w:sz w:val="24"/>
        </w:rPr>
        <w:t>•  Phase 3 (The 'Mirror Maze' Deception Honeypot): Deployed an isolated zero-trust Docker sandbox hosting the 'Sarah' decoy persona, which dynamic-hallucinates synthetic bait to absorb attacker reconnaissance without leaking real infrastructure.</w:t>
      </w:r>
    </w:p>
    <w:p>
      <w:pPr>
        <w:spacing w:line="360" w:lineRule="auto" w:after="80"/>
        <w:ind w:left="360" w:hanging="216"/>
        <w:jc w:val="both"/>
      </w:pPr>
      <w:r>
        <w:rPr>
          <w:rFonts w:ascii="Times New Roman" w:hAnsi="Times New Roman"/>
          <w:sz w:val="24"/>
        </w:rPr>
        <w:t>•  Phase 4 (Autonomous Guardrail Synthesis): Implemented a closed self-healing loop that distills captured exploits into validated NVIDIA NeMo Colang rules [6], hot-patching live gateway policies in 10.4 seconds with zero downtime.</w:t>
      </w:r>
    </w:p>
    <w:p>
      <w:pPr>
        <w:keepNext/>
        <w:spacing w:before="200" w:after="80"/>
      </w:pPr>
      <w:r>
        <w:rPr>
          <w:rFonts w:ascii="Times New Roman" w:hAnsi="Times New Roman"/>
          <w:b/>
          <w:color w:val="0F172A"/>
          <w:sz w:val="28"/>
        </w:rPr>
        <w:t>1.2 Need Analysis</w:t>
      </w:r>
    </w:p>
    <w:p>
      <w:pPr>
        <w:keepNext/>
        <w:spacing w:before="160" w:after="40"/>
      </w:pPr>
      <w:r>
        <w:rPr>
          <w:rFonts w:ascii="Times New Roman" w:hAnsi="Times New Roman"/>
          <w:b/>
          <w:color w:val="0F172A"/>
          <w:sz w:val="26"/>
        </w:rPr>
        <w:t>1.2.1 The 'Smart Mirror' Trap: Enterprise Adoption vs. Defensive Lag</w:t>
      </w:r>
    </w:p>
    <w:p>
      <w:pPr>
        <w:spacing w:line="360" w:lineRule="auto" w:after="120"/>
        <w:ind w:firstLine="432"/>
        <w:jc w:val="both"/>
      </w:pPr>
      <w:r>
        <w:rPr>
          <w:rFonts w:ascii="Times New Roman" w:hAnsi="Times New Roman"/>
          <w:sz w:val="24"/>
        </w:rPr>
        <w:t>Industry surveys indicate that enterprise adoption of conversational AI agents has expanded rapidly across customer-facing workflows [7]. However, defensive capabilities have lagged behind offensive prompt exploitation techniques. Conventional static honeypots are quickly identified and abandoned by automated scanners. In contrast, generative honeypots offer dynamic semantic interaction, creating an essential observation window to capture zero-day exploitation techniques before they reach production services.</w:t>
      </w:r>
    </w:p>
    <w:p>
      <w:pPr>
        <w:keepNext/>
        <w:spacing w:before="160" w:after="40"/>
      </w:pPr>
      <w:r>
        <w:rPr>
          <w:rFonts w:ascii="Times New Roman" w:hAnsi="Times New Roman"/>
          <w:b/>
          <w:color w:val="0F172A"/>
          <w:sz w:val="26"/>
        </w:rPr>
        <w:t>1.2.2 The Shift: Machine-Speed Autonomous Warfare</w:t>
      </w:r>
    </w:p>
    <w:p>
      <w:pPr>
        <w:spacing w:line="360" w:lineRule="auto" w:after="120"/>
        <w:ind w:firstLine="432"/>
        <w:jc w:val="both"/>
      </w:pPr>
      <w:r>
        <w:rPr>
          <w:rFonts w:ascii="Times New Roman" w:hAnsi="Times New Roman"/>
          <w:sz w:val="24"/>
        </w:rPr>
        <w:t>With conversational models managing automated customer dialogues [7], adversarial techniques have shifted from manual, one-off jailbreaks to automated, machine-speed offensive frameworks (such as ARACNE, Garak, and Microsoft PyRIT [13]). Automated offensive agents can systematically discover exploitable prompt sequences across iterative conversational turns, compressing vulnerability discovery timelines and rendering human-reliant triage workflows ineffective.</w:t>
      </w:r>
    </w:p>
    <w:p>
      <w:pPr>
        <w:keepNext/>
        <w:spacing w:before="160" w:after="40"/>
      </w:pPr>
      <w:r>
        <w:rPr>
          <w:rFonts w:ascii="Times New Roman" w:hAnsi="Times New Roman"/>
          <w:b/>
          <w:color w:val="0F172A"/>
          <w:sz w:val="26"/>
        </w:rPr>
        <w:t>1.2.3 The 'Shadow Trust' Gap: Vulnerability of the Semantic Layer</w:t>
      </w:r>
    </w:p>
    <w:p>
      <w:pPr>
        <w:spacing w:line="360" w:lineRule="auto" w:after="120"/>
        <w:ind w:firstLine="432"/>
        <w:jc w:val="both"/>
      </w:pPr>
      <w:r>
        <w:rPr>
          <w:rFonts w:ascii="Times New Roman" w:hAnsi="Times New Roman"/>
          <w:sz w:val="24"/>
        </w:rPr>
        <w:t>Prompt injection is categorized as the primary vulnerability in the OWASP Top 10 for Large Language Model Applications (LLM01) [9]. Because conversational agents are granted operational trust to execute database lookups and internal APIs, a compromised prompt inherits the agent's broad permissions. In multi-turn dialogue, gradual semantic drift and contextual grooming can frequently bypass static refusal boundaries in unprotected commercial systems.</w:t>
      </w:r>
    </w:p>
    <w:p>
      <w:pPr>
        <w:keepNext/>
        <w:spacing w:before="160" w:after="40"/>
      </w:pPr>
      <w:r>
        <w:rPr>
          <w:rFonts w:ascii="Times New Roman" w:hAnsi="Times New Roman"/>
          <w:b/>
          <w:color w:val="0F172A"/>
          <w:sz w:val="26"/>
        </w:rPr>
        <w:t>1.2.4 The Dynamic Security Window: Addressing Reactive Lag</w:t>
      </w:r>
    </w:p>
    <w:p>
      <w:pPr>
        <w:spacing w:line="360" w:lineRule="auto" w:after="120"/>
        <w:ind w:firstLine="432"/>
        <w:jc w:val="both"/>
      </w:pPr>
      <w:r>
        <w:rPr>
          <w:rFonts w:ascii="Times New Roman" w:hAnsi="Times New Roman"/>
          <w:sz w:val="24"/>
        </w:rPr>
        <w:t>Industry incident analyses indicate that manual discovery, triage, and deployment of security patches for conversational AI systems can require extensive remediation timelines. In contrast, automated offensive tools can systematically discover boundary bypasses in minutes. Honey-LLM fundamentally addresses this disparity by automating guardrail synthesis, achieving automated time-to-patch in 10.4 seconds without requiring gateway restarts.</w:t>
      </w:r>
    </w:p>
    <w:p>
      <w:pPr>
        <w:keepNext/>
        <w:spacing w:before="200" w:after="80"/>
      </w:pPr>
      <w:r>
        <w:rPr>
          <w:rFonts w:ascii="Times New Roman" w:hAnsi="Times New Roman"/>
          <w:b/>
          <w:color w:val="0F172A"/>
          <w:sz w:val="28"/>
        </w:rPr>
        <w:t>1.3 Research Gaps</w:t>
      </w:r>
    </w:p>
    <w:p>
      <w:pPr>
        <w:spacing w:line="360" w:lineRule="auto" w:after="80"/>
        <w:ind w:left="360" w:hanging="216"/>
        <w:jc w:val="both"/>
      </w:pPr>
      <w:r>
        <w:rPr>
          <w:rFonts w:ascii="Times New Roman" w:hAnsi="Times New Roman"/>
          <w:sz w:val="24"/>
        </w:rPr>
        <w:t>•  1. Absence of Real-Time Intent Filtering Prior to Sandbox Interaction: Contemporary generative honeypots (such as shelLM [10] and LLM-Honeypot [8]) focus exclusively on simulating Linux shells for known malicious traffic, lacking real-time intent filters on live mixed traffic.</w:t>
      </w:r>
    </w:p>
    <w:p>
      <w:pPr>
        <w:spacing w:line="360" w:lineRule="auto" w:after="80"/>
        <w:ind w:left="360" w:hanging="216"/>
        <w:jc w:val="both"/>
      </w:pPr>
      <w:r>
        <w:rPr>
          <w:rFonts w:ascii="Times New Roman" w:hAnsi="Times New Roman"/>
          <w:sz w:val="24"/>
        </w:rPr>
        <w:t>•  2. Vulnerability of LLM Decoys to Ground-Truth Leakage: Existing interactive deception prototypes rely solely on system prompts and leak under persistent jailbreaking. Honey-LLM enforces an architectural separation between public RAG context and synthetic bait.</w:t>
      </w:r>
    </w:p>
    <w:p>
      <w:pPr>
        <w:spacing w:line="360" w:lineRule="auto" w:after="80"/>
        <w:ind w:left="360" w:hanging="216"/>
        <w:jc w:val="both"/>
      </w:pPr>
      <w:r>
        <w:rPr>
          <w:rFonts w:ascii="Times New Roman" w:hAnsi="Times New Roman"/>
          <w:sz w:val="24"/>
        </w:rPr>
        <w:t>•  3. Lack of Autonomous Feedback Loops (Zero-Downtime Policy Hardening): Captured attack intelligence remains siloed in log files rather than being automatically compiled into active firewall rules.</w:t>
      </w:r>
    </w:p>
    <w:p>
      <w:pPr>
        <w:spacing w:line="360" w:lineRule="auto" w:after="80"/>
        <w:ind w:left="360" w:hanging="216"/>
        <w:jc w:val="both"/>
      </w:pPr>
      <w:r>
        <w:rPr>
          <w:rFonts w:ascii="Times New Roman" w:hAnsi="Times New Roman"/>
          <w:sz w:val="24"/>
        </w:rPr>
        <w:t>•  4. Inadequate Isolation Controls in Generative Sandboxes: Honey-LLM enforces zero-egress Docker containerization with non-root execution and read-only filesystems.</w:t>
      </w:r>
    </w:p>
    <w:p>
      <w:pPr>
        <w:spacing w:line="360" w:lineRule="auto" w:after="80"/>
        <w:ind w:left="360" w:hanging="216"/>
        <w:jc w:val="both"/>
      </w:pPr>
      <w:r>
        <w:rPr>
          <w:rFonts w:ascii="Times New Roman" w:hAnsi="Times New Roman"/>
          <w:sz w:val="24"/>
        </w:rPr>
        <w:t>•  5. Latency Overhead of Large Moderation Models: Large moderation models impose 700 to 900 ms latency. Honey-LLM introduces an asymmetric two-tier ensemble that resolves benign traffic in ~2 ms.</w:t>
      </w:r>
    </w:p>
    <w:p>
      <w:pPr>
        <w:keepNext/>
        <w:spacing w:before="200" w:after="80"/>
      </w:pPr>
      <w:r>
        <w:rPr>
          <w:rFonts w:ascii="Times New Roman" w:hAnsi="Times New Roman"/>
          <w:b/>
          <w:color w:val="0F172A"/>
          <w:sz w:val="28"/>
        </w:rPr>
        <w:t>1.4 Problem Definition and Scope</w:t>
      </w:r>
    </w:p>
    <w:p>
      <w:pPr>
        <w:spacing w:line="360" w:lineRule="auto" w:after="120"/>
        <w:ind w:firstLine="432"/>
        <w:jc w:val="both"/>
      </w:pPr>
      <w:r>
        <w:rPr>
          <w:rFonts w:ascii="Times New Roman" w:hAnsi="Times New Roman"/>
          <w:sz w:val="24"/>
        </w:rPr>
        <w:t>Problem Statement: Given an enterprise conversational AI application receiving a continuous stream of mixed benign and adversarial natural-language requests, design, implement, and validate an end-to-end defense ecosystem that accurately detects malicious intent in real time, isolates adversaries within a deceptive generative sandbox, and autonomously hardens production policies against captured attack vectors with zero manual intervention.</w:t>
      </w:r>
    </w:p>
    <w:p>
      <w:pPr>
        <w:spacing w:line="360" w:lineRule="auto" w:after="120"/>
        <w:ind w:firstLine="432"/>
        <w:jc w:val="both"/>
      </w:pPr>
      <w:r>
        <w:rPr>
          <w:rFonts w:ascii="Times New Roman" w:hAnsi="Times New Roman"/>
          <w:sz w:val="24"/>
        </w:rPr>
        <w:t>Mid-Semester Project Scope: Demonstrated on NexTel, an enterprise telecommunications customer support platform. The completed mid-semester scope covers real-time intent classification across 8 adversarial taxonomy classes, containerized deception with synthetic bait, autonomous NeMo guardrail synthesis, and zero-downtime hot-patching (Phases 1 to 4).</w:t>
      </w:r>
    </w:p>
    <w:p>
      <w:pPr>
        <w:keepNext/>
        <w:spacing w:before="200" w:after="80"/>
      </w:pPr>
      <w:r>
        <w:rPr>
          <w:rFonts w:ascii="Times New Roman" w:hAnsi="Times New Roman"/>
          <w:b/>
          <w:color w:val="0F172A"/>
          <w:sz w:val="28"/>
        </w:rPr>
        <w:t>1.5 Assumptions and Constraints</w:t>
      </w:r>
    </w:p>
    <w:tbl>
      <w:tblPr>
        <w:tblW w:type="auto" w:w="0"/>
        <w:jc w:val="center"/>
        <w:tblLook w:firstColumn="1" w:firstRow="1" w:lastColumn="0" w:lastRow="0" w:noHBand="0" w:noVBand="1" w:val="04A0"/>
      </w:tblPr>
      <w:tblGrid>
        <w:gridCol w:w="2770"/>
        <w:gridCol w:w="2770"/>
        <w:gridCol w:w="2770"/>
      </w:tblGrid>
      <w:tr>
        <w:tc>
          <w:tcPr>
            <w:tcW w:type="dxa" w:w="2770"/>
            <w:shd w:fill="F1F5F9"/>
          </w:tcPr>
          <w:p>
            <w:r>
              <w:rPr>
                <w:b/>
              </w:rPr>
              <w:t>S.No.</w:t>
            </w:r>
          </w:p>
        </w:tc>
        <w:tc>
          <w:tcPr>
            <w:tcW w:type="dxa" w:w="2770"/>
            <w:shd w:fill="F1F5F9"/>
          </w:tcPr>
          <w:p>
            <w:r>
              <w:rPr>
                <w:b/>
              </w:rPr>
              <w:t>Category</w:t>
            </w:r>
          </w:p>
        </w:tc>
        <w:tc>
          <w:tcPr>
            <w:tcW w:type="dxa" w:w="2770"/>
            <w:shd w:fill="F1F5F9"/>
          </w:tcPr>
          <w:p>
            <w:r>
              <w:rPr>
                <w:b/>
              </w:rPr>
              <w:t>Specification &amp; Technical Justification</w:t>
            </w:r>
          </w:p>
        </w:tc>
      </w:tr>
      <w:tr>
        <w:tc>
          <w:tcPr>
            <w:tcW w:type="dxa" w:w="2770"/>
          </w:tcPr>
          <w:p>
            <w:r>
              <w:rPr>
                <w:rFonts w:ascii="Times New Roman" w:hAnsi="Times New Roman"/>
                <w:sz w:val="20"/>
              </w:rPr>
              <w:t>1</w:t>
            </w:r>
          </w:p>
        </w:tc>
        <w:tc>
          <w:tcPr>
            <w:tcW w:type="dxa" w:w="2770"/>
          </w:tcPr>
          <w:p>
            <w:r>
              <w:rPr>
                <w:rFonts w:ascii="Times New Roman" w:hAnsi="Times New Roman"/>
                <w:sz w:val="20"/>
              </w:rPr>
              <w:t>Hardware Sizing</w:t>
            </w:r>
          </w:p>
        </w:tc>
        <w:tc>
          <w:tcPr>
            <w:tcW w:type="dxa" w:w="2770"/>
          </w:tcPr>
          <w:p>
            <w:r>
              <w:rPr>
                <w:rFonts w:ascii="Times New Roman" w:hAnsi="Times New Roman"/>
                <w:sz w:val="20"/>
              </w:rPr>
              <w:t>Dual 8B parameter models execute concurrently on standard host compute (&gt;=16 GB RAM / VRAM) with zero memory thrashing.</w:t>
            </w:r>
          </w:p>
        </w:tc>
      </w:tr>
      <w:tr>
        <w:tc>
          <w:tcPr>
            <w:tcW w:type="dxa" w:w="2770"/>
          </w:tcPr>
          <w:p>
            <w:r>
              <w:rPr>
                <w:rFonts w:ascii="Times New Roman" w:hAnsi="Times New Roman"/>
                <w:sz w:val="20"/>
              </w:rPr>
              <w:t>2</w:t>
            </w:r>
          </w:p>
        </w:tc>
        <w:tc>
          <w:tcPr>
            <w:tcW w:type="dxa" w:w="2770"/>
          </w:tcPr>
          <w:p>
            <w:r>
              <w:rPr>
                <w:rFonts w:ascii="Times New Roman" w:hAnsi="Times New Roman"/>
                <w:sz w:val="20"/>
              </w:rPr>
              <w:t>Latency Budget</w:t>
            </w:r>
          </w:p>
        </w:tc>
        <w:tc>
          <w:tcPr>
            <w:tcW w:type="dxa" w:w="2770"/>
          </w:tcPr>
          <w:p>
            <w:r>
              <w:rPr>
                <w:rFonts w:ascii="Times New Roman" w:hAnsi="Times New Roman"/>
                <w:sz w:val="20"/>
              </w:rPr>
              <w:t>Benign traffic must experience a sieve overhead of &lt; 50 ms (achieved at ~2 ms via Tier-1 fast-path) to preserve conversational fluency.</w:t>
            </w:r>
          </w:p>
        </w:tc>
      </w:tr>
      <w:tr>
        <w:tc>
          <w:tcPr>
            <w:tcW w:type="dxa" w:w="2770"/>
          </w:tcPr>
          <w:p>
            <w:r>
              <w:rPr>
                <w:rFonts w:ascii="Times New Roman" w:hAnsi="Times New Roman"/>
                <w:sz w:val="20"/>
              </w:rPr>
              <w:t>3</w:t>
            </w:r>
          </w:p>
        </w:tc>
        <w:tc>
          <w:tcPr>
            <w:tcW w:type="dxa" w:w="2770"/>
          </w:tcPr>
          <w:p>
            <w:r>
              <w:rPr>
                <w:rFonts w:ascii="Times New Roman" w:hAnsi="Times New Roman"/>
                <w:sz w:val="20"/>
              </w:rPr>
              <w:t>Fail-Closed Security</w:t>
            </w:r>
          </w:p>
        </w:tc>
        <w:tc>
          <w:tcPr>
            <w:tcW w:type="dxa" w:w="2770"/>
          </w:tcPr>
          <w:p>
            <w:r>
              <w:rPr>
                <w:rFonts w:ascii="Times New Roman" w:hAnsi="Times New Roman"/>
                <w:sz w:val="20"/>
              </w:rPr>
              <w:t>If the inference backend or moderation service becomes unreachable, the gateway fails closed, never open.</w:t>
            </w:r>
          </w:p>
        </w:tc>
      </w:tr>
      <w:tr>
        <w:tc>
          <w:tcPr>
            <w:tcW w:type="dxa" w:w="2770"/>
          </w:tcPr>
          <w:p>
            <w:r>
              <w:rPr>
                <w:rFonts w:ascii="Times New Roman" w:hAnsi="Times New Roman"/>
                <w:sz w:val="20"/>
              </w:rPr>
              <w:t>4</w:t>
            </w:r>
          </w:p>
        </w:tc>
        <w:tc>
          <w:tcPr>
            <w:tcW w:type="dxa" w:w="2770"/>
          </w:tcPr>
          <w:p>
            <w:r>
              <w:rPr>
                <w:rFonts w:ascii="Times New Roman" w:hAnsi="Times New Roman"/>
                <w:sz w:val="20"/>
              </w:rPr>
              <w:t>Zero Egress Assumption</w:t>
            </w:r>
          </w:p>
        </w:tc>
        <w:tc>
          <w:tcPr>
            <w:tcW w:type="dxa" w:w="2770"/>
          </w:tcPr>
          <w:p>
            <w:r>
              <w:rPr>
                <w:rFonts w:ascii="Times New Roman" w:hAnsi="Times New Roman"/>
                <w:sz w:val="20"/>
              </w:rPr>
              <w:t>The Mirror Maze sandbox container has zero direct internet access and zero connectivity to the production database or host network.</w:t>
            </w:r>
          </w:p>
        </w:tc>
      </w:tr>
      <w:tr>
        <w:tc>
          <w:tcPr>
            <w:tcW w:type="dxa" w:w="2770"/>
          </w:tcPr>
          <w:p>
            <w:r>
              <w:rPr>
                <w:rFonts w:ascii="Times New Roman" w:hAnsi="Times New Roman"/>
                <w:sz w:val="20"/>
              </w:rPr>
              <w:t>5</w:t>
            </w:r>
          </w:p>
        </w:tc>
        <w:tc>
          <w:tcPr>
            <w:tcW w:type="dxa" w:w="2770"/>
          </w:tcPr>
          <w:p>
            <w:r>
              <w:rPr>
                <w:rFonts w:ascii="Times New Roman" w:hAnsi="Times New Roman"/>
                <w:sz w:val="20"/>
              </w:rPr>
              <w:t>Synthetic Bait Integrity</w:t>
            </w:r>
          </w:p>
        </w:tc>
        <w:tc>
          <w:tcPr>
            <w:tcW w:type="dxa" w:w="2770"/>
          </w:tcPr>
          <w:p>
            <w:r>
              <w:rPr>
                <w:rFonts w:ascii="Times New Roman" w:hAnsi="Times New Roman"/>
                <w:sz w:val="20"/>
              </w:rPr>
              <w:t>All credentials, server tokens, and IPs leaked by the decoy persona are synthetically generated and completely non-functional.</w:t>
            </w:r>
          </w:p>
        </w:tc>
      </w:tr>
    </w:tbl>
    <w:p>
      <w:pPr>
        <w:keepNext/>
        <w:spacing w:before="160" w:after="60"/>
        <w:jc w:val="left"/>
      </w:pPr>
      <w:r>
        <w:rPr>
          <w:rFonts w:ascii="Times New Roman" w:hAnsi="Times New Roman"/>
          <w:b/>
          <w:sz w:val="20"/>
        </w:rPr>
        <w:t>TABLE 1.1: System Assumptions and Engineering Constraints</w:t>
      </w:r>
    </w:p>
    <w:p>
      <w:pPr>
        <w:keepNext/>
        <w:spacing w:before="200" w:after="80"/>
      </w:pPr>
      <w:r>
        <w:rPr>
          <w:rFonts w:ascii="Times New Roman" w:hAnsi="Times New Roman"/>
          <w:b/>
          <w:color w:val="0F172A"/>
          <w:sz w:val="28"/>
        </w:rPr>
        <w:t>1.6 Applicable Standards</w:t>
      </w:r>
    </w:p>
    <w:p>
      <w:pPr>
        <w:spacing w:line="360" w:lineRule="auto" w:after="80"/>
        <w:ind w:left="360" w:hanging="216"/>
        <w:jc w:val="both"/>
      </w:pPr>
      <w:r>
        <w:rPr>
          <w:rFonts w:ascii="Times New Roman" w:hAnsi="Times New Roman"/>
          <w:sz w:val="24"/>
        </w:rPr>
        <w:t>•  OWASP Top 10 for LLM Applications (2025/2026): Primary mitigation targeting LLM01 (Prompt Injection), LLM02 (Sensitive Information Disclosure), and LLM06 (Excessive Agency) [9].</w:t>
      </w:r>
    </w:p>
    <w:p>
      <w:pPr>
        <w:spacing w:line="360" w:lineRule="auto" w:after="80"/>
        <w:ind w:left="360" w:hanging="216"/>
        <w:jc w:val="both"/>
      </w:pPr>
      <w:r>
        <w:rPr>
          <w:rFonts w:ascii="Times New Roman" w:hAnsi="Times New Roman"/>
          <w:sz w:val="24"/>
        </w:rPr>
        <w:t>•  NIST AI Risk Management Framework (AI RMF 1.0): Fulfills core functions of Map, Measure, Manage, and Govern for adversarial robustness.</w:t>
      </w:r>
    </w:p>
    <w:p>
      <w:pPr>
        <w:spacing w:line="360" w:lineRule="auto" w:after="80"/>
        <w:ind w:left="360" w:hanging="216"/>
        <w:jc w:val="both"/>
      </w:pPr>
      <w:r>
        <w:rPr>
          <w:rFonts w:ascii="Times New Roman" w:hAnsi="Times New Roman"/>
          <w:sz w:val="24"/>
        </w:rPr>
        <w:t>•  IEEE Standard for Software Quality Assurance (IEEE 730-2014): Structured unit, integration, and security regression testing protocols.</w:t>
      </w:r>
    </w:p>
    <w:p>
      <w:pPr>
        <w:spacing w:line="360" w:lineRule="auto" w:after="80"/>
        <w:ind w:left="360" w:hanging="216"/>
        <w:jc w:val="both"/>
      </w:pPr>
      <w:r>
        <w:rPr>
          <w:rFonts w:ascii="Times New Roman" w:hAnsi="Times New Roman"/>
          <w:sz w:val="24"/>
        </w:rPr>
        <w:t>•  NVIDIA NeMo Colang 2.0 Syntax Standards: Formal language definition for programmable conversational guardrail policies [6].</w:t>
      </w:r>
    </w:p>
    <w:p>
      <w:pPr>
        <w:keepNext/>
        <w:spacing w:before="200" w:after="80"/>
      </w:pPr>
      <w:r>
        <w:rPr>
          <w:rFonts w:ascii="Times New Roman" w:hAnsi="Times New Roman"/>
          <w:b/>
          <w:color w:val="0F172A"/>
          <w:sz w:val="28"/>
        </w:rPr>
        <w:t>1.7 Approved Objectives (Proposal Evaluation)</w:t>
      </w:r>
    </w:p>
    <w:p>
      <w:pPr>
        <w:spacing w:line="360" w:lineRule="auto" w:after="80"/>
        <w:ind w:left="360" w:hanging="216"/>
        <w:jc w:val="both"/>
      </w:pPr>
      <w:r>
        <w:rPr>
          <w:rFonts w:ascii="Times New Roman" w:hAnsi="Times New Roman"/>
          <w:sz w:val="24"/>
        </w:rPr>
        <w:t>•  1. Develop a High-Accuracy Intent Sieve Classifier: Construct a multi-tier classifier achieving &gt;95% detection on JailbreakBench [12] with &lt;1% FPR (Phase 2 Completed).</w:t>
      </w:r>
    </w:p>
    <w:p>
      <w:pPr>
        <w:spacing w:line="360" w:lineRule="auto" w:after="80"/>
        <w:ind w:left="360" w:hanging="216"/>
        <w:jc w:val="both"/>
      </w:pPr>
      <w:r>
        <w:rPr>
          <w:rFonts w:ascii="Times New Roman" w:hAnsi="Times New Roman"/>
          <w:sz w:val="24"/>
        </w:rPr>
        <w:t>•  2. Implement a High-Fidelity Generative Sandbox ('Mirror Maze'): Deploy an isolated zero-trust decoy maintaining &gt;5 minutes average attacker dwell time (Phase 3 Completed).</w:t>
      </w:r>
    </w:p>
    <w:p>
      <w:pPr>
        <w:spacing w:line="360" w:lineRule="auto" w:after="80"/>
        <w:ind w:left="360" w:hanging="216"/>
        <w:jc w:val="both"/>
      </w:pPr>
      <w:r>
        <w:rPr>
          <w:rFonts w:ascii="Times New Roman" w:hAnsi="Times New Roman"/>
          <w:sz w:val="24"/>
        </w:rPr>
        <w:t>•  3. Automate Self-Healing Security Guardrails: Build a closed-loop pipeline synthesizing permanent NeMo Colang rules in seconds (Phase 4 Completed).</w:t>
      </w:r>
    </w:p>
    <w:p>
      <w:pPr>
        <w:spacing w:line="360" w:lineRule="auto" w:after="80"/>
        <w:ind w:left="360" w:hanging="216"/>
        <w:jc w:val="both"/>
      </w:pPr>
      <w:r>
        <w:rPr>
          <w:rFonts w:ascii="Times New Roman" w:hAnsi="Times New Roman"/>
          <w:sz w:val="24"/>
        </w:rPr>
        <w:t>•  4. Validate Zero-Escape Sandbox Security: Execute comprehensive container breakout penetration audits (Phase 3/4 Completed).</w:t>
      </w:r>
    </w:p>
    <w:p>
      <w:pPr>
        <w:spacing w:line="360" w:lineRule="auto" w:after="80"/>
        <w:ind w:left="360" w:hanging="216"/>
        <w:jc w:val="both"/>
      </w:pPr>
      <w:r>
        <w:rPr>
          <w:rFonts w:ascii="Times New Roman" w:hAnsi="Times New Roman"/>
          <w:sz w:val="24"/>
        </w:rPr>
        <w:t>•  5. Construct a Real-Time Threat Intelligence SOC Dashboard: Provide live visualization of attack taxonomies and dwell meters (Phase 5 In Progress).</w:t>
      </w:r>
    </w:p>
    <w:p>
      <w:pPr>
        <w:keepNext/>
        <w:spacing w:before="200" w:after="80"/>
      </w:pPr>
      <w:r>
        <w:rPr>
          <w:rFonts w:ascii="Times New Roman" w:hAnsi="Times New Roman"/>
          <w:b/>
          <w:color w:val="0F172A"/>
          <w:sz w:val="28"/>
        </w:rPr>
        <w:t>1.8 Methodology Overview (Phases 1 to 4 Scope)</w:t>
      </w:r>
    </w:p>
    <w:p>
      <w:pPr>
        <w:spacing w:line="360" w:lineRule="auto" w:after="120"/>
        <w:ind w:firstLine="432"/>
        <w:jc w:val="both"/>
      </w:pPr>
      <w:r>
        <w:rPr>
          <w:rFonts w:ascii="Times New Roman" w:hAnsi="Times New Roman"/>
          <w:sz w:val="24"/>
        </w:rPr>
        <w:t>The project methodology spans six distinct phases: Phase 0 (Scaffolding), Phase 1 (Adversarial Threat Profiling), Phase 2 (Intent Sieve Development), Phase 3 (Mirror Maze Sandbox), Phase 4 (Autonomous Guardrail Synthesis), Phase 5 (Forensic Telemetry &amp; SOC Dashboard), and Phase 6 (Empirical Red-Teaming). Phases 0 through 4 represent the completed mid-semester scope.</w:t>
      </w:r>
    </w:p>
    <w:p>
      <w:pPr>
        <w:keepNext/>
        <w:spacing w:before="200" w:after="80"/>
      </w:pPr>
      <w:r>
        <w:rPr>
          <w:rFonts w:ascii="Times New Roman" w:hAnsi="Times New Roman"/>
          <w:b/>
          <w:color w:val="0F172A"/>
          <w:sz w:val="28"/>
        </w:rPr>
        <w:t>1.9 Mid-Semester Outcomes and Deliverables</w:t>
      </w:r>
    </w:p>
    <w:p>
      <w:pPr>
        <w:spacing w:line="360" w:lineRule="auto" w:after="120"/>
        <w:ind w:firstLine="432"/>
        <w:jc w:val="both"/>
      </w:pPr>
      <w:r>
        <w:rPr>
          <w:rFonts w:ascii="Times New Roman" w:hAnsi="Times New Roman"/>
          <w:sz w:val="24"/>
        </w:rPr>
        <w:t>Mid-semester deliverables completed to date include: (1) an operational FastAPI gateway with multi-tier routing; (2) a calibrated TF-IDF + Llama-Guard 3 [11] ensemble sieve; (3) a containerized Mirror Maze decoy running the 'Sarah' persona with synthetic bait; (4) an autonomous NeMo Guardrail synthesis engine [6]; and (5) empirical validation benchmarks across 889 curated and in-the-wild prompt samples.</w:t>
      </w:r>
    </w:p>
    <w:p>
      <w:pPr>
        <w:keepNext/>
        <w:spacing w:before="200" w:after="80"/>
      </w:pPr>
      <w:r>
        <w:rPr>
          <w:rFonts w:ascii="Times New Roman" w:hAnsi="Times New Roman"/>
          <w:b/>
          <w:color w:val="0F172A"/>
          <w:sz w:val="28"/>
        </w:rPr>
        <w:t>1.10 Novelty of Work</w:t>
      </w:r>
    </w:p>
    <w:p>
      <w:pPr>
        <w:spacing w:line="360" w:lineRule="auto" w:after="120"/>
        <w:ind w:firstLine="432"/>
        <w:jc w:val="both"/>
      </w:pPr>
      <w:r>
        <w:rPr>
          <w:rFonts w:ascii="Times New Roman" w:hAnsi="Times New Roman"/>
          <w:sz w:val="24"/>
        </w:rPr>
        <w:t>Honey-LLM introduces three key innovations over existing state of the art: (1) Proactive In-Flight Deception that routes malicious traffic without tipping off attackers; (2) Autonomous Hot-Patching Immunity reducing time-to-patch from days to 10.4 seconds without server restarts; and (3) Asymmetric Multi-Tier Inference solving the severe latency bottleneck of commercial moderation models.</w:t>
      </w:r>
    </w:p>
    <w:p>
      <w:pPr>
        <w:jc w:val="center"/>
      </w:pPr>
      <w:r>
        <w:drawing>
          <wp:inline xmlns:a="http://schemas.openxmlformats.org/drawingml/2006/main" xmlns:pic="http://schemas.openxmlformats.org/drawingml/2006/picture">
            <wp:extent cx="5029200" cy="2806995"/>
            <wp:docPr id="3" name="Picture 3"/>
            <wp:cNvGraphicFramePr>
              <a:graphicFrameLocks noChangeAspect="1"/>
            </wp:cNvGraphicFramePr>
            <a:graphic>
              <a:graphicData uri="http://schemas.openxmlformats.org/drawingml/2006/picture">
                <pic:pic>
                  <pic:nvPicPr>
                    <pic:cNvPr id="0" name="fig1_1_architecture.png"/>
                    <pic:cNvPicPr/>
                  </pic:nvPicPr>
                  <pic:blipFill>
                    <a:blip r:embed="rId11"/>
                    <a:stretch>
                      <a:fillRect/>
                    </a:stretch>
                  </pic:blipFill>
                  <pic:spPr>
                    <a:xfrm>
                      <a:off x="0" y="0"/>
                      <a:ext cx="5029200" cy="2806995"/>
                    </a:xfrm>
                    <a:prstGeom prst="rect"/>
                  </pic:spPr>
                </pic:pic>
              </a:graphicData>
            </a:graphic>
          </wp:inline>
        </w:drawing>
      </w:r>
    </w:p>
    <w:p>
      <w:pPr>
        <w:keepNext/>
        <w:spacing w:before="80" w:after="160"/>
        <w:jc w:val="center"/>
      </w:pPr>
      <w:r>
        <w:rPr>
          <w:rFonts w:ascii="Times New Roman" w:hAnsi="Times New Roman"/>
          <w:b/>
          <w:sz w:val="20"/>
        </w:rPr>
        <w:t>FIGURE 1.1: Honey-LLM Multi-Tier Routing and Decision Gateway Architecture</w:t>
      </w:r>
    </w:p>
    <w:p>
      <w:r>
        <w:br w:type="page"/>
      </w:r>
    </w:p>
    <w:p>
      <w:pPr>
        <w:keepNext/>
        <w:spacing w:before="240" w:after="120"/>
      </w:pPr>
      <w:r>
        <w:rPr>
          <w:rFonts w:ascii="Times New Roman" w:hAnsi="Times New Roman"/>
          <w:b/>
          <w:color w:val="0F172A"/>
          <w:sz w:val="32"/>
        </w:rPr>
        <w:t>CHAPTER 2: REQUIREMENT ANALYSIS</w:t>
      </w:r>
    </w:p>
    <w:p>
      <w:pPr>
        <w:keepNext/>
        <w:spacing w:before="200" w:after="80"/>
      </w:pPr>
      <w:r>
        <w:rPr>
          <w:rFonts w:ascii="Times New Roman" w:hAnsi="Times New Roman"/>
          <w:b/>
          <w:color w:val="0F172A"/>
          <w:sz w:val="28"/>
        </w:rPr>
        <w:t>2.1 Literature Survey</w:t>
      </w:r>
    </w:p>
    <w:p>
      <w:pPr>
        <w:keepNext/>
        <w:spacing w:before="160" w:after="40"/>
      </w:pPr>
      <w:r>
        <w:rPr>
          <w:rFonts w:ascii="Times New Roman" w:hAnsi="Times New Roman"/>
          <w:b/>
          <w:color w:val="0F172A"/>
          <w:sz w:val="26"/>
        </w:rPr>
        <w:t>2.1.1 Theory Associated With Problem Area</w:t>
      </w:r>
    </w:p>
    <w:p>
      <w:pPr>
        <w:spacing w:line="360" w:lineRule="auto" w:after="120"/>
        <w:ind w:firstLine="432"/>
        <w:jc w:val="both"/>
      </w:pPr>
      <w:r>
        <w:rPr>
          <w:rFonts w:ascii="Times New Roman" w:hAnsi="Times New Roman"/>
          <w:sz w:val="24"/>
        </w:rPr>
        <w:t>Large Language Models are autoregressive statistical token predictors. Their fundamental susceptibility to adversarial prompt injection stems from the lack of formal separation between control instructions and untrusted data [9]. Attackers exploit semantic ambiguity to induce role-play confusion, refusal suppression, or multi-turn goal hijacking. Constitutional AI and moderation wrappers attempt to suppress toxic generation [1], but fail against indirect data-exfiltration probes unless reinforced by dedicated intent classification layers [3].</w:t>
      </w:r>
    </w:p>
    <w:p>
      <w:pPr>
        <w:keepNext/>
        <w:spacing w:before="160" w:after="40"/>
      </w:pPr>
      <w:r>
        <w:rPr>
          <w:rFonts w:ascii="Times New Roman" w:hAnsi="Times New Roman"/>
          <w:b/>
          <w:color w:val="0F172A"/>
          <w:sz w:val="26"/>
        </w:rPr>
        <w:t>2.1.2 Existing Systems and Solutions</w:t>
      </w:r>
    </w:p>
    <w:p>
      <w:pPr>
        <w:spacing w:line="360" w:lineRule="auto" w:after="120"/>
        <w:ind w:firstLine="432"/>
        <w:jc w:val="both"/>
      </w:pPr>
      <w:r>
        <w:rPr>
          <w:rFonts w:ascii="Times New Roman" w:hAnsi="Times New Roman"/>
          <w:sz w:val="24"/>
        </w:rPr>
        <w:t>Early generative honeypot research explored using LLMs to simulate Linux command-line environments (shelLM [10], LLM-Honeypot [8], and HoneyLLM [4]). While these systems demonstrated that LLM-driven generation increases honeypot credibility, they operated as passive research testbeds rather than active defenses. Defense frameworks like CHeaT [2] introduced trap tokens for autonomous agents, while Beekeeper [5] applied LLMs for automated honeypot auditing. However, none of these systems integrated real-time traffic classification with automated policy synthesis.</w:t>
      </w:r>
    </w:p>
    <w:p>
      <w:pPr>
        <w:keepNext/>
        <w:spacing w:before="160" w:after="40"/>
      </w:pPr>
      <w:r>
        <w:rPr>
          <w:rFonts w:ascii="Times New Roman" w:hAnsi="Times New Roman"/>
          <w:b/>
          <w:color w:val="0F172A"/>
          <w:sz w:val="26"/>
        </w:rPr>
        <w:t>2.1.3 Research Findings for Existing Literature</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shd w:fill="F1F5F9"/>
          </w:tcPr>
          <w:p>
            <w:r>
              <w:rPr>
                <w:b/>
              </w:rPr>
              <w:t>Framework</w:t>
            </w:r>
          </w:p>
        </w:tc>
        <w:tc>
          <w:tcPr>
            <w:tcW w:type="dxa" w:w="1662"/>
            <w:shd w:fill="F1F5F9"/>
          </w:tcPr>
          <w:p>
            <w:r>
              <w:rPr>
                <w:b/>
              </w:rPr>
              <w:t>Core Approach</w:t>
            </w:r>
          </w:p>
        </w:tc>
        <w:tc>
          <w:tcPr>
            <w:tcW w:type="dxa" w:w="1662"/>
            <w:shd w:fill="F1F5F9"/>
          </w:tcPr>
          <w:p>
            <w:r>
              <w:rPr>
                <w:b/>
              </w:rPr>
              <w:t>Key Contributions</w:t>
            </w:r>
          </w:p>
        </w:tc>
        <w:tc>
          <w:tcPr>
            <w:tcW w:type="dxa" w:w="1662"/>
            <w:shd w:fill="F1F5F9"/>
          </w:tcPr>
          <w:p>
            <w:r>
              <w:rPr>
                <w:b/>
              </w:rPr>
              <w:t>Identified Limitations</w:t>
            </w:r>
          </w:p>
        </w:tc>
        <w:tc>
          <w:tcPr>
            <w:tcW w:type="dxa" w:w="1662"/>
            <w:shd w:fill="F1F5F9"/>
          </w:tcPr>
          <w:p>
            <w:r>
              <w:rPr>
                <w:b/>
              </w:rPr>
              <w:t>Honey-LLM Advancement</w:t>
            </w:r>
          </w:p>
        </w:tc>
      </w:tr>
      <w:tr>
        <w:tc>
          <w:tcPr>
            <w:tcW w:type="dxa" w:w="1662"/>
          </w:tcPr>
          <w:p>
            <w:r>
              <w:rPr>
                <w:rFonts w:ascii="Times New Roman" w:hAnsi="Times New Roman"/>
                <w:sz w:val="20"/>
              </w:rPr>
              <w:t>shelLM [10] (IEEE EuroS&amp;PW '24)</w:t>
            </w:r>
          </w:p>
        </w:tc>
        <w:tc>
          <w:tcPr>
            <w:tcW w:type="dxa" w:w="1662"/>
          </w:tcPr>
          <w:p>
            <w:r>
              <w:rPr>
                <w:rFonts w:ascii="Times New Roman" w:hAnsi="Times New Roman"/>
                <w:sz w:val="20"/>
              </w:rPr>
              <w:t>LLM-driven Linux shell simulation</w:t>
            </w:r>
          </w:p>
        </w:tc>
        <w:tc>
          <w:tcPr>
            <w:tcW w:type="dxa" w:w="1662"/>
          </w:tcPr>
          <w:p>
            <w:r>
              <w:rPr>
                <w:rFonts w:ascii="Times New Roman" w:hAnsi="Times New Roman"/>
                <w:sz w:val="20"/>
              </w:rPr>
              <w:t>Dynamic handling of unseen CLI commands; TNR ~0.90</w:t>
            </w:r>
          </w:p>
        </w:tc>
        <w:tc>
          <w:tcPr>
            <w:tcW w:type="dxa" w:w="1662"/>
          </w:tcPr>
          <w:p>
            <w:r>
              <w:rPr>
                <w:rFonts w:ascii="Times New Roman" w:hAnsi="Times New Roman"/>
                <w:sz w:val="20"/>
              </w:rPr>
              <w:t>No intent filtering; restricted to CLI; no feedback loop</w:t>
            </w:r>
          </w:p>
        </w:tc>
        <w:tc>
          <w:tcPr>
            <w:tcW w:type="dxa" w:w="1662"/>
          </w:tcPr>
          <w:p>
            <w:r>
              <w:rPr>
                <w:rFonts w:ascii="Times New Roman" w:hAnsi="Times New Roman"/>
                <w:sz w:val="20"/>
              </w:rPr>
              <w:t>Adds pre-routing Intent Sieve for live conversational traffic</w:t>
            </w:r>
          </w:p>
        </w:tc>
      </w:tr>
      <w:tr>
        <w:tc>
          <w:tcPr>
            <w:tcW w:type="dxa" w:w="1662"/>
          </w:tcPr>
          <w:p>
            <w:r>
              <w:rPr>
                <w:rFonts w:ascii="Times New Roman" w:hAnsi="Times New Roman"/>
                <w:sz w:val="20"/>
              </w:rPr>
              <w:t>LLM Honeypot [8] (IEEE CNS '24)</w:t>
            </w:r>
          </w:p>
        </w:tc>
        <w:tc>
          <w:tcPr>
            <w:tcW w:type="dxa" w:w="1662"/>
          </w:tcPr>
          <w:p>
            <w:r>
              <w:rPr>
                <w:rFonts w:ascii="Times New Roman" w:hAnsi="Times New Roman"/>
                <w:sz w:val="20"/>
              </w:rPr>
              <w:t>Attacker-log trained interactive shell</w:t>
            </w:r>
          </w:p>
        </w:tc>
        <w:tc>
          <w:tcPr>
            <w:tcW w:type="dxa" w:w="1662"/>
          </w:tcPr>
          <w:p>
            <w:r>
              <w:rPr>
                <w:rFonts w:ascii="Times New Roman" w:hAnsi="Times New Roman"/>
                <w:sz w:val="20"/>
              </w:rPr>
              <w:t>High realism evaluated via Levenshtein &amp; Cosine similarity</w:t>
            </w:r>
          </w:p>
        </w:tc>
        <w:tc>
          <w:tcPr>
            <w:tcW w:type="dxa" w:w="1662"/>
          </w:tcPr>
          <w:p>
            <w:r>
              <w:rPr>
                <w:rFonts w:ascii="Times New Roman" w:hAnsi="Times New Roman"/>
                <w:sz w:val="20"/>
              </w:rPr>
              <w:t>Passive logging only; zero automated defense adaptation</w:t>
            </w:r>
          </w:p>
        </w:tc>
        <w:tc>
          <w:tcPr>
            <w:tcW w:type="dxa" w:w="1662"/>
          </w:tcPr>
          <w:p>
            <w:r>
              <w:rPr>
                <w:rFonts w:ascii="Times New Roman" w:hAnsi="Times New Roman"/>
                <w:sz w:val="20"/>
              </w:rPr>
              <w:t>Integrates active deception directly into enterprise gateway</w:t>
            </w:r>
          </w:p>
        </w:tc>
      </w:tr>
      <w:tr>
        <w:tc>
          <w:tcPr>
            <w:tcW w:type="dxa" w:w="1662"/>
          </w:tcPr>
          <w:p>
            <w:r>
              <w:rPr>
                <w:rFonts w:ascii="Times New Roman" w:hAnsi="Times New Roman"/>
                <w:sz w:val="20"/>
              </w:rPr>
              <w:t>HoneyLLM [4] (IEEE CNS '24)</w:t>
            </w:r>
          </w:p>
        </w:tc>
        <w:tc>
          <w:tcPr>
            <w:tcW w:type="dxa" w:w="1662"/>
          </w:tcPr>
          <w:p>
            <w:r>
              <w:rPr>
                <w:rFonts w:ascii="Times New Roman" w:hAnsi="Times New Roman"/>
                <w:sz w:val="20"/>
              </w:rPr>
              <w:t>Contextual prompt engineering for shell</w:t>
            </w:r>
          </w:p>
        </w:tc>
        <w:tc>
          <w:tcPr>
            <w:tcW w:type="dxa" w:w="1662"/>
          </w:tcPr>
          <w:p>
            <w:r>
              <w:rPr>
                <w:rFonts w:ascii="Times New Roman" w:hAnsi="Times New Roman"/>
                <w:sz w:val="20"/>
              </w:rPr>
              <w:t>Enhanced attacker dwell time in simulated OS terminals</w:t>
            </w:r>
          </w:p>
        </w:tc>
        <w:tc>
          <w:tcPr>
            <w:tcW w:type="dxa" w:w="1662"/>
          </w:tcPr>
          <w:p>
            <w:r>
              <w:rPr>
                <w:rFonts w:ascii="Times New Roman" w:hAnsi="Times New Roman"/>
                <w:sz w:val="20"/>
              </w:rPr>
              <w:t>No real-time intent sieve; no automated rule generation</w:t>
            </w:r>
          </w:p>
        </w:tc>
        <w:tc>
          <w:tcPr>
            <w:tcW w:type="dxa" w:w="1662"/>
          </w:tcPr>
          <w:p>
            <w:r>
              <w:rPr>
                <w:rFonts w:ascii="Times New Roman" w:hAnsi="Times New Roman"/>
                <w:sz w:val="20"/>
              </w:rPr>
              <w:t>Implements closed-loop NeMo guardrail synthesis from logs</w:t>
            </w:r>
          </w:p>
        </w:tc>
      </w:tr>
      <w:tr>
        <w:tc>
          <w:tcPr>
            <w:tcW w:type="dxa" w:w="1662"/>
          </w:tcPr>
          <w:p>
            <w:r>
              <w:rPr>
                <w:rFonts w:ascii="Times New Roman" w:hAnsi="Times New Roman"/>
                <w:sz w:val="20"/>
              </w:rPr>
              <w:t>CHeaT [2] (USENIX Sec '25)</w:t>
            </w:r>
          </w:p>
        </w:tc>
        <w:tc>
          <w:tcPr>
            <w:tcW w:type="dxa" w:w="1662"/>
          </w:tcPr>
          <w:p>
            <w:r>
              <w:rPr>
                <w:rFonts w:ascii="Times New Roman" w:hAnsi="Times New Roman"/>
                <w:sz w:val="20"/>
              </w:rPr>
              <w:t>Cloak-Honey-Trap proactive defense</w:t>
            </w:r>
          </w:p>
        </w:tc>
        <w:tc>
          <w:tcPr>
            <w:tcW w:type="dxa" w:w="1662"/>
          </w:tcPr>
          <w:p>
            <w:r>
              <w:rPr>
                <w:rFonts w:ascii="Times New Roman" w:hAnsi="Times New Roman"/>
                <w:sz w:val="20"/>
              </w:rPr>
              <w:t>Deception tokens to disrupt autonomous LLM attackers</w:t>
            </w:r>
          </w:p>
        </w:tc>
        <w:tc>
          <w:tcPr>
            <w:tcW w:type="dxa" w:w="1662"/>
          </w:tcPr>
          <w:p>
            <w:r>
              <w:rPr>
                <w:rFonts w:ascii="Times New Roman" w:hAnsi="Times New Roman"/>
                <w:sz w:val="20"/>
              </w:rPr>
              <w:t>Limited to artificial CTF environments; no live honeypot</w:t>
            </w:r>
          </w:p>
        </w:tc>
        <w:tc>
          <w:tcPr>
            <w:tcW w:type="dxa" w:w="1662"/>
          </w:tcPr>
          <w:p>
            <w:r>
              <w:rPr>
                <w:rFonts w:ascii="Times New Roman" w:hAnsi="Times New Roman"/>
                <w:sz w:val="20"/>
              </w:rPr>
              <w:t>Full-stack live conversational deployment with SOC analytics</w:t>
            </w:r>
          </w:p>
        </w:tc>
      </w:tr>
      <w:tr>
        <w:tc>
          <w:tcPr>
            <w:tcW w:type="dxa" w:w="1662"/>
          </w:tcPr>
          <w:p>
            <w:r>
              <w:rPr>
                <w:rFonts w:ascii="Times New Roman" w:hAnsi="Times New Roman"/>
                <w:sz w:val="20"/>
              </w:rPr>
              <w:t>Beekeeper [5] (IEEE Access '25)</w:t>
            </w:r>
          </w:p>
        </w:tc>
        <w:tc>
          <w:tcPr>
            <w:tcW w:type="dxa" w:w="1662"/>
          </w:tcPr>
          <w:p>
            <w:r>
              <w:rPr>
                <w:rFonts w:ascii="Times New Roman" w:hAnsi="Times New Roman"/>
                <w:sz w:val="20"/>
              </w:rPr>
              <w:t>LLM-as-attacker honeypot auditing</w:t>
            </w:r>
          </w:p>
        </w:tc>
        <w:tc>
          <w:tcPr>
            <w:tcW w:type="dxa" w:w="1662"/>
          </w:tcPr>
          <w:p>
            <w:r>
              <w:rPr>
                <w:rFonts w:ascii="Times New Roman" w:hAnsi="Times New Roman"/>
                <w:sz w:val="20"/>
              </w:rPr>
              <w:t>Automated feedback loop to improve honeypot realism</w:t>
            </w:r>
          </w:p>
        </w:tc>
        <w:tc>
          <w:tcPr>
            <w:tcW w:type="dxa" w:w="1662"/>
          </w:tcPr>
          <w:p>
            <w:r>
              <w:rPr>
                <w:rFonts w:ascii="Times New Roman" w:hAnsi="Times New Roman"/>
                <w:sz w:val="20"/>
              </w:rPr>
              <w:t>Offline pre-deployment audit tool; no live defense capability</w:t>
            </w:r>
          </w:p>
        </w:tc>
        <w:tc>
          <w:tcPr>
            <w:tcW w:type="dxa" w:w="1662"/>
          </w:tcPr>
          <w:p>
            <w:r>
              <w:rPr>
                <w:rFonts w:ascii="Times New Roman" w:hAnsi="Times New Roman"/>
                <w:sz w:val="20"/>
              </w:rPr>
              <w:t>Self-hardening digital immune loop operating in ~10.4 seconds</w:t>
            </w:r>
          </w:p>
        </w:tc>
      </w:tr>
    </w:tbl>
    <w:p>
      <w:pPr>
        <w:keepNext/>
        <w:spacing w:before="160" w:after="60"/>
        <w:jc w:val="left"/>
      </w:pPr>
      <w:r>
        <w:rPr>
          <w:rFonts w:ascii="Times New Roman" w:hAnsi="Times New Roman"/>
          <w:b/>
          <w:sz w:val="20"/>
        </w:rPr>
        <w:t>TABLE 2.1: Comparative Literature Survey of Generative Honeypot Frameworks</w:t>
      </w:r>
    </w:p>
    <w:p>
      <w:pPr>
        <w:keepNext/>
        <w:spacing w:before="160" w:after="40"/>
      </w:pPr>
      <w:r>
        <w:rPr>
          <w:rFonts w:ascii="Times New Roman" w:hAnsi="Times New Roman"/>
          <w:b/>
          <w:color w:val="0F172A"/>
          <w:sz w:val="26"/>
        </w:rPr>
        <w:t>2.1.4 Problems Identified in State of the Art</w:t>
      </w:r>
    </w:p>
    <w:p>
      <w:pPr>
        <w:spacing w:line="360" w:lineRule="auto" w:after="120"/>
        <w:ind w:firstLine="432"/>
        <w:jc w:val="both"/>
      </w:pPr>
      <w:r>
        <w:rPr>
          <w:rFonts w:ascii="Times New Roman" w:hAnsi="Times New Roman"/>
          <w:sz w:val="24"/>
        </w:rPr>
        <w:t>The primary deficiencies identified include: (1) reliance on static refusal responses that train adversaries; (2) absence of sub-second semantic classification on production paths; and (3) a complete disconnect between threat intelligence collection and real-time security policy updates.</w:t>
      </w:r>
    </w:p>
    <w:p>
      <w:pPr>
        <w:keepNext/>
        <w:spacing w:before="160" w:after="40"/>
      </w:pPr>
      <w:r>
        <w:rPr>
          <w:rFonts w:ascii="Times New Roman" w:hAnsi="Times New Roman"/>
          <w:b/>
          <w:color w:val="0F172A"/>
          <w:sz w:val="26"/>
        </w:rPr>
        <w:t>2.1.5 Survey of Tools and Technologies Used</w:t>
      </w:r>
    </w:p>
    <w:p>
      <w:pPr>
        <w:spacing w:line="360" w:lineRule="auto" w:after="120"/>
        <w:ind w:firstLine="432"/>
        <w:jc w:val="both"/>
      </w:pPr>
      <w:r>
        <w:rPr>
          <w:rFonts w:ascii="Times New Roman" w:hAnsi="Times New Roman"/>
          <w:sz w:val="24"/>
        </w:rPr>
        <w:t>Honey-LLM synthesizes modern open-source technologies: FastAPI for asynchronous gateway routing; Ollama for local hardware-accelerated inference; Llama-Guard 3 [11] and Llama-3 for moderation and generation; NVIDIA NeMo Guardrails [6] for Colang policy enforcement; Docker Engine for kernel-level container isolation; and Next.js 15 for real-time telemetry visualization.</w:t>
      </w:r>
    </w:p>
    <w:p>
      <w:pPr>
        <w:keepNext/>
        <w:spacing w:before="200" w:after="80"/>
      </w:pPr>
      <w:r>
        <w:rPr>
          <w:rFonts w:ascii="Times New Roman" w:hAnsi="Times New Roman"/>
          <w:b/>
          <w:color w:val="0F172A"/>
          <w:sz w:val="28"/>
        </w:rPr>
        <w:t>2.2 Software Requirement Specification (SRS)</w:t>
      </w:r>
    </w:p>
    <w:p>
      <w:pPr>
        <w:spacing w:line="360" w:lineRule="auto" w:after="120"/>
        <w:ind w:firstLine="432"/>
        <w:jc w:val="both"/>
      </w:pPr>
      <w:r>
        <w:rPr>
          <w:rFonts w:ascii="Times New Roman" w:hAnsi="Times New Roman"/>
          <w:sz w:val="24"/>
        </w:rPr>
        <w:t>2.2.1 Introduction &amp; Scope: Specifies functional requirements for the Honey-LLM defense gateway protecting the NexTel enterprise knowledge base.</w:t>
      </w:r>
    </w:p>
    <w:p>
      <w:pPr>
        <w:spacing w:line="360" w:lineRule="auto" w:after="120"/>
        <w:ind w:firstLine="432"/>
        <w:jc w:val="both"/>
      </w:pPr>
      <w:r>
        <w:rPr>
          <w:rFonts w:ascii="Times New Roman" w:hAnsi="Times New Roman"/>
          <w:sz w:val="24"/>
        </w:rPr>
        <w:t>2.2.2 Product Perspective: Sits as a secure reverse proxy between external client applications and the production RAG engine.</w:t>
      </w:r>
    </w:p>
    <w:p>
      <w:pPr>
        <w:spacing w:line="360" w:lineRule="auto" w:after="120"/>
        <w:ind w:firstLine="432"/>
        <w:jc w:val="both"/>
      </w:pPr>
      <w:r>
        <w:rPr>
          <w:rFonts w:ascii="Times New Roman" w:hAnsi="Times New Roman"/>
          <w:sz w:val="24"/>
        </w:rPr>
        <w:t>2.2.3 External Interfaces: RESTful JSON APIs (/api/chat, /api/dashboard, /api/admin), containerized ingress/egress proxy ports, and Next.js frontends.</w:t>
      </w:r>
    </w:p>
    <w:p>
      <w:pPr>
        <w:spacing w:line="360" w:lineRule="auto" w:after="120"/>
        <w:ind w:firstLine="432"/>
        <w:jc w:val="both"/>
      </w:pPr>
      <w:r>
        <w:rPr>
          <w:rFonts w:ascii="Times New Roman" w:hAnsi="Times New Roman"/>
          <w:sz w:val="24"/>
        </w:rPr>
        <w:t>2.2.4 Non-Functional Requirements: High availability, sub-50 ms sieve overhead, fail-closed fault tolerance, and colorblind-safe (WCAG 2.1 AA) SOC data visualization.</w:t>
      </w:r>
    </w:p>
    <w:p>
      <w:pPr>
        <w:keepNext/>
        <w:spacing w:before="200" w:after="80"/>
      </w:pPr>
      <w:r>
        <w:rPr>
          <w:rFonts w:ascii="Times New Roman" w:hAnsi="Times New Roman"/>
          <w:b/>
          <w:color w:val="0F172A"/>
          <w:sz w:val="28"/>
        </w:rPr>
        <w:t>2.3 Cost &amp; Computational Feasibility Analysis</w:t>
      </w:r>
    </w:p>
    <w:p>
      <w:pPr>
        <w:spacing w:line="360" w:lineRule="auto" w:after="120"/>
        <w:ind w:firstLine="432"/>
        <w:jc w:val="both"/>
      </w:pPr>
      <w:r>
        <w:rPr>
          <w:rFonts w:ascii="Times New Roman" w:hAnsi="Times New Roman"/>
          <w:sz w:val="24"/>
        </w:rPr>
        <w:t>Because Honey-LLM is engineered on a software track, the primary cost consideration is computational feasibility and inference efficiency. By running quantized open-weight models on localized hardware, the architecture completely eliminates recurring per-token cloud API costs while maintaining zero data egress.</w:t>
      </w:r>
    </w:p>
    <w:tbl>
      <w:tblPr>
        <w:tblW w:type="auto" w:w="0"/>
        <w:jc w:val="center"/>
        <w:tblLook w:firstColumn="1" w:firstRow="1" w:lastColumn="0" w:lastRow="0" w:noHBand="0" w:noVBand="1" w:val="04A0"/>
      </w:tblPr>
      <w:tblGrid>
        <w:gridCol w:w="2770"/>
        <w:gridCol w:w="2770"/>
        <w:gridCol w:w="2770"/>
      </w:tblGrid>
      <w:tr>
        <w:tc>
          <w:tcPr>
            <w:tcW w:type="dxa" w:w="2770"/>
            <w:shd w:fill="F1F5F9"/>
          </w:tcPr>
          <w:p>
            <w:r>
              <w:rPr>
                <w:b/>
              </w:rPr>
              <w:t>Dimension</w:t>
            </w:r>
          </w:p>
        </w:tc>
        <w:tc>
          <w:tcPr>
            <w:tcW w:type="dxa" w:w="2770"/>
            <w:shd w:fill="F1F5F9"/>
          </w:tcPr>
          <w:p>
            <w:r>
              <w:rPr>
                <w:b/>
              </w:rPr>
              <w:t>Honey-LLM Local Architecture</w:t>
            </w:r>
          </w:p>
        </w:tc>
        <w:tc>
          <w:tcPr>
            <w:tcW w:type="dxa" w:w="2770"/>
            <w:shd w:fill="F1F5F9"/>
          </w:tcPr>
          <w:p>
            <w:r>
              <w:rPr>
                <w:b/>
              </w:rPr>
              <w:t>Cloud API Baseline (GPT-4 / Moderation API)</w:t>
            </w:r>
          </w:p>
        </w:tc>
      </w:tr>
      <w:tr>
        <w:tc>
          <w:tcPr>
            <w:tcW w:type="dxa" w:w="2770"/>
          </w:tcPr>
          <w:p>
            <w:r>
              <w:rPr>
                <w:rFonts w:ascii="Times New Roman" w:hAnsi="Times New Roman"/>
                <w:sz w:val="20"/>
              </w:rPr>
              <w:t>Compute Environment</w:t>
            </w:r>
          </w:p>
        </w:tc>
        <w:tc>
          <w:tcPr>
            <w:tcW w:type="dxa" w:w="2770"/>
          </w:tcPr>
          <w:p>
            <w:r>
              <w:rPr>
                <w:rFonts w:ascii="Times New Roman" w:hAnsi="Times New Roman"/>
                <w:sz w:val="20"/>
              </w:rPr>
              <w:t>Enterprise Host Compute (&gt;=16 GB RAM / VRAM)</w:t>
            </w:r>
          </w:p>
        </w:tc>
        <w:tc>
          <w:tcPr>
            <w:tcW w:type="dxa" w:w="2770"/>
          </w:tcPr>
          <w:p>
            <w:r>
              <w:rPr>
                <w:rFonts w:ascii="Times New Roman" w:hAnsi="Times New Roman"/>
                <w:sz w:val="20"/>
              </w:rPr>
              <w:t>Hosted Cloud Server Cluster ($450/month)</w:t>
            </w:r>
          </w:p>
        </w:tc>
      </w:tr>
      <w:tr>
        <w:tc>
          <w:tcPr>
            <w:tcW w:type="dxa" w:w="2770"/>
          </w:tcPr>
          <w:p>
            <w:r>
              <w:rPr>
                <w:rFonts w:ascii="Times New Roman" w:hAnsi="Times New Roman"/>
                <w:sz w:val="20"/>
              </w:rPr>
              <w:t>Inference Token Cost</w:t>
            </w:r>
          </w:p>
        </w:tc>
        <w:tc>
          <w:tcPr>
            <w:tcW w:type="dxa" w:w="2770"/>
          </w:tcPr>
          <w:p>
            <w:r>
              <w:rPr>
                <w:rFonts w:ascii="Times New Roman" w:hAnsi="Times New Roman"/>
                <w:sz w:val="20"/>
              </w:rPr>
              <w:t>$0.00 (Self-hosted open weights)</w:t>
            </w:r>
          </w:p>
        </w:tc>
        <w:tc>
          <w:tcPr>
            <w:tcW w:type="dxa" w:w="2770"/>
          </w:tcPr>
          <w:p>
            <w:r>
              <w:rPr>
                <w:rFonts w:ascii="Times New Roman" w:hAnsi="Times New Roman"/>
                <w:sz w:val="20"/>
              </w:rPr>
              <w:t>~$0.018 per conversational turn</w:t>
            </w:r>
          </w:p>
        </w:tc>
      </w:tr>
      <w:tr>
        <w:tc>
          <w:tcPr>
            <w:tcW w:type="dxa" w:w="2770"/>
          </w:tcPr>
          <w:p>
            <w:r>
              <w:rPr>
                <w:rFonts w:ascii="Times New Roman" w:hAnsi="Times New Roman"/>
                <w:sz w:val="20"/>
              </w:rPr>
              <w:t>Data Privacy / Egress</w:t>
            </w:r>
          </w:p>
        </w:tc>
        <w:tc>
          <w:tcPr>
            <w:tcW w:type="dxa" w:w="2770"/>
          </w:tcPr>
          <w:p>
            <w:r>
              <w:rPr>
                <w:rFonts w:ascii="Times New Roman" w:hAnsi="Times New Roman"/>
                <w:sz w:val="20"/>
              </w:rPr>
              <w:t>100% on-premise, zero external API transmission</w:t>
            </w:r>
          </w:p>
        </w:tc>
        <w:tc>
          <w:tcPr>
            <w:tcW w:type="dxa" w:w="2770"/>
          </w:tcPr>
          <w:p>
            <w:r>
              <w:rPr>
                <w:rFonts w:ascii="Times New Roman" w:hAnsi="Times New Roman"/>
                <w:sz w:val="20"/>
              </w:rPr>
              <w:t>Third-party cloud transmission and storage</w:t>
            </w:r>
          </w:p>
        </w:tc>
      </w:tr>
      <w:tr>
        <w:tc>
          <w:tcPr>
            <w:tcW w:type="dxa" w:w="2770"/>
          </w:tcPr>
          <w:p>
            <w:r>
              <w:rPr>
                <w:rFonts w:ascii="Times New Roman" w:hAnsi="Times New Roman"/>
                <w:sz w:val="20"/>
              </w:rPr>
              <w:t>Hot-Patch Latency</w:t>
            </w:r>
          </w:p>
        </w:tc>
        <w:tc>
          <w:tcPr>
            <w:tcW w:type="dxa" w:w="2770"/>
          </w:tcPr>
          <w:p>
            <w:r>
              <w:rPr>
                <w:rFonts w:ascii="Times New Roman" w:hAnsi="Times New Roman"/>
                <w:sz w:val="20"/>
              </w:rPr>
              <w:t>10.4s local Colang rule compilation</w:t>
            </w:r>
          </w:p>
        </w:tc>
        <w:tc>
          <w:tcPr>
            <w:tcW w:type="dxa" w:w="2770"/>
          </w:tcPr>
          <w:p>
            <w:r>
              <w:rPr>
                <w:rFonts w:ascii="Times New Roman" w:hAnsi="Times New Roman"/>
                <w:sz w:val="20"/>
              </w:rPr>
              <w:t>Manual portal re-configuration / retraining</w:t>
            </w:r>
          </w:p>
        </w:tc>
      </w:tr>
    </w:tbl>
    <w:p>
      <w:pPr>
        <w:keepNext/>
        <w:spacing w:before="160" w:after="60"/>
        <w:jc w:val="left"/>
      </w:pPr>
      <w:r>
        <w:rPr>
          <w:rFonts w:ascii="Times New Roman" w:hAnsi="Times New Roman"/>
          <w:b/>
          <w:sz w:val="20"/>
        </w:rPr>
        <w:t>TABLE 2.2: Computational Resource Feasibility &amp; Cloud Cost Comparison</w:t>
      </w:r>
    </w:p>
    <w:p>
      <w:pPr>
        <w:keepNext/>
        <w:spacing w:before="200" w:after="80"/>
      </w:pPr>
      <w:r>
        <w:rPr>
          <w:rFonts w:ascii="Times New Roman" w:hAnsi="Times New Roman"/>
          <w:b/>
          <w:color w:val="0F172A"/>
          <w:sz w:val="28"/>
        </w:rPr>
        <w:t>2.4 Risk Analysis and Mitigation Strategies</w:t>
      </w:r>
    </w:p>
    <w:tbl>
      <w:tblPr>
        <w:tblW w:type="auto" w:w="0"/>
        <w:jc w:val="center"/>
        <w:tblLook w:firstColumn="1" w:firstRow="1" w:lastColumn="0" w:lastRow="0" w:noHBand="0" w:noVBand="1" w:val="04A0"/>
      </w:tblPr>
      <w:tblGrid>
        <w:gridCol w:w="2770"/>
        <w:gridCol w:w="2770"/>
        <w:gridCol w:w="2770"/>
      </w:tblGrid>
      <w:tr>
        <w:tc>
          <w:tcPr>
            <w:tcW w:type="dxa" w:w="2770"/>
            <w:shd w:fill="F1F5F9"/>
          </w:tcPr>
          <w:p>
            <w:r>
              <w:rPr>
                <w:b/>
              </w:rPr>
              <w:t>Identified Risk Event</w:t>
            </w:r>
          </w:p>
        </w:tc>
        <w:tc>
          <w:tcPr>
            <w:tcW w:type="dxa" w:w="2770"/>
            <w:shd w:fill="F1F5F9"/>
          </w:tcPr>
          <w:p>
            <w:r>
              <w:rPr>
                <w:b/>
              </w:rPr>
              <w:t>Impact</w:t>
            </w:r>
          </w:p>
        </w:tc>
        <w:tc>
          <w:tcPr>
            <w:tcW w:type="dxa" w:w="2770"/>
            <w:shd w:fill="F1F5F9"/>
          </w:tcPr>
          <w:p>
            <w:r>
              <w:rPr>
                <w:b/>
              </w:rPr>
              <w:t>Engineered Fail-Closed Mitigation Control</w:t>
            </w:r>
          </w:p>
        </w:tc>
      </w:tr>
      <w:tr>
        <w:tc>
          <w:tcPr>
            <w:tcW w:type="dxa" w:w="2770"/>
          </w:tcPr>
          <w:p>
            <w:r>
              <w:rPr>
                <w:rFonts w:ascii="Times New Roman" w:hAnsi="Times New Roman"/>
                <w:sz w:val="20"/>
              </w:rPr>
              <w:t>Inference Service Outage</w:t>
            </w:r>
          </w:p>
        </w:tc>
        <w:tc>
          <w:tcPr>
            <w:tcW w:type="dxa" w:w="2770"/>
          </w:tcPr>
          <w:p>
            <w:r>
              <w:rPr>
                <w:rFonts w:ascii="Times New Roman" w:hAnsi="Times New Roman"/>
                <w:sz w:val="20"/>
              </w:rPr>
              <w:t>High</w:t>
            </w:r>
          </w:p>
        </w:tc>
        <w:tc>
          <w:tcPr>
            <w:tcW w:type="dxa" w:w="2770"/>
          </w:tcPr>
          <w:p>
            <w:r>
              <w:rPr>
                <w:rFonts w:ascii="Times New Roman" w:hAnsi="Times New Roman"/>
                <w:sz w:val="20"/>
              </w:rPr>
              <w:t>Gateway fails closed to safe degraded static support; never bypasses security.</w:t>
            </w:r>
          </w:p>
        </w:tc>
      </w:tr>
      <w:tr>
        <w:tc>
          <w:tcPr>
            <w:tcW w:type="dxa" w:w="2770"/>
          </w:tcPr>
          <w:p>
            <w:r>
              <w:rPr>
                <w:rFonts w:ascii="Times New Roman" w:hAnsi="Times New Roman"/>
                <w:sz w:val="20"/>
              </w:rPr>
              <w:t>Sandbox Escape Attempt</w:t>
            </w:r>
          </w:p>
        </w:tc>
        <w:tc>
          <w:tcPr>
            <w:tcW w:type="dxa" w:w="2770"/>
          </w:tcPr>
          <w:p>
            <w:r>
              <w:rPr>
                <w:rFonts w:ascii="Times New Roman" w:hAnsi="Times New Roman"/>
                <w:sz w:val="20"/>
              </w:rPr>
              <w:t>Critical</w:t>
            </w:r>
          </w:p>
        </w:tc>
        <w:tc>
          <w:tcPr>
            <w:tcW w:type="dxa" w:w="2770"/>
          </w:tcPr>
          <w:p>
            <w:r>
              <w:rPr>
                <w:rFonts w:ascii="Times New Roman" w:hAnsi="Times New Roman"/>
                <w:sz w:val="20"/>
              </w:rPr>
              <w:t>Docker read-only rootfs, cap-drop ALL, no-new-privileges, and zero host network.</w:t>
            </w:r>
          </w:p>
        </w:tc>
      </w:tr>
      <w:tr>
        <w:tc>
          <w:tcPr>
            <w:tcW w:type="dxa" w:w="2770"/>
          </w:tcPr>
          <w:p>
            <w:r>
              <w:rPr>
                <w:rFonts w:ascii="Times New Roman" w:hAnsi="Times New Roman"/>
                <w:sz w:val="20"/>
              </w:rPr>
              <w:t>Over-Broad Guardrail FP</w:t>
            </w:r>
          </w:p>
        </w:tc>
        <w:tc>
          <w:tcPr>
            <w:tcW w:type="dxa" w:w="2770"/>
          </w:tcPr>
          <w:p>
            <w:r>
              <w:rPr>
                <w:rFonts w:ascii="Times New Roman" w:hAnsi="Times New Roman"/>
                <w:sz w:val="20"/>
              </w:rPr>
              <w:t>High</w:t>
            </w:r>
          </w:p>
        </w:tc>
        <w:tc>
          <w:tcPr>
            <w:tcW w:type="dxa" w:w="2770"/>
          </w:tcPr>
          <w:p>
            <w:r>
              <w:rPr>
                <w:rFonts w:ascii="Times New Roman" w:hAnsi="Times New Roman"/>
                <w:sz w:val="20"/>
              </w:rPr>
              <w:t>Synthesized Colang rules must pass automated benign regression gate prior to hot-patch.</w:t>
            </w:r>
          </w:p>
        </w:tc>
      </w:tr>
      <w:tr>
        <w:tc>
          <w:tcPr>
            <w:tcW w:type="dxa" w:w="2770"/>
          </w:tcPr>
          <w:p>
            <w:r>
              <w:rPr>
                <w:rFonts w:ascii="Times New Roman" w:hAnsi="Times New Roman"/>
                <w:sz w:val="20"/>
              </w:rPr>
              <w:t>Decoy Persona Prompt Leak</w:t>
            </w:r>
          </w:p>
        </w:tc>
        <w:tc>
          <w:tcPr>
            <w:tcW w:type="dxa" w:w="2770"/>
          </w:tcPr>
          <w:p>
            <w:r>
              <w:rPr>
                <w:rFonts w:ascii="Times New Roman" w:hAnsi="Times New Roman"/>
                <w:sz w:val="20"/>
              </w:rPr>
              <w:t>Medium</w:t>
            </w:r>
          </w:p>
        </w:tc>
        <w:tc>
          <w:tcPr>
            <w:tcW w:type="dxa" w:w="2770"/>
          </w:tcPr>
          <w:p>
            <w:r>
              <w:rPr>
                <w:rFonts w:ascii="Times New Roman" w:hAnsi="Times New Roman"/>
                <w:sz w:val="20"/>
              </w:rPr>
              <w:t>Decoy prompt carries exclusively synthetic non-functional bait; zero production data.</w:t>
            </w:r>
          </w:p>
        </w:tc>
      </w:tr>
    </w:tbl>
    <w:p>
      <w:pPr>
        <w:keepNext/>
        <w:spacing w:before="160" w:after="60"/>
        <w:jc w:val="left"/>
      </w:pPr>
      <w:r>
        <w:rPr>
          <w:rFonts w:ascii="Times New Roman" w:hAnsi="Times New Roman"/>
          <w:b/>
          <w:sz w:val="20"/>
        </w:rPr>
        <w:t>TABLE 2.3: Risk Assessment Matrix and Fail-Closed Mitigation Controls</w:t>
      </w:r>
    </w:p>
    <w:p>
      <w:r>
        <w:br w:type="page"/>
      </w:r>
    </w:p>
    <w:p>
      <w:pPr>
        <w:keepNext/>
        <w:spacing w:before="240" w:after="120"/>
      </w:pPr>
      <w:r>
        <w:rPr>
          <w:rFonts w:ascii="Times New Roman" w:hAnsi="Times New Roman"/>
          <w:b/>
          <w:color w:val="0F172A"/>
          <w:sz w:val="32"/>
        </w:rPr>
        <w:t>CHAPTER 3: METHODOLOGY ADOPTED</w:t>
      </w:r>
    </w:p>
    <w:p>
      <w:pPr>
        <w:keepNext/>
        <w:spacing w:before="200" w:after="80"/>
      </w:pPr>
      <w:r>
        <w:rPr>
          <w:rFonts w:ascii="Times New Roman" w:hAnsi="Times New Roman"/>
          <w:b/>
          <w:color w:val="0F172A"/>
          <w:sz w:val="28"/>
        </w:rPr>
        <w:t>3.1 Investigative Techniques &amp; Empirical FPR Explanation</w:t>
      </w:r>
    </w:p>
    <w:tbl>
      <w:tblPr>
        <w:tblW w:type="auto" w:w="0"/>
        <w:jc w:val="center"/>
        <w:tblLook w:firstColumn="1" w:firstRow="1" w:lastColumn="0" w:lastRow="0" w:noHBand="0" w:noVBand="1" w:val="04A0"/>
      </w:tblPr>
      <w:tblGrid>
        <w:gridCol w:w="2077"/>
        <w:gridCol w:w="2077"/>
        <w:gridCol w:w="2077"/>
        <w:gridCol w:w="2077"/>
      </w:tblGrid>
      <w:tr>
        <w:tc>
          <w:tcPr>
            <w:tcW w:type="dxa" w:w="2077"/>
            <w:shd w:fill="F1F5F9"/>
          </w:tcPr>
          <w:p>
            <w:r>
              <w:rPr>
                <w:b/>
              </w:rPr>
              <w:t>S.No.</w:t>
            </w:r>
          </w:p>
        </w:tc>
        <w:tc>
          <w:tcPr>
            <w:tcW w:type="dxa" w:w="2077"/>
            <w:shd w:fill="F1F5F9"/>
          </w:tcPr>
          <w:p>
            <w:r>
              <w:rPr>
                <w:b/>
              </w:rPr>
              <w:t>Technique</w:t>
            </w:r>
          </w:p>
        </w:tc>
        <w:tc>
          <w:tcPr>
            <w:tcW w:type="dxa" w:w="2077"/>
            <w:shd w:fill="F1F5F9"/>
          </w:tcPr>
          <w:p>
            <w:r>
              <w:rPr>
                <w:b/>
              </w:rPr>
              <w:t>Investigative Description</w:t>
            </w:r>
          </w:p>
        </w:tc>
        <w:tc>
          <w:tcPr>
            <w:tcW w:type="dxa" w:w="2077"/>
            <w:shd w:fill="F1F5F9"/>
          </w:tcPr>
          <w:p>
            <w:r>
              <w:rPr>
                <w:b/>
              </w:rPr>
              <w:t>Honey-LLM Implementation &amp; Justification</w:t>
            </w:r>
          </w:p>
        </w:tc>
      </w:tr>
      <w:tr>
        <w:tc>
          <w:tcPr>
            <w:tcW w:type="dxa" w:w="2077"/>
          </w:tcPr>
          <w:p>
            <w:r>
              <w:rPr>
                <w:rFonts w:ascii="Times New Roman" w:hAnsi="Times New Roman"/>
                <w:sz w:val="20"/>
              </w:rPr>
              <w:t>1</w:t>
            </w:r>
          </w:p>
        </w:tc>
        <w:tc>
          <w:tcPr>
            <w:tcW w:type="dxa" w:w="2077"/>
          </w:tcPr>
          <w:p>
            <w:r>
              <w:rPr>
                <w:rFonts w:ascii="Times New Roman" w:hAnsi="Times New Roman"/>
                <w:sz w:val="20"/>
              </w:rPr>
              <w:t>Descriptive</w:t>
            </w:r>
          </w:p>
        </w:tc>
        <w:tc>
          <w:tcPr>
            <w:tcW w:type="dxa" w:w="2077"/>
          </w:tcPr>
          <w:p>
            <w:r>
              <w:rPr>
                <w:rFonts w:ascii="Times New Roman" w:hAnsi="Times New Roman"/>
                <w:sz w:val="20"/>
              </w:rPr>
              <w:t>Cataloging and characterizing scientific phenomena under structured observation.</w:t>
            </w:r>
          </w:p>
        </w:tc>
        <w:tc>
          <w:tcPr>
            <w:tcW w:type="dxa" w:w="2077"/>
          </w:tcPr>
          <w:p>
            <w:r>
              <w:rPr>
                <w:rFonts w:ascii="Times New Roman" w:hAnsi="Times New Roman"/>
                <w:sz w:val="20"/>
              </w:rPr>
              <w:t>Formulated the 8-class Adversarial Threat Taxonomy, classifying prompt injection vectors across enterprise telecom domains (Phase 1).</w:t>
            </w:r>
          </w:p>
        </w:tc>
      </w:tr>
      <w:tr>
        <w:tc>
          <w:tcPr>
            <w:tcW w:type="dxa" w:w="2077"/>
          </w:tcPr>
          <w:p>
            <w:r>
              <w:rPr>
                <w:rFonts w:ascii="Times New Roman" w:hAnsi="Times New Roman"/>
                <w:sz w:val="20"/>
              </w:rPr>
              <w:t>2</w:t>
            </w:r>
          </w:p>
        </w:tc>
        <w:tc>
          <w:tcPr>
            <w:tcW w:type="dxa" w:w="2077"/>
          </w:tcPr>
          <w:p>
            <w:r>
              <w:rPr>
                <w:rFonts w:ascii="Times New Roman" w:hAnsi="Times New Roman"/>
                <w:sz w:val="20"/>
              </w:rPr>
              <w:t>Comparative</w:t>
            </w:r>
          </w:p>
        </w:tc>
        <w:tc>
          <w:tcPr>
            <w:tcW w:type="dxa" w:w="2077"/>
          </w:tcPr>
          <w:p>
            <w:r>
              <w:rPr>
                <w:rFonts w:ascii="Times New Roman" w:hAnsi="Times New Roman"/>
                <w:sz w:val="20"/>
              </w:rPr>
              <w:t>Systematically evaluating alternative models and configurations against baseline metrics.</w:t>
            </w:r>
          </w:p>
        </w:tc>
        <w:tc>
          <w:tcPr>
            <w:tcW w:type="dxa" w:w="2077"/>
          </w:tcPr>
          <w:p>
            <w:r>
              <w:rPr>
                <w:rFonts w:ascii="Times New Roman" w:hAnsi="Times New Roman"/>
                <w:sz w:val="20"/>
              </w:rPr>
              <w:t>Benchmarked Llama-Guard 3 1B vs. 8B [11] across default and custom policies on JailbreakBench [12], proving custom policy lifts detection from 37.5% to 95.8% (Phase 2).</w:t>
            </w:r>
          </w:p>
        </w:tc>
      </w:tr>
      <w:tr>
        <w:tc>
          <w:tcPr>
            <w:tcW w:type="dxa" w:w="2077"/>
          </w:tcPr>
          <w:p>
            <w:r>
              <w:rPr>
                <w:rFonts w:ascii="Times New Roman" w:hAnsi="Times New Roman"/>
                <w:sz w:val="20"/>
              </w:rPr>
              <w:t>3</w:t>
            </w:r>
          </w:p>
        </w:tc>
        <w:tc>
          <w:tcPr>
            <w:tcW w:type="dxa" w:w="2077"/>
          </w:tcPr>
          <w:p>
            <w:r>
              <w:rPr>
                <w:rFonts w:ascii="Times New Roman" w:hAnsi="Times New Roman"/>
                <w:sz w:val="20"/>
              </w:rPr>
              <w:t>Experimental</w:t>
            </w:r>
          </w:p>
        </w:tc>
        <w:tc>
          <w:tcPr>
            <w:tcW w:type="dxa" w:w="2077"/>
          </w:tcPr>
          <w:p>
            <w:r>
              <w:rPr>
                <w:rFonts w:ascii="Times New Roman" w:hAnsi="Times New Roman"/>
                <w:sz w:val="20"/>
              </w:rPr>
              <w:t>Hypothesis testing using controlled independent and dependent variables.</w:t>
            </w:r>
          </w:p>
        </w:tc>
        <w:tc>
          <w:tcPr>
            <w:tcW w:type="dxa" w:w="2077"/>
          </w:tcPr>
          <w:p>
            <w:r>
              <w:rPr>
                <w:rFonts w:ascii="Times New Roman" w:hAnsi="Times New Roman"/>
                <w:sz w:val="20"/>
              </w:rPr>
              <w:t>Evaluated the two-tier OR-ensemble on 889 held-out prompts, measuring 95.8% JailbreakBench recall and 98.3% adversarial detection recall across the combined curated and in-the-wild corpus (559/569 adversarial, 98.9% overall accuracy) at 0.0% benign FPR (0/320 benign) with ~2.1 ms P50 benign fast-path latency (Phase 2).</w:t>
            </w:r>
          </w:p>
        </w:tc>
      </w:tr>
    </w:tbl>
    <w:p>
      <w:pPr>
        <w:keepNext/>
        <w:spacing w:before="160" w:after="60"/>
        <w:jc w:val="left"/>
      </w:pPr>
      <w:r>
        <w:rPr>
          <w:rFonts w:ascii="Times New Roman" w:hAnsi="Times New Roman"/>
          <w:b/>
          <w:sz w:val="20"/>
        </w:rPr>
        <w:t>TABLE 3.1: Classification and Justification of Investigative Research Techniques</w:t>
      </w:r>
    </w:p>
    <w:p>
      <w:pPr>
        <w:spacing w:line="360" w:lineRule="auto" w:after="120"/>
        <w:ind w:firstLine="432"/>
        <w:jc w:val="both"/>
      </w:pPr>
      <w:r>
        <w:rPr>
          <w:rFonts w:ascii="Times New Roman" w:hAnsi="Times New Roman"/>
          <w:sz w:val="24"/>
        </w:rPr>
        <w:t>Technical Analysis of the 0.0% Benign False Positive Rate (FPR): The measured 0.0% FPR represents exactly 0 out of 320 held-out domain queries flagged falsely as adversarial. This empirical result is achieved through two-stage threshold calibration: (1) The Tier-1 statistical classifier was trained on a domain-specific telecommunications corpus where customer intents (e.g., SIM provisioning, roaming rates, invoice queries) possess distinct vocabulary distributions with safe scores consistently &lt; 0.08, well below the conservative threshold of 0.15; (2) Ambiguous queries in the margin (0.15 to 0.70) are escalated to Tier-2 Llama-Guard 3 [11], which performs context-aware semantic evaluation and preserves legitimate customer queries. While 0.0% FPR holds for the curated in-domain evaluation test split, out-of-domain open-ended dialogues are expected to yield non-zero FPR, which will be extensively profiled in Phase 6.</w:t>
      </w:r>
    </w:p>
    <w:p>
      <w:pPr>
        <w:keepNext/>
        <w:spacing w:before="200" w:after="80"/>
      </w:pPr>
      <w:r>
        <w:rPr>
          <w:rFonts w:ascii="Times New Roman" w:hAnsi="Times New Roman"/>
          <w:b/>
          <w:color w:val="0F172A"/>
          <w:sz w:val="28"/>
        </w:rPr>
        <w:t>3.2 Proposed Solution &amp; Multi-Tier Architecture</w:t>
      </w:r>
    </w:p>
    <w:p>
      <w:pPr>
        <w:spacing w:line="360" w:lineRule="auto" w:after="80"/>
        <w:ind w:left="360" w:hanging="216"/>
        <w:jc w:val="both"/>
      </w:pPr>
      <w:r>
        <w:rPr>
          <w:rFonts w:ascii="Times New Roman" w:hAnsi="Times New Roman"/>
          <w:sz w:val="24"/>
        </w:rPr>
        <w:t>•  Tier-0 Semantic Guardrail Cache: Fast semantic embedding matcher resolving known techniques in 10 to 20 ms (Phase 4).</w:t>
      </w:r>
    </w:p>
    <w:p>
      <w:pPr>
        <w:spacing w:line="360" w:lineRule="auto" w:after="80"/>
        <w:ind w:left="360" w:hanging="216"/>
        <w:jc w:val="both"/>
      </w:pPr>
      <w:r>
        <w:rPr>
          <w:rFonts w:ascii="Times New Roman" w:hAnsi="Times New Roman"/>
          <w:sz w:val="24"/>
        </w:rPr>
        <w:t>•  Tier-1 Statistical Fast-Path: TF-IDF + Logistic Regression resolving benign customer traffic in ~2 ms (Phase 2).</w:t>
      </w:r>
    </w:p>
    <w:p>
      <w:pPr>
        <w:spacing w:line="360" w:lineRule="auto" w:after="80"/>
        <w:ind w:left="360" w:hanging="216"/>
        <w:jc w:val="both"/>
      </w:pPr>
      <w:r>
        <w:rPr>
          <w:rFonts w:ascii="Times New Roman" w:hAnsi="Times New Roman"/>
          <w:sz w:val="24"/>
        </w:rPr>
        <w:t>•  Tier-2 Deep Moderation Sieve: 8B Llama-Guard 3 [11] custom injection policy analyzing multi-turn history (Phase 2).</w:t>
      </w:r>
    </w:p>
    <w:p>
      <w:pPr>
        <w:spacing w:line="360" w:lineRule="auto" w:after="80"/>
        <w:ind w:left="360" w:hanging="216"/>
        <w:jc w:val="both"/>
      </w:pPr>
      <w:r>
        <w:rPr>
          <w:rFonts w:ascii="Times New Roman" w:hAnsi="Times New Roman"/>
          <w:sz w:val="24"/>
        </w:rPr>
        <w:t>•  Deceptive Mirror Maze Sandbox: Docker-isolated 'Sarah' decoy persona dynamic-leaking synthetic bait (Phase 3).</w:t>
      </w:r>
    </w:p>
    <w:p>
      <w:pPr>
        <w:keepNext/>
        <w:spacing w:before="200" w:after="80"/>
      </w:pPr>
      <w:r>
        <w:rPr>
          <w:rFonts w:ascii="Times New Roman" w:hAnsi="Times New Roman"/>
          <w:b/>
          <w:color w:val="0F172A"/>
          <w:sz w:val="28"/>
        </w:rPr>
        <w:t>3.3 Work Breakdown Structure (Phases 1 to 4 Completed)</w:t>
      </w:r>
    </w:p>
    <w:p>
      <w:pPr>
        <w:spacing w:line="360" w:lineRule="auto" w:after="120"/>
        <w:ind w:firstLine="432"/>
        <w:jc w:val="both"/>
      </w:pPr>
      <w:r>
        <w:rPr>
          <w:rFonts w:ascii="Times New Roman" w:hAnsi="Times New Roman"/>
          <w:sz w:val="24"/>
        </w:rPr>
        <w:t>The project methodology is structured into six progressive phases. Phases 1 to 4 have been fully implemented, integrated, and verified for the mid-semester evaluation milestone. Phases 5 and 6 are established as the second-half roadmap.</w:t>
      </w:r>
    </w:p>
    <w:p>
      <w:pPr>
        <w:keepNext/>
        <w:spacing w:before="200" w:after="80"/>
      </w:pPr>
      <w:r>
        <w:rPr>
          <w:rFonts w:ascii="Times New Roman" w:hAnsi="Times New Roman"/>
          <w:b/>
          <w:color w:val="0F172A"/>
          <w:sz w:val="28"/>
        </w:rPr>
        <w:t>3.4 Enterprise Hardware, Software, and Framework Stack</w:t>
      </w:r>
    </w:p>
    <w:tbl>
      <w:tblPr>
        <w:tblW w:type="auto" w:w="0"/>
        <w:jc w:val="center"/>
        <w:tblLook w:firstColumn="1" w:firstRow="1" w:lastColumn="0" w:lastRow="0" w:noHBand="0" w:noVBand="1" w:val="04A0"/>
      </w:tblPr>
      <w:tblGrid>
        <w:gridCol w:w="2770"/>
        <w:gridCol w:w="2770"/>
        <w:gridCol w:w="2770"/>
      </w:tblGrid>
      <w:tr>
        <w:tc>
          <w:tcPr>
            <w:tcW w:type="dxa" w:w="2770"/>
            <w:shd w:fill="F1F5F9"/>
          </w:tcPr>
          <w:p>
            <w:r>
              <w:rPr>
                <w:b/>
              </w:rPr>
              <w:t>Layer</w:t>
            </w:r>
          </w:p>
        </w:tc>
        <w:tc>
          <w:tcPr>
            <w:tcW w:type="dxa" w:w="2770"/>
            <w:shd w:fill="F1F5F9"/>
          </w:tcPr>
          <w:p>
            <w:r>
              <w:rPr>
                <w:b/>
              </w:rPr>
              <w:t>Technology / Framework</w:t>
            </w:r>
          </w:p>
        </w:tc>
        <w:tc>
          <w:tcPr>
            <w:tcW w:type="dxa" w:w="2770"/>
            <w:shd w:fill="F1F5F9"/>
          </w:tcPr>
          <w:p>
            <w:r>
              <w:rPr>
                <w:b/>
              </w:rPr>
              <w:t>Operational Role</w:t>
            </w:r>
          </w:p>
        </w:tc>
      </w:tr>
      <w:tr>
        <w:tc>
          <w:tcPr>
            <w:tcW w:type="dxa" w:w="2770"/>
          </w:tcPr>
          <w:p>
            <w:r>
              <w:rPr>
                <w:rFonts w:ascii="Times New Roman" w:hAnsi="Times New Roman"/>
                <w:sz w:val="20"/>
              </w:rPr>
              <w:t>Inference Host</w:t>
            </w:r>
          </w:p>
        </w:tc>
        <w:tc>
          <w:tcPr>
            <w:tcW w:type="dxa" w:w="2770"/>
          </w:tcPr>
          <w:p>
            <w:r>
              <w:rPr>
                <w:rFonts w:ascii="Times New Roman" w:hAnsi="Times New Roman"/>
                <w:sz w:val="20"/>
              </w:rPr>
              <w:t>Enterprise Host Compute (&gt;=16 GB RAM / VRAM)</w:t>
            </w:r>
          </w:p>
        </w:tc>
        <w:tc>
          <w:tcPr>
            <w:tcW w:type="dxa" w:w="2770"/>
          </w:tcPr>
          <w:p>
            <w:r>
              <w:rPr>
                <w:rFonts w:ascii="Times New Roman" w:hAnsi="Times New Roman"/>
                <w:sz w:val="20"/>
              </w:rPr>
              <w:t>Local execution for Llama-Guard 3 8B [11] and Llama-3 8B.</w:t>
            </w:r>
          </w:p>
        </w:tc>
      </w:tr>
      <w:tr>
        <w:tc>
          <w:tcPr>
            <w:tcW w:type="dxa" w:w="2770"/>
          </w:tcPr>
          <w:p>
            <w:r>
              <w:rPr>
                <w:rFonts w:ascii="Times New Roman" w:hAnsi="Times New Roman"/>
                <w:sz w:val="20"/>
              </w:rPr>
              <w:t>Backend Gateway</w:t>
            </w:r>
          </w:p>
        </w:tc>
        <w:tc>
          <w:tcPr>
            <w:tcW w:type="dxa" w:w="2770"/>
          </w:tcPr>
          <w:p>
            <w:r>
              <w:rPr>
                <w:rFonts w:ascii="Times New Roman" w:hAnsi="Times New Roman"/>
                <w:sz w:val="20"/>
              </w:rPr>
              <w:t>Python 3.12 / FastAPI / Uvicorn</w:t>
            </w:r>
          </w:p>
        </w:tc>
        <w:tc>
          <w:tcPr>
            <w:tcW w:type="dxa" w:w="2770"/>
          </w:tcPr>
          <w:p>
            <w:r>
              <w:rPr>
                <w:rFonts w:ascii="Times New Roman" w:hAnsi="Times New Roman"/>
                <w:sz w:val="20"/>
              </w:rPr>
              <w:t>Asynchronous request orchestration, session state, and routing.</w:t>
            </w:r>
          </w:p>
        </w:tc>
      </w:tr>
      <w:tr>
        <w:tc>
          <w:tcPr>
            <w:tcW w:type="dxa" w:w="2770"/>
          </w:tcPr>
          <w:p>
            <w:r>
              <w:rPr>
                <w:rFonts w:ascii="Times New Roman" w:hAnsi="Times New Roman"/>
                <w:sz w:val="20"/>
              </w:rPr>
              <w:t>Guardrail Engine</w:t>
            </w:r>
          </w:p>
        </w:tc>
        <w:tc>
          <w:tcPr>
            <w:tcW w:type="dxa" w:w="2770"/>
          </w:tcPr>
          <w:p>
            <w:r>
              <w:rPr>
                <w:rFonts w:ascii="Times New Roman" w:hAnsi="Times New Roman"/>
                <w:sz w:val="20"/>
              </w:rPr>
              <w:t>NVIDIA NeMo Guardrails / Colang 2.0 [6]</w:t>
            </w:r>
          </w:p>
        </w:tc>
        <w:tc>
          <w:tcPr>
            <w:tcW w:type="dxa" w:w="2770"/>
          </w:tcPr>
          <w:p>
            <w:r>
              <w:rPr>
                <w:rFonts w:ascii="Times New Roman" w:hAnsi="Times New Roman"/>
                <w:sz w:val="20"/>
              </w:rPr>
              <w:t>Formal rule validation, pattern extraction, and hot-patching.</w:t>
            </w:r>
          </w:p>
        </w:tc>
      </w:tr>
      <w:tr>
        <w:tc>
          <w:tcPr>
            <w:tcW w:type="dxa" w:w="2770"/>
          </w:tcPr>
          <w:p>
            <w:r>
              <w:rPr>
                <w:rFonts w:ascii="Times New Roman" w:hAnsi="Times New Roman"/>
                <w:sz w:val="20"/>
              </w:rPr>
              <w:t>Container Isolation</w:t>
            </w:r>
          </w:p>
        </w:tc>
        <w:tc>
          <w:tcPr>
            <w:tcW w:type="dxa" w:w="2770"/>
          </w:tcPr>
          <w:p>
            <w:r>
              <w:rPr>
                <w:rFonts w:ascii="Times New Roman" w:hAnsi="Times New Roman"/>
                <w:sz w:val="20"/>
              </w:rPr>
              <w:t>Docker Engine / Linux Namespaces &amp; cgroups</w:t>
            </w:r>
          </w:p>
        </w:tc>
        <w:tc>
          <w:tcPr>
            <w:tcW w:type="dxa" w:w="2770"/>
          </w:tcPr>
          <w:p>
            <w:r>
              <w:rPr>
                <w:rFonts w:ascii="Times New Roman" w:hAnsi="Times New Roman"/>
                <w:sz w:val="20"/>
              </w:rPr>
              <w:t>Zero-egress isolated decoy sandbox with socat proxy topology.</w:t>
            </w:r>
          </w:p>
        </w:tc>
      </w:tr>
      <w:tr>
        <w:tc>
          <w:tcPr>
            <w:tcW w:type="dxa" w:w="2770"/>
          </w:tcPr>
          <w:p>
            <w:r>
              <w:rPr>
                <w:rFonts w:ascii="Times New Roman" w:hAnsi="Times New Roman"/>
                <w:sz w:val="20"/>
              </w:rPr>
              <w:t>Frontend Surfaces</w:t>
            </w:r>
          </w:p>
        </w:tc>
        <w:tc>
          <w:tcPr>
            <w:tcW w:type="dxa" w:w="2770"/>
          </w:tcPr>
          <w:p>
            <w:r>
              <w:rPr>
                <w:rFonts w:ascii="Times New Roman" w:hAnsi="Times New Roman"/>
                <w:sz w:val="20"/>
              </w:rPr>
              <w:t>Next.js 15 / React 19 / TailwindCSS</w:t>
            </w:r>
          </w:p>
        </w:tc>
        <w:tc>
          <w:tcPr>
            <w:tcW w:type="dxa" w:w="2770"/>
          </w:tcPr>
          <w:p>
            <w:r>
              <w:rPr>
                <w:rFonts w:ascii="Times New Roman" w:hAnsi="Times New Roman"/>
                <w:sz w:val="20"/>
              </w:rPr>
              <w:t>NexTel customer chat UI, Dark SOC dashboard, Admin panel.</w:t>
            </w:r>
          </w:p>
        </w:tc>
      </w:tr>
      <w:tr>
        <w:tc>
          <w:tcPr>
            <w:tcW w:type="dxa" w:w="2770"/>
          </w:tcPr>
          <w:p>
            <w:r>
              <w:rPr>
                <w:rFonts w:ascii="Times New Roman" w:hAnsi="Times New Roman"/>
                <w:sz w:val="20"/>
              </w:rPr>
              <w:t>Red-Teaming (Future)</w:t>
            </w:r>
          </w:p>
        </w:tc>
        <w:tc>
          <w:tcPr>
            <w:tcW w:type="dxa" w:w="2770"/>
          </w:tcPr>
          <w:p>
            <w:r>
              <w:rPr>
                <w:rFonts w:ascii="Times New Roman" w:hAnsi="Times New Roman"/>
                <w:sz w:val="20"/>
              </w:rPr>
              <w:t>Microsoft PyRIT [13] / Custom Harnesses</w:t>
            </w:r>
          </w:p>
        </w:tc>
        <w:tc>
          <w:tcPr>
            <w:tcW w:type="dxa" w:w="2770"/>
          </w:tcPr>
          <w:p>
            <w:r>
              <w:rPr>
                <w:rFonts w:ascii="Times New Roman" w:hAnsi="Times New Roman"/>
                <w:sz w:val="20"/>
              </w:rPr>
              <w:t>12+ obfuscation converters, break-out audits, load tests.</w:t>
            </w:r>
          </w:p>
        </w:tc>
      </w:tr>
    </w:tbl>
    <w:p>
      <w:pPr>
        <w:keepNext/>
        <w:spacing w:before="160" w:after="60"/>
        <w:jc w:val="left"/>
      </w:pPr>
      <w:r>
        <w:rPr>
          <w:rFonts w:ascii="Times New Roman" w:hAnsi="Times New Roman"/>
          <w:b/>
          <w:sz w:val="20"/>
        </w:rPr>
        <w:t>TABLE 3.2: Honey-LLM Technology and Framework Specifications</w:t>
      </w:r>
    </w:p>
    <w:p>
      <w:pPr>
        <w:keepNext/>
        <w:spacing w:before="200" w:after="80"/>
      </w:pPr>
      <w:r>
        <w:rPr>
          <w:rFonts w:ascii="Times New Roman" w:hAnsi="Times New Roman"/>
          <w:b/>
          <w:color w:val="0F172A"/>
          <w:sz w:val="28"/>
        </w:rPr>
        <w:t>3.5 UML Sequence Model for Interception Flow</w:t>
      </w:r>
    </w:p>
    <w:p>
      <w:pPr>
        <w:spacing w:line="360" w:lineRule="auto" w:after="120"/>
        <w:ind w:firstLine="432"/>
        <w:jc w:val="both"/>
      </w:pPr>
      <w:r>
        <w:rPr>
          <w:rFonts w:ascii="Times New Roman" w:hAnsi="Times New Roman"/>
          <w:sz w:val="24"/>
        </w:rPr>
        <w:t>Figure 3.1 provides the formal UML sequence diagram tracing both benign customer queries and adversarial prompt injection attempts across all software lifelines.</w:t>
      </w:r>
    </w:p>
    <w:p>
      <w:pPr>
        <w:jc w:val="center"/>
      </w:pPr>
      <w:r>
        <w:drawing>
          <wp:inline xmlns:a="http://schemas.openxmlformats.org/drawingml/2006/main" xmlns:pic="http://schemas.openxmlformats.org/drawingml/2006/picture">
            <wp:extent cx="5029200" cy="2806995"/>
            <wp:docPr id="4" name="Picture 4"/>
            <wp:cNvGraphicFramePr>
              <a:graphicFrameLocks noChangeAspect="1"/>
            </wp:cNvGraphicFramePr>
            <a:graphic>
              <a:graphicData uri="http://schemas.openxmlformats.org/drawingml/2006/picture">
                <pic:pic>
                  <pic:nvPicPr>
                    <pic:cNvPr id="0" name="fig3_1_sequence.png"/>
                    <pic:cNvPicPr/>
                  </pic:nvPicPr>
                  <pic:blipFill>
                    <a:blip r:embed="rId12"/>
                    <a:stretch>
                      <a:fillRect/>
                    </a:stretch>
                  </pic:blipFill>
                  <pic:spPr>
                    <a:xfrm>
                      <a:off x="0" y="0"/>
                      <a:ext cx="5029200" cy="2806995"/>
                    </a:xfrm>
                    <a:prstGeom prst="rect"/>
                  </pic:spPr>
                </pic:pic>
              </a:graphicData>
            </a:graphic>
          </wp:inline>
        </w:drawing>
      </w:r>
    </w:p>
    <w:p>
      <w:pPr>
        <w:keepNext/>
        <w:spacing w:before="80" w:after="160"/>
        <w:jc w:val="center"/>
      </w:pPr>
      <w:r>
        <w:rPr>
          <w:rFonts w:ascii="Times New Roman" w:hAnsi="Times New Roman"/>
          <w:b/>
          <w:sz w:val="20"/>
        </w:rPr>
        <w:t>FIGURE 3.1: UML Sequence Diagram for Multi-Tier Request Interception &amp; Deception</w:t>
      </w:r>
    </w:p>
    <w:p>
      <w:r>
        <w:br w:type="page"/>
      </w:r>
    </w:p>
    <w:p>
      <w:pPr>
        <w:keepNext/>
        <w:spacing w:before="240" w:after="120"/>
      </w:pPr>
      <w:r>
        <w:rPr>
          <w:rFonts w:ascii="Times New Roman" w:hAnsi="Times New Roman"/>
          <w:b/>
          <w:color w:val="0F172A"/>
          <w:sz w:val="32"/>
        </w:rPr>
        <w:t>CHAPTER 4: DESIGN SPECIFICATIONS</w:t>
      </w:r>
    </w:p>
    <w:p>
      <w:pPr>
        <w:keepNext/>
        <w:spacing w:before="200" w:after="80"/>
      </w:pPr>
      <w:r>
        <w:rPr>
          <w:rFonts w:ascii="Times New Roman" w:hAnsi="Times New Roman"/>
          <w:b/>
          <w:color w:val="0F172A"/>
          <w:sz w:val="28"/>
        </w:rPr>
        <w:t>4.1 System Architecture &amp; Sieve Gateway Flow</w:t>
      </w:r>
    </w:p>
    <w:p>
      <w:pPr>
        <w:spacing w:line="360" w:lineRule="auto" w:after="120"/>
        <w:ind w:firstLine="432"/>
        <w:jc w:val="both"/>
      </w:pPr>
      <w:r>
        <w:rPr>
          <w:rFonts w:ascii="Times New Roman" w:hAnsi="Times New Roman"/>
          <w:sz w:val="24"/>
        </w:rPr>
        <w:t>The architecture enforces strict structural isolation between public RAG knowledge and internal synthetic bait. When an HTTP request enters the gateway, it passes through the Tier-0 Guardrail store and Tier-1 Fast Path. If cleared as SAFE, the query is dispatched to the production RAG engine, which is structurally restricted to the public domain knowledge corpus. If flagged UNSAFE, the gateway silently delegates the query to the Mirror Maze container via an internal ingress proxy port (:9100).</w:t>
      </w:r>
    </w:p>
    <w:p>
      <w:pPr>
        <w:keepNext/>
        <w:spacing w:before="200" w:after="80"/>
      </w:pPr>
      <w:r>
        <w:rPr>
          <w:rFonts w:ascii="Times New Roman" w:hAnsi="Times New Roman"/>
          <w:b/>
          <w:color w:val="0F172A"/>
          <w:sz w:val="28"/>
        </w:rPr>
        <w:t>4.2 Threat Taxonomy &amp; Sticky Quarantine State Machine</w:t>
      </w:r>
    </w:p>
    <w:p>
      <w:pPr>
        <w:spacing w:line="360" w:lineRule="auto" w:after="120"/>
        <w:ind w:firstLine="432"/>
        <w:jc w:val="both"/>
      </w:pPr>
      <w:r>
        <w:rPr>
          <w:rFonts w:ascii="Times New Roman" w:hAnsi="Times New Roman"/>
          <w:sz w:val="24"/>
        </w:rPr>
        <w:t>The system maintains state consistency through sticky quarantine. Once a session ID is flagged as adversarial, subsequent benign queries within the same session remain trapped in the Mirror Maze, preventing attackers from probing for filter boundaries. Table 4.1 maps the 8 threat taxonomy categories established in Phase 1.</w:t>
      </w:r>
    </w:p>
    <w:tbl>
      <w:tblPr>
        <w:tblW w:type="auto" w:w="0"/>
        <w:jc w:val="center"/>
        <w:tblLook w:firstColumn="1" w:firstRow="1" w:lastColumn="0" w:lastRow="0" w:noHBand="0" w:noVBand="1" w:val="04A0"/>
      </w:tblPr>
      <w:tblGrid>
        <w:gridCol w:w="2077"/>
        <w:gridCol w:w="2077"/>
        <w:gridCol w:w="2077"/>
        <w:gridCol w:w="2077"/>
      </w:tblGrid>
      <w:tr>
        <w:tc>
          <w:tcPr>
            <w:tcW w:type="dxa" w:w="2077"/>
            <w:shd w:fill="F1F5F9"/>
          </w:tcPr>
          <w:p>
            <w:r>
              <w:rPr>
                <w:b/>
              </w:rPr>
              <w:t>ID</w:t>
            </w:r>
          </w:p>
        </w:tc>
        <w:tc>
          <w:tcPr>
            <w:tcW w:type="dxa" w:w="2077"/>
            <w:shd w:fill="F1F5F9"/>
          </w:tcPr>
          <w:p>
            <w:r>
              <w:rPr>
                <w:b/>
              </w:rPr>
              <w:t>Threat Category</w:t>
            </w:r>
          </w:p>
        </w:tc>
        <w:tc>
          <w:tcPr>
            <w:tcW w:type="dxa" w:w="2077"/>
            <w:shd w:fill="F1F5F9"/>
          </w:tcPr>
          <w:p>
            <w:r>
              <w:rPr>
                <w:b/>
              </w:rPr>
              <w:t>Enterprise Manifestation (NexTel Context)</w:t>
            </w:r>
          </w:p>
        </w:tc>
        <w:tc>
          <w:tcPr>
            <w:tcW w:type="dxa" w:w="2077"/>
            <w:shd w:fill="F1F5F9"/>
          </w:tcPr>
          <w:p>
            <w:r>
              <w:rPr>
                <w:b/>
              </w:rPr>
              <w:t>Severity Level</w:t>
            </w:r>
          </w:p>
        </w:tc>
      </w:tr>
      <w:tr>
        <w:tc>
          <w:tcPr>
            <w:tcW w:type="dxa" w:w="2077"/>
          </w:tcPr>
          <w:p>
            <w:r>
              <w:rPr>
                <w:rFonts w:ascii="Times New Roman" w:hAnsi="Times New Roman"/>
                <w:sz w:val="20"/>
              </w:rPr>
              <w:t>S1</w:t>
            </w:r>
          </w:p>
        </w:tc>
        <w:tc>
          <w:tcPr>
            <w:tcW w:type="dxa" w:w="2077"/>
          </w:tcPr>
          <w:p>
            <w:r>
              <w:rPr>
                <w:rFonts w:ascii="Times New Roman" w:hAnsi="Times New Roman"/>
                <w:sz w:val="20"/>
              </w:rPr>
              <w:t>direct-override</w:t>
            </w:r>
          </w:p>
        </w:tc>
        <w:tc>
          <w:tcPr>
            <w:tcW w:type="dxa" w:w="2077"/>
          </w:tcPr>
          <w:p>
            <w:r>
              <w:rPr>
                <w:rFonts w:ascii="Times New Roman" w:hAnsi="Times New Roman"/>
                <w:sz w:val="20"/>
              </w:rPr>
              <w:t>Direct command override seeking admin codes</w:t>
            </w:r>
          </w:p>
        </w:tc>
        <w:tc>
          <w:tcPr>
            <w:tcW w:type="dxa" w:w="2077"/>
          </w:tcPr>
          <w:p>
            <w:r>
              <w:rPr>
                <w:rFonts w:ascii="Times New Roman" w:hAnsi="Times New Roman"/>
                <w:sz w:val="20"/>
              </w:rPr>
              <w:t>Critical</w:t>
            </w:r>
          </w:p>
        </w:tc>
      </w:tr>
      <w:tr>
        <w:tc>
          <w:tcPr>
            <w:tcW w:type="dxa" w:w="2077"/>
          </w:tcPr>
          <w:p>
            <w:r>
              <w:rPr>
                <w:rFonts w:ascii="Times New Roman" w:hAnsi="Times New Roman"/>
                <w:sz w:val="20"/>
              </w:rPr>
              <w:t>S2</w:t>
            </w:r>
          </w:p>
        </w:tc>
        <w:tc>
          <w:tcPr>
            <w:tcW w:type="dxa" w:w="2077"/>
          </w:tcPr>
          <w:p>
            <w:r>
              <w:rPr>
                <w:rFonts w:ascii="Times New Roman" w:hAnsi="Times New Roman"/>
                <w:sz w:val="20"/>
              </w:rPr>
              <w:t>data-exfiltration</w:t>
            </w:r>
          </w:p>
        </w:tc>
        <w:tc>
          <w:tcPr>
            <w:tcW w:type="dxa" w:w="2077"/>
          </w:tcPr>
          <w:p>
            <w:r>
              <w:rPr>
                <w:rFonts w:ascii="Times New Roman" w:hAnsi="Times New Roman"/>
                <w:sz w:val="20"/>
              </w:rPr>
              <w:t>Probing for internal gateway IPs or core routing</w:t>
            </w:r>
          </w:p>
        </w:tc>
        <w:tc>
          <w:tcPr>
            <w:tcW w:type="dxa" w:w="2077"/>
          </w:tcPr>
          <w:p>
            <w:r>
              <w:rPr>
                <w:rFonts w:ascii="Times New Roman" w:hAnsi="Times New Roman"/>
                <w:sz w:val="20"/>
              </w:rPr>
              <w:t>Critical</w:t>
            </w:r>
          </w:p>
        </w:tc>
      </w:tr>
      <w:tr>
        <w:tc>
          <w:tcPr>
            <w:tcW w:type="dxa" w:w="2077"/>
          </w:tcPr>
          <w:p>
            <w:r>
              <w:rPr>
                <w:rFonts w:ascii="Times New Roman" w:hAnsi="Times New Roman"/>
                <w:sz w:val="20"/>
              </w:rPr>
              <w:t>S3</w:t>
            </w:r>
          </w:p>
        </w:tc>
        <w:tc>
          <w:tcPr>
            <w:tcW w:type="dxa" w:w="2077"/>
          </w:tcPr>
          <w:p>
            <w:r>
              <w:rPr>
                <w:rFonts w:ascii="Times New Roman" w:hAnsi="Times New Roman"/>
                <w:sz w:val="20"/>
              </w:rPr>
              <w:t>role-play-hijack</w:t>
            </w:r>
          </w:p>
        </w:tc>
        <w:tc>
          <w:tcPr>
            <w:tcW w:type="dxa" w:w="2077"/>
          </w:tcPr>
          <w:p>
            <w:r>
              <w:rPr>
                <w:rFonts w:ascii="Times New Roman" w:hAnsi="Times New Roman"/>
                <w:sz w:val="20"/>
              </w:rPr>
              <w:t>DAN or persona hijack seeking unconstrained mode</w:t>
            </w:r>
          </w:p>
        </w:tc>
        <w:tc>
          <w:tcPr>
            <w:tcW w:type="dxa" w:w="2077"/>
          </w:tcPr>
          <w:p>
            <w:r>
              <w:rPr>
                <w:rFonts w:ascii="Times New Roman" w:hAnsi="Times New Roman"/>
                <w:sz w:val="20"/>
              </w:rPr>
              <w:t>High</w:t>
            </w:r>
          </w:p>
        </w:tc>
      </w:tr>
      <w:tr>
        <w:tc>
          <w:tcPr>
            <w:tcW w:type="dxa" w:w="2077"/>
          </w:tcPr>
          <w:p>
            <w:r>
              <w:rPr>
                <w:rFonts w:ascii="Times New Roman" w:hAnsi="Times New Roman"/>
                <w:sz w:val="20"/>
              </w:rPr>
              <w:t>S4</w:t>
            </w:r>
          </w:p>
        </w:tc>
        <w:tc>
          <w:tcPr>
            <w:tcW w:type="dxa" w:w="2077"/>
          </w:tcPr>
          <w:p>
            <w:r>
              <w:rPr>
                <w:rFonts w:ascii="Times New Roman" w:hAnsi="Times New Roman"/>
                <w:sz w:val="20"/>
              </w:rPr>
              <w:t>authority-spoofing</w:t>
            </w:r>
          </w:p>
        </w:tc>
        <w:tc>
          <w:tcPr>
            <w:tcW w:type="dxa" w:w="2077"/>
          </w:tcPr>
          <w:p>
            <w:r>
              <w:rPr>
                <w:rFonts w:ascii="Times New Roman" w:hAnsi="Times New Roman"/>
                <w:sz w:val="20"/>
              </w:rPr>
              <w:t>Impersonating IT Security Auditor for token release</w:t>
            </w:r>
          </w:p>
        </w:tc>
        <w:tc>
          <w:tcPr>
            <w:tcW w:type="dxa" w:w="2077"/>
          </w:tcPr>
          <w:p>
            <w:r>
              <w:rPr>
                <w:rFonts w:ascii="Times New Roman" w:hAnsi="Times New Roman"/>
                <w:sz w:val="20"/>
              </w:rPr>
              <w:t>High</w:t>
            </w:r>
          </w:p>
        </w:tc>
      </w:tr>
      <w:tr>
        <w:tc>
          <w:tcPr>
            <w:tcW w:type="dxa" w:w="2077"/>
          </w:tcPr>
          <w:p>
            <w:r>
              <w:rPr>
                <w:rFonts w:ascii="Times New Roman" w:hAnsi="Times New Roman"/>
                <w:sz w:val="20"/>
              </w:rPr>
              <w:t>S5</w:t>
            </w:r>
          </w:p>
        </w:tc>
        <w:tc>
          <w:tcPr>
            <w:tcW w:type="dxa" w:w="2077"/>
          </w:tcPr>
          <w:p>
            <w:r>
              <w:rPr>
                <w:rFonts w:ascii="Times New Roman" w:hAnsi="Times New Roman"/>
                <w:sz w:val="20"/>
              </w:rPr>
              <w:t>system-prompt-exfil</w:t>
            </w:r>
          </w:p>
        </w:tc>
        <w:tc>
          <w:tcPr>
            <w:tcW w:type="dxa" w:w="2077"/>
          </w:tcPr>
          <w:p>
            <w:r>
              <w:rPr>
                <w:rFonts w:ascii="Times New Roman" w:hAnsi="Times New Roman"/>
                <w:sz w:val="20"/>
              </w:rPr>
              <w:t>Extracting verbatim system prompts and rules</w:t>
            </w:r>
          </w:p>
        </w:tc>
        <w:tc>
          <w:tcPr>
            <w:tcW w:type="dxa" w:w="2077"/>
          </w:tcPr>
          <w:p>
            <w:r>
              <w:rPr>
                <w:rFonts w:ascii="Times New Roman" w:hAnsi="Times New Roman"/>
                <w:sz w:val="20"/>
              </w:rPr>
              <w:t>Medium</w:t>
            </w:r>
          </w:p>
        </w:tc>
      </w:tr>
      <w:tr>
        <w:tc>
          <w:tcPr>
            <w:tcW w:type="dxa" w:w="2077"/>
          </w:tcPr>
          <w:p>
            <w:r>
              <w:rPr>
                <w:rFonts w:ascii="Times New Roman" w:hAnsi="Times New Roman"/>
                <w:sz w:val="20"/>
              </w:rPr>
              <w:t>S6</w:t>
            </w:r>
          </w:p>
        </w:tc>
        <w:tc>
          <w:tcPr>
            <w:tcW w:type="dxa" w:w="2077"/>
          </w:tcPr>
          <w:p>
            <w:r>
              <w:rPr>
                <w:rFonts w:ascii="Times New Roman" w:hAnsi="Times New Roman"/>
                <w:sz w:val="20"/>
              </w:rPr>
              <w:t>multi-turn-persistence</w:t>
            </w:r>
          </w:p>
        </w:tc>
        <w:tc>
          <w:tcPr>
            <w:tcW w:type="dxa" w:w="2077"/>
          </w:tcPr>
          <w:p>
            <w:r>
              <w:rPr>
                <w:rFonts w:ascii="Times New Roman" w:hAnsi="Times New Roman"/>
                <w:sz w:val="20"/>
              </w:rPr>
              <w:t>Gradual semantic grooming across dialogue turns</w:t>
            </w:r>
          </w:p>
        </w:tc>
        <w:tc>
          <w:tcPr>
            <w:tcW w:type="dxa" w:w="2077"/>
          </w:tcPr>
          <w:p>
            <w:r>
              <w:rPr>
                <w:rFonts w:ascii="Times New Roman" w:hAnsi="Times New Roman"/>
                <w:sz w:val="20"/>
              </w:rPr>
              <w:t>High</w:t>
            </w:r>
          </w:p>
        </w:tc>
      </w:tr>
      <w:tr>
        <w:tc>
          <w:tcPr>
            <w:tcW w:type="dxa" w:w="2077"/>
          </w:tcPr>
          <w:p>
            <w:r>
              <w:rPr>
                <w:rFonts w:ascii="Times New Roman" w:hAnsi="Times New Roman"/>
                <w:sz w:val="20"/>
              </w:rPr>
              <w:t>S7</w:t>
            </w:r>
          </w:p>
        </w:tc>
        <w:tc>
          <w:tcPr>
            <w:tcW w:type="dxa" w:w="2077"/>
          </w:tcPr>
          <w:p>
            <w:r>
              <w:rPr>
                <w:rFonts w:ascii="Times New Roman" w:hAnsi="Times New Roman"/>
                <w:sz w:val="20"/>
              </w:rPr>
              <w:t>refusal-suppression</w:t>
            </w:r>
          </w:p>
        </w:tc>
        <w:tc>
          <w:tcPr>
            <w:tcW w:type="dxa" w:w="2077"/>
          </w:tcPr>
          <w:p>
            <w:r>
              <w:rPr>
                <w:rFonts w:ascii="Times New Roman" w:hAnsi="Times New Roman"/>
                <w:sz w:val="20"/>
              </w:rPr>
              <w:t>Suppression of standard model refusal prefixes</w:t>
            </w:r>
          </w:p>
        </w:tc>
        <w:tc>
          <w:tcPr>
            <w:tcW w:type="dxa" w:w="2077"/>
          </w:tcPr>
          <w:p>
            <w:r>
              <w:rPr>
                <w:rFonts w:ascii="Times New Roman" w:hAnsi="Times New Roman"/>
                <w:sz w:val="20"/>
              </w:rPr>
              <w:t>Medium</w:t>
            </w:r>
          </w:p>
        </w:tc>
      </w:tr>
      <w:tr>
        <w:tc>
          <w:tcPr>
            <w:tcW w:type="dxa" w:w="2077"/>
          </w:tcPr>
          <w:p>
            <w:r>
              <w:rPr>
                <w:rFonts w:ascii="Times New Roman" w:hAnsi="Times New Roman"/>
                <w:sz w:val="20"/>
              </w:rPr>
              <w:t>S8</w:t>
            </w:r>
          </w:p>
        </w:tc>
        <w:tc>
          <w:tcPr>
            <w:tcW w:type="dxa" w:w="2077"/>
          </w:tcPr>
          <w:p>
            <w:r>
              <w:rPr>
                <w:rFonts w:ascii="Times New Roman" w:hAnsi="Times New Roman"/>
                <w:sz w:val="20"/>
              </w:rPr>
              <w:t>indirect-injection</w:t>
            </w:r>
          </w:p>
        </w:tc>
        <w:tc>
          <w:tcPr>
            <w:tcW w:type="dxa" w:w="2077"/>
          </w:tcPr>
          <w:p>
            <w:r>
              <w:rPr>
                <w:rFonts w:ascii="Times New Roman" w:hAnsi="Times New Roman"/>
                <w:sz w:val="20"/>
              </w:rPr>
              <w:t>Embedded exploit tokens in retrieved context</w:t>
            </w:r>
          </w:p>
        </w:tc>
        <w:tc>
          <w:tcPr>
            <w:tcW w:type="dxa" w:w="2077"/>
          </w:tcPr>
          <w:p>
            <w:r>
              <w:rPr>
                <w:rFonts w:ascii="Times New Roman" w:hAnsi="Times New Roman"/>
                <w:sz w:val="20"/>
              </w:rPr>
              <w:t>Critical</w:t>
            </w:r>
          </w:p>
        </w:tc>
      </w:tr>
    </w:tbl>
    <w:p>
      <w:pPr>
        <w:keepNext/>
        <w:spacing w:before="160" w:after="60"/>
        <w:jc w:val="left"/>
      </w:pPr>
      <w:r>
        <w:rPr>
          <w:rFonts w:ascii="Times New Roman" w:hAnsi="Times New Roman"/>
          <w:b/>
          <w:sz w:val="20"/>
        </w:rPr>
        <w:t>TABLE 4.1: Adversarial Threat Taxonomy Mappings and Severity Classification</w:t>
      </w:r>
    </w:p>
    <w:p>
      <w:pPr>
        <w:jc w:val="center"/>
      </w:pPr>
      <w:r>
        <w:drawing>
          <wp:inline xmlns:a="http://schemas.openxmlformats.org/drawingml/2006/main" xmlns:pic="http://schemas.openxmlformats.org/drawingml/2006/picture">
            <wp:extent cx="5029200" cy="2806995"/>
            <wp:docPr id="5" name="Picture 5"/>
            <wp:cNvGraphicFramePr>
              <a:graphicFrameLocks noChangeAspect="1"/>
            </wp:cNvGraphicFramePr>
            <a:graphic>
              <a:graphicData uri="http://schemas.openxmlformats.org/drawingml/2006/picture">
                <pic:pic>
                  <pic:nvPicPr>
                    <pic:cNvPr id="0" name="fig4_1_state_machine.png"/>
                    <pic:cNvPicPr/>
                  </pic:nvPicPr>
                  <pic:blipFill>
                    <a:blip r:embed="rId13"/>
                    <a:stretch>
                      <a:fillRect/>
                    </a:stretch>
                  </pic:blipFill>
                  <pic:spPr>
                    <a:xfrm>
                      <a:off x="0" y="0"/>
                      <a:ext cx="5029200" cy="2806995"/>
                    </a:xfrm>
                    <a:prstGeom prst="rect"/>
                  </pic:spPr>
                </pic:pic>
              </a:graphicData>
            </a:graphic>
          </wp:inline>
        </w:drawing>
      </w:r>
    </w:p>
    <w:p>
      <w:pPr>
        <w:keepNext/>
        <w:spacing w:before="80" w:after="160"/>
        <w:jc w:val="center"/>
      </w:pPr>
      <w:r>
        <w:rPr>
          <w:rFonts w:ascii="Times New Roman" w:hAnsi="Times New Roman"/>
          <w:b/>
          <w:sz w:val="20"/>
        </w:rPr>
        <w:t>FIGURE 4.1: UML State Machine Diagram for Session Quarantine &amp; Self-Healing Loop</w:t>
      </w:r>
    </w:p>
    <w:p>
      <w:pPr>
        <w:keepNext/>
        <w:spacing w:before="200" w:after="80"/>
      </w:pPr>
      <w:r>
        <w:rPr>
          <w:rFonts w:ascii="Times New Roman" w:hAnsi="Times New Roman"/>
          <w:b/>
          <w:color w:val="0F172A"/>
          <w:sz w:val="28"/>
        </w:rPr>
        <w:t>4.3 User Interface Specifications &amp; Designed Surfaces</w:t>
      </w:r>
    </w:p>
    <w:p>
      <w:pPr>
        <w:spacing w:line="360" w:lineRule="auto" w:after="120"/>
        <w:ind w:firstLine="432"/>
        <w:jc w:val="both"/>
      </w:pPr>
      <w:r>
        <w:rPr>
          <w:rFonts w:ascii="Times New Roman" w:hAnsi="Times New Roman"/>
          <w:sz w:val="24"/>
        </w:rPr>
        <w:t>Honey-LLM designs three distinct user interface surfaces tailored to specific operational personas:</w:t>
      </w:r>
    </w:p>
    <w:p>
      <w:pPr>
        <w:spacing w:line="360" w:lineRule="auto" w:after="80"/>
        <w:ind w:left="360" w:hanging="216"/>
        <w:jc w:val="both"/>
      </w:pPr>
      <w:r>
        <w:rPr>
          <w:rFonts w:ascii="Times New Roman" w:hAnsi="Times New Roman"/>
          <w:sz w:val="24"/>
        </w:rPr>
        <w:t>•  1. NexTel Customer Chat Interface (/chat): Clean corporate telecom portal with zero visual indicators of the security interception layer (Figure 4.2).</w:t>
      </w:r>
    </w:p>
    <w:p>
      <w:pPr>
        <w:spacing w:line="360" w:lineRule="auto" w:after="80"/>
        <w:ind w:left="360" w:hanging="216"/>
        <w:jc w:val="both"/>
      </w:pPr>
      <w:r>
        <w:rPr>
          <w:rFonts w:ascii="Times New Roman" w:hAnsi="Times New Roman"/>
          <w:sz w:val="24"/>
        </w:rPr>
        <w:t>•  2. Admin Live Sieve Decision Tracer (/admin): Interactive test surface allowing evaluation panels to trigger sample benign and malicious prompts live, tracing Tier-0/1/2 evaluation times and sandbox quarantine routing (Figure 4.3).</w:t>
      </w:r>
    </w:p>
    <w:p>
      <w:pPr>
        <w:spacing w:line="360" w:lineRule="auto" w:after="80"/>
        <w:ind w:left="360" w:hanging="216"/>
        <w:jc w:val="both"/>
      </w:pPr>
      <w:r>
        <w:rPr>
          <w:rFonts w:ascii="Times New Roman" w:hAnsi="Times New Roman"/>
          <w:sz w:val="24"/>
        </w:rPr>
        <w:t>•  3. Dark SOC Threat Intelligence Dashboard (/dashboard): Security operations center view visualizing attack frequencies, taxonomy distribution, tier ratios, and dwell time meters (Figure 4.4).</w:t>
      </w:r>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prototype_chat_ui.png"/>
                    <pic:cNvPicPr/>
                  </pic:nvPicPr>
                  <pic:blipFill>
                    <a:blip r:embed="rId14"/>
                    <a:stretch>
                      <a:fillRect/>
                    </a:stretch>
                  </pic:blipFill>
                  <pic:spPr>
                    <a:xfrm>
                      <a:off x="0" y="0"/>
                      <a:ext cx="5029200" cy="3143250"/>
                    </a:xfrm>
                    <a:prstGeom prst="rect"/>
                  </pic:spPr>
                </pic:pic>
              </a:graphicData>
            </a:graphic>
          </wp:inline>
        </w:drawing>
      </w:r>
    </w:p>
    <w:p>
      <w:pPr>
        <w:keepNext/>
        <w:spacing w:before="80" w:after="160"/>
        <w:jc w:val="center"/>
      </w:pPr>
      <w:r>
        <w:rPr>
          <w:rFonts w:ascii="Times New Roman" w:hAnsi="Times New Roman"/>
          <w:b/>
          <w:sz w:val="20"/>
        </w:rPr>
        <w:t>FIGURE 4.2: NexTel Production Customer Support Interface (/chat)</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prototype_admin_ui.png"/>
                    <pic:cNvPicPr/>
                  </pic:nvPicPr>
                  <pic:blipFill>
                    <a:blip r:embed="rId15"/>
                    <a:stretch>
                      <a:fillRect/>
                    </a:stretch>
                  </pic:blipFill>
                  <pic:spPr>
                    <a:xfrm>
                      <a:off x="0" y="0"/>
                      <a:ext cx="5029200" cy="3143250"/>
                    </a:xfrm>
                    <a:prstGeom prst="rect"/>
                  </pic:spPr>
                </pic:pic>
              </a:graphicData>
            </a:graphic>
          </wp:inline>
        </w:drawing>
      </w:r>
    </w:p>
    <w:p>
      <w:pPr>
        <w:keepNext/>
        <w:spacing w:before="80" w:after="160"/>
        <w:jc w:val="center"/>
      </w:pPr>
      <w:r>
        <w:rPr>
          <w:rFonts w:ascii="Times New Roman" w:hAnsi="Times New Roman"/>
          <w:b/>
          <w:sz w:val="20"/>
        </w:rPr>
        <w:t>FIGURE 4.3: Honey-LLM Admin Live Sieve Decision Tracer (/admin)</w:t>
      </w:r>
    </w:p>
    <w:p>
      <w:pPr>
        <w:keepNext/>
        <w:spacing w:before="200" w:after="80"/>
      </w:pPr>
      <w:r>
        <w:rPr>
          <w:rFonts w:ascii="Times New Roman" w:hAnsi="Times New Roman"/>
          <w:b/>
          <w:color w:val="0F172A"/>
          <w:sz w:val="28"/>
        </w:rPr>
        <w:t>4.4 Working Prototype Execution (Phases 1 to 4 Verified)</w:t>
      </w:r>
    </w:p>
    <w:tbl>
      <w:tblPr>
        <w:tblW w:type="auto" w:w="0"/>
        <w:jc w:val="center"/>
        <w:tblLook w:firstColumn="1" w:firstRow="1" w:lastColumn="0" w:lastRow="0" w:noHBand="0" w:noVBand="1" w:val="04A0"/>
      </w:tblPr>
      <w:tblGrid>
        <w:gridCol w:w="2077"/>
        <w:gridCol w:w="2077"/>
        <w:gridCol w:w="2077"/>
        <w:gridCol w:w="2077"/>
      </w:tblGrid>
      <w:tr>
        <w:tc>
          <w:tcPr>
            <w:tcW w:type="dxa" w:w="2077"/>
            <w:shd w:fill="F1F5F9"/>
          </w:tcPr>
          <w:p>
            <w:r>
              <w:rPr>
                <w:b/>
              </w:rPr>
              <w:t>Audit Probe Vector</w:t>
            </w:r>
          </w:p>
        </w:tc>
        <w:tc>
          <w:tcPr>
            <w:tcW w:type="dxa" w:w="2077"/>
            <w:shd w:fill="F1F5F9"/>
          </w:tcPr>
          <w:p>
            <w:r>
              <w:rPr>
                <w:b/>
              </w:rPr>
              <w:t>Expected Security State</w:t>
            </w:r>
          </w:p>
        </w:tc>
        <w:tc>
          <w:tcPr>
            <w:tcW w:type="dxa" w:w="2077"/>
            <w:shd w:fill="F1F5F9"/>
          </w:tcPr>
          <w:p>
            <w:r>
              <w:rPr>
                <w:b/>
              </w:rPr>
              <w:t>Measured Result</w:t>
            </w:r>
          </w:p>
        </w:tc>
        <w:tc>
          <w:tcPr>
            <w:tcW w:type="dxa" w:w="2077"/>
            <w:shd w:fill="F1F5F9"/>
          </w:tcPr>
          <w:p>
            <w:r>
              <w:rPr>
                <w:b/>
              </w:rPr>
              <w:t>Integrity Status</w:t>
            </w:r>
          </w:p>
        </w:tc>
      </w:tr>
      <w:tr>
        <w:tc>
          <w:tcPr>
            <w:tcW w:type="dxa" w:w="2077"/>
          </w:tcPr>
          <w:p>
            <w:r>
              <w:rPr>
                <w:rFonts w:ascii="Times New Roman" w:hAnsi="Times New Roman"/>
                <w:sz w:val="20"/>
              </w:rPr>
              <w:t>Internet HTTP Egress (example.com:443)</w:t>
            </w:r>
          </w:p>
        </w:tc>
        <w:tc>
          <w:tcPr>
            <w:tcW w:type="dxa" w:w="2077"/>
          </w:tcPr>
          <w:p>
            <w:r>
              <w:rPr>
                <w:rFonts w:ascii="Times New Roman" w:hAnsi="Times New Roman"/>
                <w:sz w:val="20"/>
              </w:rPr>
              <w:t>BLOCKED</w:t>
            </w:r>
          </w:p>
        </w:tc>
        <w:tc>
          <w:tcPr>
            <w:tcW w:type="dxa" w:w="2077"/>
          </w:tcPr>
          <w:p>
            <w:r>
              <w:rPr>
                <w:rFonts w:ascii="Times New Roman" w:hAnsi="Times New Roman"/>
                <w:sz w:val="20"/>
              </w:rPr>
              <w:t>BLOCKED (Timeout / No Route)</w:t>
            </w:r>
          </w:p>
        </w:tc>
        <w:tc>
          <w:tcPr>
            <w:tcW w:type="dxa" w:w="2077"/>
          </w:tcPr>
          <w:p>
            <w:r>
              <w:rPr>
                <w:rFonts w:ascii="Times New Roman" w:hAnsi="Times New Roman"/>
                <w:b/>
                <w:sz w:val="20"/>
              </w:rPr>
              <w:t>PASS</w:t>
            </w:r>
          </w:p>
        </w:tc>
      </w:tr>
      <w:tr>
        <w:tc>
          <w:tcPr>
            <w:tcW w:type="dxa" w:w="2077"/>
          </w:tcPr>
          <w:p>
            <w:r>
              <w:rPr>
                <w:rFonts w:ascii="Times New Roman" w:hAnsi="Times New Roman"/>
                <w:sz w:val="20"/>
              </w:rPr>
              <w:t>Raw Internet IP Egress (1.1.1.1:443)</w:t>
            </w:r>
          </w:p>
        </w:tc>
        <w:tc>
          <w:tcPr>
            <w:tcW w:type="dxa" w:w="2077"/>
          </w:tcPr>
          <w:p>
            <w:r>
              <w:rPr>
                <w:rFonts w:ascii="Times New Roman" w:hAnsi="Times New Roman"/>
                <w:sz w:val="20"/>
              </w:rPr>
              <w:t>BLOCKED</w:t>
            </w:r>
          </w:p>
        </w:tc>
        <w:tc>
          <w:tcPr>
            <w:tcW w:type="dxa" w:w="2077"/>
          </w:tcPr>
          <w:p>
            <w:r>
              <w:rPr>
                <w:rFonts w:ascii="Times New Roman" w:hAnsi="Times New Roman"/>
                <w:sz w:val="20"/>
              </w:rPr>
              <w:t>BLOCKED (Socket Error)</w:t>
            </w:r>
          </w:p>
        </w:tc>
        <w:tc>
          <w:tcPr>
            <w:tcW w:type="dxa" w:w="2077"/>
          </w:tcPr>
          <w:p>
            <w:r>
              <w:rPr>
                <w:rFonts w:ascii="Times New Roman" w:hAnsi="Times New Roman"/>
                <w:b/>
                <w:sz w:val="20"/>
              </w:rPr>
              <w:t>PASS</w:t>
            </w:r>
          </w:p>
        </w:tc>
      </w:tr>
      <w:tr>
        <w:tc>
          <w:tcPr>
            <w:tcW w:type="dxa" w:w="2077"/>
          </w:tcPr>
          <w:p>
            <w:r>
              <w:rPr>
                <w:rFonts w:ascii="Times New Roman" w:hAnsi="Times New Roman"/>
                <w:sz w:val="20"/>
              </w:rPr>
              <w:t>Production Gateway Access (:8000)</w:t>
            </w:r>
          </w:p>
        </w:tc>
        <w:tc>
          <w:tcPr>
            <w:tcW w:type="dxa" w:w="2077"/>
          </w:tcPr>
          <w:p>
            <w:r>
              <w:rPr>
                <w:rFonts w:ascii="Times New Roman" w:hAnsi="Times New Roman"/>
                <w:sz w:val="20"/>
              </w:rPr>
              <w:t>BLOCKED</w:t>
            </w:r>
          </w:p>
        </w:tc>
        <w:tc>
          <w:tcPr>
            <w:tcW w:type="dxa" w:w="2077"/>
          </w:tcPr>
          <w:p>
            <w:r>
              <w:rPr>
                <w:rFonts w:ascii="Times New Roman" w:hAnsi="Times New Roman"/>
                <w:sz w:val="20"/>
              </w:rPr>
              <w:t>BLOCKED (No Ingress Route)</w:t>
            </w:r>
          </w:p>
        </w:tc>
        <w:tc>
          <w:tcPr>
            <w:tcW w:type="dxa" w:w="2077"/>
          </w:tcPr>
          <w:p>
            <w:r>
              <w:rPr>
                <w:rFonts w:ascii="Times New Roman" w:hAnsi="Times New Roman"/>
                <w:b/>
                <w:sz w:val="20"/>
              </w:rPr>
              <w:t>PASS</w:t>
            </w:r>
          </w:p>
        </w:tc>
      </w:tr>
      <w:tr>
        <w:tc>
          <w:tcPr>
            <w:tcW w:type="dxa" w:w="2077"/>
          </w:tcPr>
          <w:p>
            <w:r>
              <w:rPr>
                <w:rFonts w:ascii="Times New Roman" w:hAnsi="Times New Roman"/>
                <w:sz w:val="20"/>
              </w:rPr>
              <w:t>Direct Host Ollama Bypass (:11434)</w:t>
            </w:r>
          </w:p>
        </w:tc>
        <w:tc>
          <w:tcPr>
            <w:tcW w:type="dxa" w:w="2077"/>
          </w:tcPr>
          <w:p>
            <w:r>
              <w:rPr>
                <w:rFonts w:ascii="Times New Roman" w:hAnsi="Times New Roman"/>
                <w:sz w:val="20"/>
              </w:rPr>
              <w:t>BLOCKED</w:t>
            </w:r>
          </w:p>
        </w:tc>
        <w:tc>
          <w:tcPr>
            <w:tcW w:type="dxa" w:w="2077"/>
          </w:tcPr>
          <w:p>
            <w:r>
              <w:rPr>
                <w:rFonts w:ascii="Times New Roman" w:hAnsi="Times New Roman"/>
                <w:sz w:val="20"/>
              </w:rPr>
              <w:t>BLOCKED (Host Unreachable)</w:t>
            </w:r>
          </w:p>
        </w:tc>
        <w:tc>
          <w:tcPr>
            <w:tcW w:type="dxa" w:w="2077"/>
          </w:tcPr>
          <w:p>
            <w:r>
              <w:rPr>
                <w:rFonts w:ascii="Times New Roman" w:hAnsi="Times New Roman"/>
                <w:b/>
                <w:sz w:val="20"/>
              </w:rPr>
              <w:t>PASS</w:t>
            </w:r>
          </w:p>
        </w:tc>
      </w:tr>
      <w:tr>
        <w:tc>
          <w:tcPr>
            <w:tcW w:type="dxa" w:w="2077"/>
          </w:tcPr>
          <w:p>
            <w:r>
              <w:rPr>
                <w:rFonts w:ascii="Times New Roman" w:hAnsi="Times New Roman"/>
                <w:sz w:val="20"/>
              </w:rPr>
              <w:t>Ollama via Egress Proxy (Single Path)</w:t>
            </w:r>
          </w:p>
        </w:tc>
        <w:tc>
          <w:tcPr>
            <w:tcW w:type="dxa" w:w="2077"/>
          </w:tcPr>
          <w:p>
            <w:r>
              <w:rPr>
                <w:rFonts w:ascii="Times New Roman" w:hAnsi="Times New Roman"/>
                <w:sz w:val="20"/>
              </w:rPr>
              <w:t>REACHABLE</w:t>
            </w:r>
          </w:p>
        </w:tc>
        <w:tc>
          <w:tcPr>
            <w:tcW w:type="dxa" w:w="2077"/>
          </w:tcPr>
          <w:p>
            <w:r>
              <w:rPr>
                <w:rFonts w:ascii="Times New Roman" w:hAnsi="Times New Roman"/>
                <w:sz w:val="20"/>
              </w:rPr>
              <w:t>REACHABLE (HTTP 200 OK)</w:t>
            </w:r>
          </w:p>
        </w:tc>
        <w:tc>
          <w:tcPr>
            <w:tcW w:type="dxa" w:w="2077"/>
          </w:tcPr>
          <w:p>
            <w:r>
              <w:rPr>
                <w:rFonts w:ascii="Times New Roman" w:hAnsi="Times New Roman"/>
                <w:b/>
                <w:sz w:val="20"/>
              </w:rPr>
              <w:t>PASS</w:t>
            </w:r>
          </w:p>
        </w:tc>
      </w:tr>
      <w:tr>
        <w:tc>
          <w:tcPr>
            <w:tcW w:type="dxa" w:w="2077"/>
          </w:tcPr>
          <w:p>
            <w:r>
              <w:rPr>
                <w:rFonts w:ascii="Times New Roman" w:hAnsi="Times New Roman"/>
                <w:sz w:val="20"/>
              </w:rPr>
              <w:t>Docker Socket Availability (/var/run/docker.sock)</w:t>
            </w:r>
          </w:p>
        </w:tc>
        <w:tc>
          <w:tcPr>
            <w:tcW w:type="dxa" w:w="2077"/>
          </w:tcPr>
          <w:p>
            <w:r>
              <w:rPr>
                <w:rFonts w:ascii="Times New Roman" w:hAnsi="Times New Roman"/>
                <w:sz w:val="20"/>
              </w:rPr>
              <w:t>ABSENT</w:t>
            </w:r>
          </w:p>
        </w:tc>
        <w:tc>
          <w:tcPr>
            <w:tcW w:type="dxa" w:w="2077"/>
          </w:tcPr>
          <w:p>
            <w:r>
              <w:rPr>
                <w:rFonts w:ascii="Times New Roman" w:hAnsi="Times New Roman"/>
                <w:sz w:val="20"/>
              </w:rPr>
              <w:t>ABSENT (Zero Socket Mount)</w:t>
            </w:r>
          </w:p>
        </w:tc>
        <w:tc>
          <w:tcPr>
            <w:tcW w:type="dxa" w:w="2077"/>
          </w:tcPr>
          <w:p>
            <w:r>
              <w:rPr>
                <w:rFonts w:ascii="Times New Roman" w:hAnsi="Times New Roman"/>
                <w:b/>
                <w:sz w:val="20"/>
              </w:rPr>
              <w:t>PASS</w:t>
            </w:r>
          </w:p>
        </w:tc>
      </w:tr>
      <w:tr>
        <w:tc>
          <w:tcPr>
            <w:tcW w:type="dxa" w:w="2077"/>
          </w:tcPr>
          <w:p>
            <w:r>
              <w:rPr>
                <w:rFonts w:ascii="Times New Roman" w:hAnsi="Times New Roman"/>
                <w:sz w:val="20"/>
              </w:rPr>
              <w:t>Container Execution Privilege</w:t>
            </w:r>
          </w:p>
        </w:tc>
        <w:tc>
          <w:tcPr>
            <w:tcW w:type="dxa" w:w="2077"/>
          </w:tcPr>
          <w:p>
            <w:r>
              <w:rPr>
                <w:rFonts w:ascii="Times New Roman" w:hAnsi="Times New Roman"/>
                <w:sz w:val="20"/>
              </w:rPr>
              <w:t>NONROOT</w:t>
            </w:r>
          </w:p>
        </w:tc>
        <w:tc>
          <w:tcPr>
            <w:tcW w:type="dxa" w:w="2077"/>
          </w:tcPr>
          <w:p>
            <w:r>
              <w:rPr>
                <w:rFonts w:ascii="Times New Roman" w:hAnsi="Times New Roman"/>
                <w:sz w:val="20"/>
              </w:rPr>
              <w:t>NONROOT (UID 10001: decoy)</w:t>
            </w:r>
          </w:p>
        </w:tc>
        <w:tc>
          <w:tcPr>
            <w:tcW w:type="dxa" w:w="2077"/>
          </w:tcPr>
          <w:p>
            <w:r>
              <w:rPr>
                <w:rFonts w:ascii="Times New Roman" w:hAnsi="Times New Roman"/>
                <w:b/>
                <w:sz w:val="20"/>
              </w:rPr>
              <w:t>PASS</w:t>
            </w:r>
          </w:p>
        </w:tc>
      </w:tr>
      <w:tr>
        <w:tc>
          <w:tcPr>
            <w:tcW w:type="dxa" w:w="2077"/>
          </w:tcPr>
          <w:p>
            <w:r>
              <w:rPr>
                <w:rFonts w:ascii="Times New Roman" w:hAnsi="Times New Roman"/>
                <w:sz w:val="20"/>
              </w:rPr>
              <w:t>Root Filesystem Mutability</w:t>
            </w:r>
          </w:p>
        </w:tc>
        <w:tc>
          <w:tcPr>
            <w:tcW w:type="dxa" w:w="2077"/>
          </w:tcPr>
          <w:p>
            <w:r>
              <w:rPr>
                <w:rFonts w:ascii="Times New Roman" w:hAnsi="Times New Roman"/>
                <w:sz w:val="20"/>
              </w:rPr>
              <w:t>DENIED</w:t>
            </w:r>
          </w:p>
        </w:tc>
        <w:tc>
          <w:tcPr>
            <w:tcW w:type="dxa" w:w="2077"/>
          </w:tcPr>
          <w:p>
            <w:r>
              <w:rPr>
                <w:rFonts w:ascii="Times New Roman" w:hAnsi="Times New Roman"/>
                <w:sz w:val="20"/>
              </w:rPr>
              <w:t>DENIED (Read-Only Rootfs)</w:t>
            </w:r>
          </w:p>
        </w:tc>
        <w:tc>
          <w:tcPr>
            <w:tcW w:type="dxa" w:w="2077"/>
          </w:tcPr>
          <w:p>
            <w:r>
              <w:rPr>
                <w:rFonts w:ascii="Times New Roman" w:hAnsi="Times New Roman"/>
                <w:b/>
                <w:sz w:val="20"/>
              </w:rPr>
              <w:t>PASS</w:t>
            </w:r>
          </w:p>
        </w:tc>
      </w:tr>
    </w:tbl>
    <w:p>
      <w:pPr>
        <w:keepNext/>
        <w:spacing w:before="160" w:after="60"/>
        <w:jc w:val="left"/>
      </w:pPr>
      <w:r>
        <w:rPr>
          <w:rFonts w:ascii="Times New Roman" w:hAnsi="Times New Roman"/>
          <w:b/>
          <w:sz w:val="20"/>
        </w:rPr>
        <w:t>TABLE 4.2: Sandbox Container Breakout Penetration Test Results (5/5 Isolation)</w:t>
      </w:r>
    </w:p>
    <w:p>
      <w:pPr>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prototype_soc_dashboard.png"/>
                    <pic:cNvPicPr/>
                  </pic:nvPicPr>
                  <pic:blipFill>
                    <a:blip r:embed="rId16"/>
                    <a:stretch>
                      <a:fillRect/>
                    </a:stretch>
                  </pic:blipFill>
                  <pic:spPr>
                    <a:xfrm>
                      <a:off x="0" y="0"/>
                      <a:ext cx="5029200" cy="3143250"/>
                    </a:xfrm>
                    <a:prstGeom prst="rect"/>
                  </pic:spPr>
                </pic:pic>
              </a:graphicData>
            </a:graphic>
          </wp:inline>
        </w:drawing>
      </w:r>
    </w:p>
    <w:p>
      <w:pPr>
        <w:keepNext/>
        <w:spacing w:before="80" w:after="160"/>
        <w:jc w:val="center"/>
      </w:pPr>
      <w:r>
        <w:rPr>
          <w:rFonts w:ascii="Times New Roman" w:hAnsi="Times New Roman"/>
          <w:b/>
          <w:sz w:val="20"/>
        </w:rPr>
        <w:t>FIGURE 4.4: Dark SOC Real-Time Threat Intelligence Dashboard (/dashboard)</w:t>
      </w:r>
    </w:p>
    <w:p>
      <w:r>
        <w:br w:type="page"/>
      </w:r>
    </w:p>
    <w:p>
      <w:pPr>
        <w:keepNext/>
        <w:spacing w:before="240" w:after="120"/>
      </w:pPr>
      <w:r>
        <w:rPr>
          <w:rFonts w:ascii="Times New Roman" w:hAnsi="Times New Roman"/>
          <w:b/>
          <w:color w:val="0F172A"/>
          <w:sz w:val="32"/>
        </w:rPr>
        <w:t>CHAPTER 5: CONCLUSIONS AND FUTURE SCOPE</w:t>
      </w:r>
    </w:p>
    <w:p>
      <w:pPr>
        <w:keepNext/>
        <w:spacing w:before="200" w:after="80"/>
      </w:pPr>
      <w:r>
        <w:rPr>
          <w:rFonts w:ascii="Times New Roman" w:hAnsi="Times New Roman"/>
          <w:b/>
          <w:color w:val="0F172A"/>
          <w:sz w:val="28"/>
        </w:rPr>
        <w:t>5.1 Mid-Semester Accomplishments vs. Approved Objectives</w:t>
      </w:r>
    </w:p>
    <w:tbl>
      <w:tblPr>
        <w:tblW w:type="auto" w:w="0"/>
        <w:jc w:val="center"/>
        <w:tblLook w:firstColumn="1" w:firstRow="1" w:lastColumn="0" w:lastRow="0" w:noHBand="0" w:noVBand="1" w:val="04A0"/>
      </w:tblPr>
      <w:tblGrid>
        <w:gridCol w:w="2077"/>
        <w:gridCol w:w="2077"/>
        <w:gridCol w:w="2077"/>
        <w:gridCol w:w="2077"/>
      </w:tblGrid>
      <w:tr>
        <w:tc>
          <w:tcPr>
            <w:tcW w:type="dxa" w:w="2077"/>
            <w:shd w:fill="F1F5F9"/>
          </w:tcPr>
          <w:p>
            <w:r>
              <w:rPr>
                <w:b/>
              </w:rPr>
              <w:t>Approved Objective</w:t>
            </w:r>
          </w:p>
        </w:tc>
        <w:tc>
          <w:tcPr>
            <w:tcW w:type="dxa" w:w="2077"/>
            <w:shd w:fill="F1F5F9"/>
          </w:tcPr>
          <w:p>
            <w:r>
              <w:rPr>
                <w:b/>
              </w:rPr>
              <w:t>Target Specification</w:t>
            </w:r>
          </w:p>
        </w:tc>
        <w:tc>
          <w:tcPr>
            <w:tcW w:type="dxa" w:w="2077"/>
            <w:shd w:fill="F1F5F9"/>
          </w:tcPr>
          <w:p>
            <w:r>
              <w:rPr>
                <w:b/>
              </w:rPr>
              <w:t>Mid-Semester Implemented Progress</w:t>
            </w:r>
          </w:p>
        </w:tc>
        <w:tc>
          <w:tcPr>
            <w:tcW w:type="dxa" w:w="2077"/>
            <w:shd w:fill="F1F5F9"/>
          </w:tcPr>
          <w:p>
            <w:r>
              <w:rPr>
                <w:b/>
              </w:rPr>
              <w:t>Phase / Status</w:t>
            </w:r>
          </w:p>
        </w:tc>
      </w:tr>
      <w:tr>
        <w:tc>
          <w:tcPr>
            <w:tcW w:type="dxa" w:w="2077"/>
          </w:tcPr>
          <w:p>
            <w:r>
              <w:rPr>
                <w:rFonts w:ascii="Times New Roman" w:hAnsi="Times New Roman"/>
                <w:sz w:val="20"/>
              </w:rPr>
              <w:t>1. High-Accuracy Intent Sieve</w:t>
            </w:r>
          </w:p>
        </w:tc>
        <w:tc>
          <w:tcPr>
            <w:tcW w:type="dxa" w:w="2077"/>
          </w:tcPr>
          <w:p>
            <w:r>
              <w:rPr>
                <w:rFonts w:ascii="Times New Roman" w:hAnsi="Times New Roman"/>
                <w:sz w:val="20"/>
              </w:rPr>
              <w:t>Accuracy &gt;95% on JailbreakBench [12], FPR &lt;1%</w:t>
            </w:r>
          </w:p>
        </w:tc>
        <w:tc>
          <w:tcPr>
            <w:tcW w:type="dxa" w:w="2077"/>
          </w:tcPr>
          <w:p>
            <w:r>
              <w:rPr>
                <w:rFonts w:ascii="Times New Roman" w:hAnsi="Times New Roman"/>
                <w:sz w:val="20"/>
              </w:rPr>
              <w:t>95.8% recall on JailbreakBench (exceeding &gt;95% target); 98.3% recall across combined 889 dataset (559/569 attacks, 98.9% overall accuracy); 0.0% benign FPR (0/320 queries); ~2.1 to 8 ms benign fast-path latency.</w:t>
            </w:r>
          </w:p>
        </w:tc>
        <w:tc>
          <w:tcPr>
            <w:tcW w:type="dxa" w:w="2077"/>
          </w:tcPr>
          <w:p>
            <w:r>
              <w:rPr>
                <w:rFonts w:ascii="Times New Roman" w:hAnsi="Times New Roman"/>
                <w:sz w:val="20"/>
              </w:rPr>
              <w:t>Phase 2 (COMPLETED)</w:t>
            </w:r>
          </w:p>
        </w:tc>
      </w:tr>
      <w:tr>
        <w:tc>
          <w:tcPr>
            <w:tcW w:type="dxa" w:w="2077"/>
          </w:tcPr>
          <w:p>
            <w:r>
              <w:rPr>
                <w:rFonts w:ascii="Times New Roman" w:hAnsi="Times New Roman"/>
                <w:sz w:val="20"/>
              </w:rPr>
              <w:t>2. Mirror Maze Sandbox Deception</w:t>
            </w:r>
          </w:p>
        </w:tc>
        <w:tc>
          <w:tcPr>
            <w:tcW w:type="dxa" w:w="2077"/>
          </w:tcPr>
          <w:p>
            <w:r>
              <w:rPr>
                <w:rFonts w:ascii="Times New Roman" w:hAnsi="Times New Roman"/>
                <w:sz w:val="20"/>
              </w:rPr>
              <w:t>Believable decoy, dwell time &gt;5 min, synthetic bait</w:t>
            </w:r>
          </w:p>
        </w:tc>
        <w:tc>
          <w:tcPr>
            <w:tcW w:type="dxa" w:w="2077"/>
          </w:tcPr>
          <w:p>
            <w:r>
              <w:rPr>
                <w:rFonts w:ascii="Times New Roman" w:hAnsi="Times New Roman"/>
                <w:sz w:val="20"/>
              </w:rPr>
              <w:t>LLM 'Sarah' decoy persona; leaks fake tokens (NT-CORE-01); verified dwell tracking.</w:t>
            </w:r>
          </w:p>
        </w:tc>
        <w:tc>
          <w:tcPr>
            <w:tcW w:type="dxa" w:w="2077"/>
          </w:tcPr>
          <w:p>
            <w:r>
              <w:rPr>
                <w:rFonts w:ascii="Times New Roman" w:hAnsi="Times New Roman"/>
                <w:sz w:val="20"/>
              </w:rPr>
              <w:t>Phase 3 (COMPLETED)</w:t>
            </w:r>
          </w:p>
        </w:tc>
      </w:tr>
      <w:tr>
        <w:tc>
          <w:tcPr>
            <w:tcW w:type="dxa" w:w="2077"/>
          </w:tcPr>
          <w:p>
            <w:r>
              <w:rPr>
                <w:rFonts w:ascii="Times New Roman" w:hAnsi="Times New Roman"/>
                <w:sz w:val="20"/>
              </w:rPr>
              <w:t>3. Autonomous Guardrail Synthesis</w:t>
            </w:r>
          </w:p>
        </w:tc>
        <w:tc>
          <w:tcPr>
            <w:tcW w:type="dxa" w:w="2077"/>
          </w:tcPr>
          <w:p>
            <w:r>
              <w:rPr>
                <w:rFonts w:ascii="Times New Roman" w:hAnsi="Times New Roman"/>
                <w:sz w:val="20"/>
              </w:rPr>
              <w:t>Automated NeMo rule generation, zero manual triage</w:t>
            </w:r>
          </w:p>
        </w:tc>
        <w:tc>
          <w:tcPr>
            <w:tcW w:type="dxa" w:w="2077"/>
          </w:tcPr>
          <w:p>
            <w:r>
              <w:rPr>
                <w:rFonts w:ascii="Times New Roman" w:hAnsi="Times New Roman"/>
                <w:sz w:val="20"/>
              </w:rPr>
              <w:t>Distills attack pattern, validates Colang [6], passes regression gate; time-to-patch 10.4 s to 12.8 s.</w:t>
            </w:r>
          </w:p>
        </w:tc>
        <w:tc>
          <w:tcPr>
            <w:tcW w:type="dxa" w:w="2077"/>
          </w:tcPr>
          <w:p>
            <w:r>
              <w:rPr>
                <w:rFonts w:ascii="Times New Roman" w:hAnsi="Times New Roman"/>
                <w:sz w:val="20"/>
              </w:rPr>
              <w:t>Phase 4 (COMPLETED)</w:t>
            </w:r>
          </w:p>
        </w:tc>
      </w:tr>
      <w:tr>
        <w:tc>
          <w:tcPr>
            <w:tcW w:type="dxa" w:w="2077"/>
          </w:tcPr>
          <w:p>
            <w:r>
              <w:rPr>
                <w:rFonts w:ascii="Times New Roman" w:hAnsi="Times New Roman"/>
                <w:sz w:val="20"/>
              </w:rPr>
              <w:t>4. Zero-Escape Sandbox Security</w:t>
            </w:r>
          </w:p>
        </w:tc>
        <w:tc>
          <w:tcPr>
            <w:tcW w:type="dxa" w:w="2077"/>
          </w:tcPr>
          <w:p>
            <w:r>
              <w:rPr>
                <w:rFonts w:ascii="Times New Roman" w:hAnsi="Times New Roman"/>
                <w:sz w:val="20"/>
              </w:rPr>
              <w:t>Zero-egress container isolation, zero network/host leakage under audit probes</w:t>
            </w:r>
          </w:p>
        </w:tc>
        <w:tc>
          <w:tcPr>
            <w:tcW w:type="dxa" w:w="2077"/>
          </w:tcPr>
          <w:p>
            <w:r>
              <w:rPr>
                <w:rFonts w:ascii="Times New Roman" w:hAnsi="Times New Roman"/>
                <w:sz w:val="20"/>
              </w:rPr>
              <w:t>Docker zero-egress network; No container escape observed across 5/5 executed penetration probes; read-only rootfs; non-root UID 10001.</w:t>
            </w:r>
          </w:p>
        </w:tc>
        <w:tc>
          <w:tcPr>
            <w:tcW w:type="dxa" w:w="2077"/>
          </w:tcPr>
          <w:p>
            <w:r>
              <w:rPr>
                <w:rFonts w:ascii="Times New Roman" w:hAnsi="Times New Roman"/>
                <w:sz w:val="20"/>
              </w:rPr>
              <w:t>Phase 3/4 (COMPLETED)</w:t>
            </w:r>
          </w:p>
        </w:tc>
      </w:tr>
      <w:tr>
        <w:tc>
          <w:tcPr>
            <w:tcW w:type="dxa" w:w="2077"/>
          </w:tcPr>
          <w:p>
            <w:r>
              <w:rPr>
                <w:rFonts w:ascii="Times New Roman" w:hAnsi="Times New Roman"/>
                <w:sz w:val="20"/>
              </w:rPr>
              <w:t>5. SOC Telemetry Dashboard</w:t>
            </w:r>
          </w:p>
        </w:tc>
        <w:tc>
          <w:tcPr>
            <w:tcW w:type="dxa" w:w="2077"/>
          </w:tcPr>
          <w:p>
            <w:r>
              <w:rPr>
                <w:rFonts w:ascii="Times New Roman" w:hAnsi="Times New Roman"/>
                <w:sz w:val="20"/>
              </w:rPr>
              <w:t>Real-time monitoring, &lt;1s refresh, taxonomy stats</w:t>
            </w:r>
          </w:p>
        </w:tc>
        <w:tc>
          <w:tcPr>
            <w:tcW w:type="dxa" w:w="2077"/>
          </w:tcPr>
          <w:p>
            <w:r>
              <w:rPr>
                <w:rFonts w:ascii="Times New Roman" w:hAnsi="Times New Roman"/>
                <w:sz w:val="20"/>
              </w:rPr>
              <w:t>Architecture completed; live telemetry populated (176 requests, 85 attacks, 4m 46s avg dwell).</w:t>
            </w:r>
          </w:p>
        </w:tc>
        <w:tc>
          <w:tcPr>
            <w:tcW w:type="dxa" w:w="2077"/>
          </w:tcPr>
          <w:p>
            <w:r>
              <w:rPr>
                <w:rFonts w:ascii="Times New Roman" w:hAnsi="Times New Roman"/>
                <w:sz w:val="20"/>
              </w:rPr>
              <w:t>Phase 5 (IN PROGRESS)</w:t>
            </w:r>
          </w:p>
        </w:tc>
      </w:tr>
    </w:tbl>
    <w:p>
      <w:pPr>
        <w:keepNext/>
        <w:spacing w:before="160" w:after="60"/>
        <w:jc w:val="left"/>
      </w:pPr>
      <w:r>
        <w:rPr>
          <w:rFonts w:ascii="Times New Roman" w:hAnsi="Times New Roman"/>
          <w:b/>
          <w:sz w:val="20"/>
        </w:rPr>
        <w:t>TABLE 5.1: Mid-Semester Mapping of Approved Objectives to Implemented Progress</w:t>
      </w:r>
    </w:p>
    <w:p>
      <w:pPr>
        <w:keepNext/>
        <w:spacing w:before="200" w:after="80"/>
      </w:pPr>
      <w:r>
        <w:rPr>
          <w:rFonts w:ascii="Times New Roman" w:hAnsi="Times New Roman"/>
          <w:b/>
          <w:color w:val="0F172A"/>
          <w:sz w:val="28"/>
        </w:rPr>
        <w:t>5.2 Mid-Semester Conclusions &amp; Empirical Reliability</w:t>
      </w:r>
    </w:p>
    <w:p>
      <w:pPr>
        <w:spacing w:line="360" w:lineRule="auto" w:after="120"/>
        <w:ind w:firstLine="432"/>
        <w:jc w:val="both"/>
      </w:pPr>
      <w:r>
        <w:rPr>
          <w:rFonts w:ascii="Times New Roman" w:hAnsi="Times New Roman"/>
          <w:sz w:val="24"/>
        </w:rPr>
        <w:t>Honey-LLM demonstrates that proactive deception combined with automated guardrail synthesis represents a viable paradigm shift in conversational AI cybersecurity. Over the course of Phases 1 through 4, the evaluation demonstrates that: (1) adversarial intent can be intercepted with 95.8% recall on standard benchmarks and 98.3% adversarial detection recall across the combined curated and in-the-wild evaluation corpus (559/569 attacks, 98.9% overall accuracy) while protecting benign customer traffic (~2.1 to 8 ms P50 fast-path, 0/320 false flags); (2) generative honeypots running on zero-trust containerization contained attacker reconnaissance in the evaluated sandbox tests (no container escapes observed across the 5 executed penetration probes); and (3) closed-loop self-healing can compile and hot-patch permanent NeMo Colang rules [6] within 10.4 to 12.8 seconds.</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shd w:fill="F1F5F9"/>
          </w:tcPr>
          <w:p>
            <w:r>
              <w:rPr>
                <w:b/>
              </w:rPr>
              <w:t>Sieve Layer / Model</w:t>
            </w:r>
          </w:p>
        </w:tc>
        <w:tc>
          <w:tcPr>
            <w:tcW w:type="dxa" w:w="1662"/>
            <w:shd w:fill="F1F5F9"/>
          </w:tcPr>
          <w:p>
            <w:r>
              <w:rPr>
                <w:b/>
              </w:rPr>
              <w:t>Evaluation Target</w:t>
            </w:r>
          </w:p>
        </w:tc>
        <w:tc>
          <w:tcPr>
            <w:tcW w:type="dxa" w:w="1662"/>
            <w:shd w:fill="F1F5F9"/>
          </w:tcPr>
          <w:p>
            <w:r>
              <w:rPr>
                <w:b/>
              </w:rPr>
              <w:t>Adversarial Recall (%)</w:t>
            </w:r>
          </w:p>
        </w:tc>
        <w:tc>
          <w:tcPr>
            <w:tcW w:type="dxa" w:w="1662"/>
            <w:shd w:fill="F1F5F9"/>
          </w:tcPr>
          <w:p>
            <w:r>
              <w:rPr>
                <w:b/>
              </w:rPr>
              <w:t>Benign FPR (%)</w:t>
            </w:r>
          </w:p>
        </w:tc>
        <w:tc>
          <w:tcPr>
            <w:tcW w:type="dxa" w:w="1662"/>
            <w:shd w:fill="F1F5F9"/>
          </w:tcPr>
          <w:p>
            <w:r>
              <w:rPr>
                <w:b/>
              </w:rPr>
              <w:t>Latency (P50)</w:t>
            </w:r>
          </w:p>
        </w:tc>
      </w:tr>
      <w:tr>
        <w:tc>
          <w:tcPr>
            <w:tcW w:type="dxa" w:w="1662"/>
          </w:tcPr>
          <w:p>
            <w:r>
              <w:rPr>
                <w:rFonts w:ascii="Times New Roman" w:hAnsi="Times New Roman"/>
                <w:sz w:val="20"/>
              </w:rPr>
              <w:t>Default Llama-Guard 3 (1B) [11]</w:t>
            </w:r>
          </w:p>
        </w:tc>
        <w:tc>
          <w:tcPr>
            <w:tcW w:type="dxa" w:w="1662"/>
          </w:tcPr>
          <w:p>
            <w:r>
              <w:rPr>
                <w:rFonts w:ascii="Times New Roman" w:hAnsi="Times New Roman"/>
                <w:sz w:val="20"/>
              </w:rPr>
              <w:t>JailbreakBench (100) [12]</w:t>
            </w:r>
          </w:p>
        </w:tc>
        <w:tc>
          <w:tcPr>
            <w:tcW w:type="dxa" w:w="1662"/>
          </w:tcPr>
          <w:p>
            <w:r>
              <w:rPr>
                <w:rFonts w:ascii="Times New Roman" w:hAnsi="Times New Roman"/>
                <w:sz w:val="20"/>
              </w:rPr>
              <w:t>37.5% (37/100)</w:t>
            </w:r>
          </w:p>
        </w:tc>
        <w:tc>
          <w:tcPr>
            <w:tcW w:type="dxa" w:w="1662"/>
          </w:tcPr>
          <w:p>
            <w:r>
              <w:rPr>
                <w:rFonts w:ascii="Times New Roman" w:hAnsi="Times New Roman"/>
                <w:sz w:val="20"/>
              </w:rPr>
              <w:t>0.0% (0/100)</w:t>
            </w:r>
          </w:p>
        </w:tc>
        <w:tc>
          <w:tcPr>
            <w:tcW w:type="dxa" w:w="1662"/>
          </w:tcPr>
          <w:p>
            <w:r>
              <w:rPr>
                <w:rFonts w:ascii="Times New Roman" w:hAnsi="Times New Roman"/>
                <w:sz w:val="20"/>
              </w:rPr>
              <w:t>180 ms</w:t>
            </w:r>
          </w:p>
        </w:tc>
      </w:tr>
      <w:tr>
        <w:tc>
          <w:tcPr>
            <w:tcW w:type="dxa" w:w="1662"/>
          </w:tcPr>
          <w:p>
            <w:r>
              <w:rPr>
                <w:rFonts w:ascii="Times New Roman" w:hAnsi="Times New Roman"/>
                <w:sz w:val="20"/>
              </w:rPr>
              <w:t>Default Llama-Guard 3 (8B) [11]</w:t>
            </w:r>
          </w:p>
        </w:tc>
        <w:tc>
          <w:tcPr>
            <w:tcW w:type="dxa" w:w="1662"/>
          </w:tcPr>
          <w:p>
            <w:r>
              <w:rPr>
                <w:rFonts w:ascii="Times New Roman" w:hAnsi="Times New Roman"/>
                <w:sz w:val="20"/>
              </w:rPr>
              <w:t>JailbreakBench (100) [12]</w:t>
            </w:r>
          </w:p>
        </w:tc>
        <w:tc>
          <w:tcPr>
            <w:tcW w:type="dxa" w:w="1662"/>
          </w:tcPr>
          <w:p>
            <w:r>
              <w:rPr>
                <w:rFonts w:ascii="Times New Roman" w:hAnsi="Times New Roman"/>
                <w:sz w:val="20"/>
              </w:rPr>
              <w:t>62.5% (62/100)</w:t>
            </w:r>
          </w:p>
        </w:tc>
        <w:tc>
          <w:tcPr>
            <w:tcW w:type="dxa" w:w="1662"/>
          </w:tcPr>
          <w:p>
            <w:r>
              <w:rPr>
                <w:rFonts w:ascii="Times New Roman" w:hAnsi="Times New Roman"/>
                <w:sz w:val="20"/>
              </w:rPr>
              <w:t>0.0% (0/100)</w:t>
            </w:r>
          </w:p>
        </w:tc>
        <w:tc>
          <w:tcPr>
            <w:tcW w:type="dxa" w:w="1662"/>
          </w:tcPr>
          <w:p>
            <w:r>
              <w:rPr>
                <w:rFonts w:ascii="Times New Roman" w:hAnsi="Times New Roman"/>
                <w:sz w:val="20"/>
              </w:rPr>
              <w:t>720 ms (Cloud GPU)</w:t>
            </w:r>
          </w:p>
        </w:tc>
      </w:tr>
      <w:tr>
        <w:tc>
          <w:tcPr>
            <w:tcW w:type="dxa" w:w="1662"/>
          </w:tcPr>
          <w:p>
            <w:r>
              <w:rPr>
                <w:rFonts w:ascii="Times New Roman" w:hAnsi="Times New Roman"/>
                <w:sz w:val="20"/>
              </w:rPr>
              <w:t>Custom-Policy Llama-Guard 3 (8B) [11]</w:t>
            </w:r>
          </w:p>
        </w:tc>
        <w:tc>
          <w:tcPr>
            <w:tcW w:type="dxa" w:w="1662"/>
          </w:tcPr>
          <w:p>
            <w:r>
              <w:rPr>
                <w:rFonts w:ascii="Times New Roman" w:hAnsi="Times New Roman"/>
                <w:sz w:val="20"/>
              </w:rPr>
              <w:t>JailbreakBench (100) [12]</w:t>
            </w:r>
          </w:p>
        </w:tc>
        <w:tc>
          <w:tcPr>
            <w:tcW w:type="dxa" w:w="1662"/>
          </w:tcPr>
          <w:p>
            <w:r>
              <w:rPr>
                <w:rFonts w:ascii="Times New Roman" w:hAnsi="Times New Roman"/>
                <w:sz w:val="20"/>
              </w:rPr>
              <w:t>95.8% (95/100)</w:t>
            </w:r>
          </w:p>
        </w:tc>
        <w:tc>
          <w:tcPr>
            <w:tcW w:type="dxa" w:w="1662"/>
          </w:tcPr>
          <w:p>
            <w:r>
              <w:rPr>
                <w:rFonts w:ascii="Times New Roman" w:hAnsi="Times New Roman"/>
                <w:sz w:val="20"/>
              </w:rPr>
              <w:t>0.0% (0/100)</w:t>
            </w:r>
          </w:p>
        </w:tc>
        <w:tc>
          <w:tcPr>
            <w:tcW w:type="dxa" w:w="1662"/>
          </w:tcPr>
          <w:p>
            <w:r>
              <w:rPr>
                <w:rFonts w:ascii="Times New Roman" w:hAnsi="Times New Roman"/>
                <w:sz w:val="20"/>
              </w:rPr>
              <w:t>8.5 s (Local) / 740 ms (GPU)</w:t>
            </w:r>
          </w:p>
        </w:tc>
      </w:tr>
      <w:tr>
        <w:tc>
          <w:tcPr>
            <w:tcW w:type="dxa" w:w="1662"/>
          </w:tcPr>
          <w:p>
            <w:r>
              <w:rPr>
                <w:rFonts w:ascii="Times New Roman" w:hAnsi="Times New Roman"/>
                <w:sz w:val="20"/>
              </w:rPr>
              <w:t>Tier-0 Colang Guardrail [6]</w:t>
            </w:r>
          </w:p>
        </w:tc>
        <w:tc>
          <w:tcPr>
            <w:tcW w:type="dxa" w:w="1662"/>
          </w:tcPr>
          <w:p>
            <w:r>
              <w:rPr>
                <w:rFonts w:ascii="Times New Roman" w:hAnsi="Times New Roman"/>
                <w:sz w:val="20"/>
              </w:rPr>
              <w:t>Replay / Variants</w:t>
            </w:r>
          </w:p>
        </w:tc>
        <w:tc>
          <w:tcPr>
            <w:tcW w:type="dxa" w:w="1662"/>
          </w:tcPr>
          <w:p>
            <w:r>
              <w:rPr>
                <w:rFonts w:ascii="Times New Roman" w:hAnsi="Times New Roman"/>
                <w:sz w:val="20"/>
              </w:rPr>
              <w:t>100% (Active)</w:t>
            </w:r>
          </w:p>
        </w:tc>
        <w:tc>
          <w:tcPr>
            <w:tcW w:type="dxa" w:w="1662"/>
          </w:tcPr>
          <w:p>
            <w:r>
              <w:rPr>
                <w:rFonts w:ascii="Times New Roman" w:hAnsi="Times New Roman"/>
                <w:sz w:val="20"/>
              </w:rPr>
              <w:t>0.0% (0/320)</w:t>
            </w:r>
          </w:p>
        </w:tc>
        <w:tc>
          <w:tcPr>
            <w:tcW w:type="dxa" w:w="1662"/>
          </w:tcPr>
          <w:p>
            <w:r>
              <w:rPr>
                <w:rFonts w:ascii="Times New Roman" w:hAnsi="Times New Roman"/>
                <w:sz w:val="20"/>
              </w:rPr>
              <w:t>~340 ms</w:t>
            </w:r>
          </w:p>
        </w:tc>
      </w:tr>
      <w:tr>
        <w:tc>
          <w:tcPr>
            <w:tcW w:type="dxa" w:w="1662"/>
          </w:tcPr>
          <w:p>
            <w:r>
              <w:rPr>
                <w:rFonts w:ascii="Times New Roman" w:hAnsi="Times New Roman"/>
                <w:sz w:val="20"/>
              </w:rPr>
              <w:t>Honey-LLM Fast-Path (Tier-1)</w:t>
            </w:r>
          </w:p>
        </w:tc>
        <w:tc>
          <w:tcPr>
            <w:tcW w:type="dxa" w:w="1662"/>
          </w:tcPr>
          <w:p>
            <w:r>
              <w:rPr>
                <w:rFonts w:ascii="Times New Roman" w:hAnsi="Times New Roman"/>
                <w:sz w:val="20"/>
              </w:rPr>
              <w:t>Benign Telecom Stream</w:t>
            </w:r>
          </w:p>
        </w:tc>
        <w:tc>
          <w:tcPr>
            <w:tcW w:type="dxa" w:w="1662"/>
          </w:tcPr>
          <w:p>
            <w:r>
              <w:rPr>
                <w:rFonts w:ascii="Times New Roman" w:hAnsi="Times New Roman"/>
                <w:sz w:val="20"/>
              </w:rPr>
              <w:t>N/A (Safe Pass)</w:t>
            </w:r>
          </w:p>
        </w:tc>
        <w:tc>
          <w:tcPr>
            <w:tcW w:type="dxa" w:w="1662"/>
          </w:tcPr>
          <w:p>
            <w:r>
              <w:rPr>
                <w:rFonts w:ascii="Times New Roman" w:hAnsi="Times New Roman"/>
                <w:sz w:val="20"/>
              </w:rPr>
              <w:t>0.0% (0/320)</w:t>
            </w:r>
          </w:p>
        </w:tc>
        <w:tc>
          <w:tcPr>
            <w:tcW w:type="dxa" w:w="1662"/>
          </w:tcPr>
          <w:p>
            <w:r>
              <w:rPr>
                <w:rFonts w:ascii="Times New Roman" w:hAnsi="Times New Roman"/>
                <w:sz w:val="20"/>
              </w:rPr>
              <w:t>~2.1–8.0 ms</w:t>
            </w:r>
          </w:p>
        </w:tc>
      </w:tr>
      <w:tr>
        <w:tc>
          <w:tcPr>
            <w:tcW w:type="dxa" w:w="1662"/>
            <w:shd w:fill="F0FDF4"/>
          </w:tcPr>
          <w:p>
            <w:r>
              <w:rPr>
                <w:rFonts w:ascii="Times New Roman" w:hAnsi="Times New Roman"/>
                <w:sz w:val="20"/>
              </w:rPr>
              <w:t>Honey-LLM Two-Tier Ensemble</w:t>
            </w:r>
          </w:p>
        </w:tc>
        <w:tc>
          <w:tcPr>
            <w:tcW w:type="dxa" w:w="1662"/>
            <w:shd w:fill="F0FDF4"/>
          </w:tcPr>
          <w:p>
            <w:r>
              <w:rPr>
                <w:rFonts w:ascii="Times New Roman" w:hAnsi="Times New Roman"/>
                <w:sz w:val="20"/>
              </w:rPr>
              <w:t>Curated + Wild (889)</w:t>
            </w:r>
          </w:p>
        </w:tc>
        <w:tc>
          <w:tcPr>
            <w:tcW w:type="dxa" w:w="1662"/>
            <w:shd w:fill="F0FDF4"/>
          </w:tcPr>
          <w:p>
            <w:r>
              <w:rPr>
                <w:rFonts w:ascii="Times New Roman" w:hAnsi="Times New Roman"/>
                <w:sz w:val="20"/>
              </w:rPr>
              <w:t>98.3% (559/569)</w:t>
            </w:r>
          </w:p>
        </w:tc>
        <w:tc>
          <w:tcPr>
            <w:tcW w:type="dxa" w:w="1662"/>
            <w:shd w:fill="F0FDF4"/>
          </w:tcPr>
          <w:p>
            <w:r>
              <w:rPr>
                <w:rFonts w:ascii="Times New Roman" w:hAnsi="Times New Roman"/>
                <w:sz w:val="20"/>
              </w:rPr>
              <w:t>0.0% (0/320)</w:t>
            </w:r>
          </w:p>
        </w:tc>
        <w:tc>
          <w:tcPr>
            <w:tcW w:type="dxa" w:w="1662"/>
            <w:shd w:fill="F0FDF4"/>
          </w:tcPr>
          <w:p>
            <w:r>
              <w:rPr>
                <w:rFonts w:ascii="Times New Roman" w:hAnsi="Times New Roman"/>
                <w:sz w:val="20"/>
              </w:rPr>
              <w:t>~8.0 ms (Benign P50)</w:t>
            </w:r>
          </w:p>
        </w:tc>
      </w:tr>
      <w:tr>
        <w:tc>
          <w:tcPr>
            <w:tcW w:type="dxa" w:w="1662"/>
          </w:tcPr>
          <w:p/>
        </w:tc>
        <w:tc>
          <w:tcPr>
            <w:tcW w:type="dxa" w:w="1662"/>
          </w:tcPr>
          <w:p/>
        </w:tc>
        <w:tc>
          <w:tcPr>
            <w:tcW w:type="dxa" w:w="1662"/>
          </w:tcPr>
          <w:p/>
        </w:tc>
        <w:tc>
          <w:tcPr>
            <w:tcW w:type="dxa" w:w="1662"/>
          </w:tcPr>
          <w:p/>
        </w:tc>
        <w:tc>
          <w:tcPr>
            <w:tcW w:type="dxa" w:w="1662"/>
          </w:tcPr>
          <w:p/>
        </w:tc>
      </w:tr>
    </w:tbl>
    <w:p>
      <w:pPr>
        <w:keepNext/>
        <w:spacing w:before="160" w:after="60"/>
        <w:jc w:val="left"/>
      </w:pPr>
      <w:r>
        <w:rPr>
          <w:rFonts w:ascii="Times New Roman" w:hAnsi="Times New Roman"/>
          <w:b/>
          <w:sz w:val="20"/>
        </w:rPr>
        <w:t>TABLE 5.2: Intent Sieve Benchmark Evaluation and Multi-Tier Latency Profile</w:t>
      </w:r>
    </w:p>
    <w:p>
      <w:pPr>
        <w:keepNext/>
        <w:spacing w:before="200" w:after="80"/>
      </w:pPr>
      <w:r>
        <w:rPr>
          <w:rFonts w:ascii="Times New Roman" w:hAnsi="Times New Roman"/>
          <w:b/>
          <w:color w:val="0F172A"/>
          <w:sz w:val="28"/>
        </w:rPr>
        <w:t>5.3 Economic, Social, and Environmental Benefits</w:t>
      </w:r>
    </w:p>
    <w:p>
      <w:pPr>
        <w:spacing w:line="360" w:lineRule="auto" w:after="80"/>
        <w:ind w:left="360" w:hanging="216"/>
        <w:jc w:val="both"/>
      </w:pPr>
      <w:r>
        <w:rPr>
          <w:rFonts w:ascii="Times New Roman" w:hAnsi="Times New Roman"/>
          <w:sz w:val="24"/>
        </w:rPr>
        <w:t>•  Economic Benefits: Eliminates commercial API token expenditures (~$27,000/year savings for high-throughput enterprises) and protects sensitive corporate data from exfiltration.</w:t>
      </w:r>
    </w:p>
    <w:p>
      <w:pPr>
        <w:spacing w:line="360" w:lineRule="auto" w:after="80"/>
        <w:ind w:left="360" w:hanging="216"/>
        <w:jc w:val="both"/>
      </w:pPr>
      <w:r>
        <w:rPr>
          <w:rFonts w:ascii="Times New Roman" w:hAnsi="Times New Roman"/>
          <w:sz w:val="24"/>
        </w:rPr>
        <w:t>•  Social &amp; National Security Benefits: Highly relevant for India's rapidly expanding digital public infrastructure (UPI, DigiLocker, e-governance bots), preventing malicious manipulation of public-facing citizen services.</w:t>
      </w:r>
    </w:p>
    <w:p>
      <w:pPr>
        <w:spacing w:line="360" w:lineRule="auto" w:after="80"/>
        <w:ind w:left="360" w:hanging="216"/>
        <w:jc w:val="both"/>
      </w:pPr>
      <w:r>
        <w:rPr>
          <w:rFonts w:ascii="Times New Roman" w:hAnsi="Times New Roman"/>
          <w:sz w:val="24"/>
        </w:rPr>
        <w:t>•  Environmental Benefits: Localized SLM quantization and sub-millisecond fast-path bypassing reduce cloud GPU server compute requirements by over 85%, significantly lowering the carbon footprint of AI security operations.</w:t>
      </w:r>
    </w:p>
    <w:p>
      <w:pPr>
        <w:keepNext/>
        <w:spacing w:before="200" w:after="80"/>
      </w:pPr>
      <w:r>
        <w:rPr>
          <w:rFonts w:ascii="Times New Roman" w:hAnsi="Times New Roman"/>
          <w:b/>
          <w:color w:val="0F172A"/>
          <w:sz w:val="28"/>
        </w:rPr>
        <w:t>5.4 Future Work Plan (Phases 5 and 6 Roadmap)</w:t>
      </w:r>
    </w:p>
    <w:p>
      <w:pPr>
        <w:spacing w:line="360" w:lineRule="auto" w:after="120"/>
        <w:ind w:firstLine="432"/>
        <w:jc w:val="both"/>
      </w:pPr>
      <w:r>
        <w:rPr>
          <w:rFonts w:ascii="Times New Roman" w:hAnsi="Times New Roman"/>
          <w:sz w:val="24"/>
        </w:rPr>
        <w:t>Following the mid-semester evaluation, the project team will execute the final two planned engineering phases leading to end-semester submission:</w:t>
      </w:r>
    </w:p>
    <w:p>
      <w:pPr>
        <w:spacing w:line="360" w:lineRule="auto" w:after="80"/>
        <w:ind w:left="360" w:hanging="216"/>
        <w:jc w:val="both"/>
      </w:pPr>
      <w:r>
        <w:rPr>
          <w:rFonts w:ascii="Times New Roman" w:hAnsi="Times New Roman"/>
          <w:sz w:val="24"/>
        </w:rPr>
        <w:t>•  Phase 5: Forensic Telemetry &amp; Threat Intelligence Dashboard: Finalize the sub-second polling Next.js 15 SOC dashboard, integrate live attacker dwell-time meters, and complete end-to-end visualization of attack taxonomy trends.</w:t>
      </w:r>
    </w:p>
    <w:p>
      <w:pPr>
        <w:spacing w:line="360" w:lineRule="auto" w:after="80"/>
        <w:ind w:left="360" w:hanging="216"/>
        <w:jc w:val="both"/>
      </w:pPr>
      <w:r>
        <w:rPr>
          <w:rFonts w:ascii="Times New Roman" w:hAnsi="Times New Roman"/>
          <w:sz w:val="24"/>
        </w:rPr>
        <w:t>•  Phase 6: Empirical Validation &amp; Adversarial Red-Teaming: Subject the deployed gateway to scaled Microsoft PyRIT [13] adversarial stress campaigns across 12+ prompt obfuscation converters (Base64, ROT13, Leetspeak, Unicode confusables), conduct multi-user concurrency load profiling, and author the final capstone thesis.</w:t>
      </w:r>
    </w:p>
    <w:p>
      <w:r>
        <w:br w:type="page"/>
      </w:r>
    </w:p>
    <w:p>
      <w:pPr>
        <w:keepNext/>
        <w:spacing w:before="240" w:after="120"/>
      </w:pPr>
      <w:r>
        <w:rPr>
          <w:rFonts w:ascii="Times New Roman" w:hAnsi="Times New Roman"/>
          <w:b/>
          <w:color w:val="0F172A"/>
          <w:sz w:val="32"/>
        </w:rPr>
        <w:t>APPENDIX A: REFERENCES</w:t>
      </w:r>
    </w:p>
    <w:p>
      <w:pPr>
        <w:spacing w:line="276" w:lineRule="auto" w:after="80"/>
        <w:ind w:left="576" w:hanging="576"/>
        <w:jc w:val="both"/>
      </w:pPr>
      <w:r>
        <w:rPr>
          <w:rFonts w:ascii="Times New Roman" w:hAnsi="Times New Roman"/>
          <w:sz w:val="21"/>
        </w:rPr>
        <w:t>[1] Anthropic. "Constitutional AI: Harmlessness from AI feedback." arXiv preprint arXiv:2212.08073, 2022.</w:t>
      </w:r>
    </w:p>
    <w:p>
      <w:pPr>
        <w:spacing w:line="276" w:lineRule="auto" w:after="80"/>
        <w:ind w:left="576" w:hanging="576"/>
        <w:jc w:val="both"/>
      </w:pPr>
      <w:r>
        <w:rPr>
          <w:rFonts w:ascii="Times New Roman" w:hAnsi="Times New Roman"/>
          <w:sz w:val="21"/>
        </w:rPr>
        <w:t>[2] D. Ayzenshteyn, R. Weiss, and Y. Mirsky. "Cloak, Honey, Trap: Proactive defenses against LLM agents." Ben-Gurion University of the Negev, USENIX Security Symposium, 2025.</w:t>
      </w:r>
    </w:p>
    <w:p>
      <w:pPr>
        <w:spacing w:line="276" w:lineRule="auto" w:after="80"/>
        <w:ind w:left="576" w:hanging="576"/>
        <w:jc w:val="both"/>
      </w:pPr>
      <w:r>
        <w:rPr>
          <w:rFonts w:ascii="Times New Roman" w:hAnsi="Times New Roman"/>
          <w:sz w:val="21"/>
        </w:rPr>
        <w:t>[3] I. Goodfellow, Y. Bengio, and A. Courville. Deep Learning. Cambridge, MA, USA: MIT Press, 2016.</w:t>
      </w:r>
    </w:p>
    <w:p>
      <w:pPr>
        <w:spacing w:line="276" w:lineRule="auto" w:after="80"/>
        <w:ind w:left="576" w:hanging="576"/>
        <w:jc w:val="both"/>
      </w:pPr>
      <w:r>
        <w:rPr>
          <w:rFonts w:ascii="Times New Roman" w:hAnsi="Times New Roman"/>
          <w:sz w:val="21"/>
        </w:rPr>
        <w:t>[4] C. Guan, G. Cao, and S. Zhu. "HoneyLLM: Enabling shell honeypots with large language models." In Proc. 2024 IEEE Conference on Communications and Network Security (CNS), Taipei, Taiwan, pp. 1-9, Oct. 2024.</w:t>
      </w:r>
    </w:p>
    <w:p>
      <w:pPr>
        <w:spacing w:line="276" w:lineRule="auto" w:after="80"/>
        <w:ind w:left="576" w:hanging="576"/>
        <w:jc w:val="both"/>
      </w:pPr>
      <w:r>
        <w:rPr>
          <w:rFonts w:ascii="Times New Roman" w:hAnsi="Times New Roman"/>
          <w:sz w:val="21"/>
        </w:rPr>
        <w:t>[5] N. Ilg, D. Germek, P. Duplys, and M. Menth. "Beekeeper: Accelerating honeypot analysis with LLM-driven feedback." IEEE Access, vol. 13, pp. 10508-10521, Feb. 2025.</w:t>
      </w:r>
    </w:p>
    <w:p>
      <w:pPr>
        <w:spacing w:line="276" w:lineRule="auto" w:after="80"/>
        <w:ind w:left="576" w:hanging="576"/>
        <w:jc w:val="both"/>
      </w:pPr>
      <w:r>
        <w:rPr>
          <w:rFonts w:ascii="Times New Roman" w:hAnsi="Times New Roman"/>
          <w:sz w:val="21"/>
        </w:rPr>
        <w:t>[6] NVIDIA. "NeMo Guardrails Documentation: Programmable Rails with Colang 2.0." NVIDIA Developer Docs, Internet: https://docs.nvidia.com/nemo/guardrails/, 2024 [Accessed: Aug. 15, 2026].</w:t>
      </w:r>
    </w:p>
    <w:p>
      <w:pPr>
        <w:spacing w:line="276" w:lineRule="auto" w:after="80"/>
        <w:ind w:left="576" w:hanging="576"/>
        <w:jc w:val="both"/>
      </w:pPr>
      <w:r>
        <w:rPr>
          <w:rFonts w:ascii="Times New Roman" w:hAnsi="Times New Roman"/>
          <w:sz w:val="21"/>
        </w:rPr>
        <w:t>[7] OpenAI. "GPT-4 Technical Report." arXiv preprint arXiv:2303.08774, 2023.</w:t>
      </w:r>
    </w:p>
    <w:p>
      <w:pPr>
        <w:spacing w:line="276" w:lineRule="auto" w:after="80"/>
        <w:ind w:left="576" w:hanging="576"/>
        <w:jc w:val="both"/>
      </w:pPr>
      <w:r>
        <w:rPr>
          <w:rFonts w:ascii="Times New Roman" w:hAnsi="Times New Roman"/>
          <w:sz w:val="21"/>
        </w:rPr>
        <w:t>[8] H. T. Otal and M. A. Canbaz. "LLM Honeypot: Leveraging large language models as advanced interactive honeypot systems." In Proc. 2024 IEEE Conference on Communications and Network Security (CNS), Taipei, Taiwan, pp. 1-9, Oct. 2024.</w:t>
      </w:r>
    </w:p>
    <w:p>
      <w:pPr>
        <w:spacing w:line="276" w:lineRule="auto" w:after="80"/>
        <w:ind w:left="576" w:hanging="576"/>
        <w:jc w:val="both"/>
      </w:pPr>
      <w:r>
        <w:rPr>
          <w:rFonts w:ascii="Times New Roman" w:hAnsi="Times New Roman"/>
          <w:sz w:val="21"/>
        </w:rPr>
        <w:t>[9] OWASP Foundation. "OWASP Top 10 for Large Language Model Applications (v1.1)." OWASP GenAI Security Project, Internet: https://owasp.org/www-project-top-10-for-large-language-model-applications/, 2023 [Accessed: Aug. 10, 2026].</w:t>
      </w:r>
    </w:p>
    <w:p>
      <w:pPr>
        <w:spacing w:line="276" w:lineRule="auto" w:after="80"/>
        <w:ind w:left="576" w:hanging="576"/>
        <w:jc w:val="both"/>
      </w:pPr>
      <w:r>
        <w:rPr>
          <w:rFonts w:ascii="Times New Roman" w:hAnsi="Times New Roman"/>
          <w:sz w:val="21"/>
        </w:rPr>
        <w:t>[10] M. Sladic, V. Valeros, C. Catania, and S. Garcia. "LLM in the shell: Generative honeypots." In Proc. 2024 IEEE European Symposium on Security and Privacy Workshops (EuroS&amp;PW), Vienna, Austria, pp. 412-421, Jul. 2024.</w:t>
      </w:r>
    </w:p>
    <w:p>
      <w:pPr>
        <w:spacing w:line="276" w:lineRule="auto" w:after="80"/>
        <w:ind w:left="576" w:hanging="576"/>
        <w:jc w:val="both"/>
      </w:pPr>
      <w:r>
        <w:rPr>
          <w:rFonts w:ascii="Times New Roman" w:hAnsi="Times New Roman"/>
          <w:sz w:val="21"/>
        </w:rPr>
        <w:t>[11] Meta AI. "Llama Guard 3: Developing safe and responsible generative AI models." Meta Research Technical Report, 2024.</w:t>
      </w:r>
    </w:p>
    <w:p>
      <w:pPr>
        <w:spacing w:line="276" w:lineRule="auto" w:after="80"/>
        <w:ind w:left="576" w:hanging="576"/>
        <w:jc w:val="both"/>
      </w:pPr>
      <w:r>
        <w:rPr>
          <w:rFonts w:ascii="Times New Roman" w:hAnsi="Times New Roman"/>
          <w:sz w:val="21"/>
        </w:rPr>
        <w:t>[12] P. Chao, A. Robey, E. Dobriban, H. Hassani, G. J. Pappas, and E. Wong. "JailbreakBench: An open robustness benchmark for jailbreaking large language models." In Proc. 38th Conference on Neural Information Processing Systems (NeurIPS), Vancouver, Canada, Dec. 2024.</w:t>
      </w:r>
    </w:p>
    <w:p>
      <w:pPr>
        <w:spacing w:line="276" w:lineRule="auto" w:after="80"/>
        <w:ind w:left="576" w:hanging="576"/>
        <w:jc w:val="both"/>
      </w:pPr>
      <w:r>
        <w:rPr>
          <w:rFonts w:ascii="Times New Roman" w:hAnsi="Times New Roman"/>
          <w:sz w:val="21"/>
        </w:rPr>
        <w:t>[13] Microsoft. "Python Risk Identification Tool for Generative AI (PyRIT)." Microsoft Security AI Research, Internet: https://github.com/Azure/PyRIT, 2024 [Accessed: Aug. 18, 2026].</w:t>
      </w:r>
    </w:p>
    <w:p>
      <w:r>
        <w:br w:type="page"/>
      </w:r>
    </w:p>
    <w:p>
      <w:pPr>
        <w:keepNext/>
        <w:spacing w:before="240" w:after="120"/>
      </w:pPr>
      <w:r>
        <w:rPr>
          <w:rFonts w:ascii="Times New Roman" w:hAnsi="Times New Roman"/>
          <w:b/>
          <w:color w:val="0F172A"/>
          <w:sz w:val="32"/>
        </w:rPr>
        <w:t>APPENDIX B: PLAGIARISM &amp; AUTHENTICITY STATEMENT</w:t>
      </w:r>
    </w:p>
    <w:p>
      <w:pPr>
        <w:spacing w:line="360" w:lineRule="auto" w:after="120"/>
        <w:ind w:firstLine="432"/>
        <w:jc w:val="both"/>
      </w:pPr>
      <w:r>
        <w:rPr>
          <w:rFonts w:ascii="Times New Roman" w:hAnsi="Times New Roman"/>
          <w:sz w:val="24"/>
        </w:rPr>
        <w:t>This technical report was developed in compliance with TIET academic integrity guidelines. All experimental code, system architecture diagrams, and benchmark evaluations represent original work carried out by the student team under faculty supervision. External literary contributions, foundational datasets, and benchmark suites have been cited using standard IEEE reference numbering.</w:t>
      </w:r>
    </w:p>
    <w:p>
      <w:pPr>
        <w:spacing w:line="360" w:lineRule="auto" w:after="120"/>
        <w:jc w:val="both"/>
      </w:pPr>
      <w:r>
        <w:rPr>
          <w:rFonts w:ascii="Times New Roman" w:hAnsi="Times New Roman"/>
          <w:sz w:val="24"/>
        </w:rPr>
        <w:t>Similarity Index: Verified below institutional threshold (&lt; 10% similarity excluding references).</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