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 to 4 Progress)</w:t>
      </w:r>
    </w:p>
    <w:p/>
    <w:p>
      <w:pPr>
        <w:jc w:val="center"/>
      </w:pPr>
      <w:r>
        <w:rPr>
          <w:sz w:val="24"/>
        </w:rPr>
        <w:t>Submitted by:</w:t>
      </w:r>
    </w:p>
    <w:p>
      <w:pPr>
        <w:spacing w:line="288" w:lineRule="auto" w:after="40"/>
        <w:jc w:val="center"/>
      </w:pPr>
      <w:r>
        <w:rPr>
          <w:rFonts w:ascii="Times New Roman" w:hAnsi="Times New Roman"/>
          <w:b/>
          <w:sz w:val="24"/>
        </w:rPr>
        <w:t>(102303312) ANOUSHKA SINGH</w:t>
      </w:r>
    </w:p>
    <w:p>
      <w:pPr>
        <w:spacing w:line="288" w:lineRule="auto" w:after="40"/>
        <w:jc w:val="center"/>
      </w:pPr>
      <w:r>
        <w:rPr>
          <w:rFonts w:ascii="Times New Roman" w:hAnsi="Times New Roman"/>
          <w:b/>
          <w:sz w:val="24"/>
        </w:rPr>
        <w:t>(102303315) TARUN KRISHNA SHASTRI</w:t>
      </w:r>
    </w:p>
    <w:p>
      <w:pPr>
        <w:spacing w:line="288" w:lineRule="auto" w:after="40"/>
        <w:jc w:val="center"/>
      </w:pPr>
      <w:r>
        <w:rPr>
          <w:rFonts w:ascii="Times New Roman" w:hAnsi="Times New Roman"/>
          <w:b/>
          <w:sz w:val="24"/>
        </w:rPr>
        <w:t>(102303631) DEVANSH WADHWANI</w:t>
      </w:r>
    </w:p>
    <w:p>
      <w:pPr>
        <w:spacing w:line="288" w:lineRule="auto" w:after="40"/>
        <w:jc w:val="center"/>
      </w:pPr>
      <w:r>
        <w:rPr>
          <w:rFonts w:ascii="Times New Roman" w:hAnsi="Times New Roman"/>
          <w:b/>
          <w:sz w:val="24"/>
        </w:rPr>
        <w:t>(102303684) SHREYA GIRI</w:t>
      </w:r>
    </w:p>
    <w:p/>
    <w:p>
      <w:pPr>
        <w:jc w:val="center"/>
      </w:pPr>
      <w:r>
        <w:rPr>
          <w:b/>
          <w:sz w:val="24"/>
        </w:rPr>
        <w:t>BE Third Year, Computer Engineering (CoE)</w:t>
        <w:br/>
        <w:t>CPG No: 75</w:t>
      </w:r>
    </w:p>
    <w:p/>
    <w:p>
      <w:pPr>
        <w:jc w:val="center"/>
      </w:pPr>
      <w:r>
        <w:rPr>
          <w:sz w:val="24"/>
        </w:rPr>
        <w:t>Under the Mentorship of:</w:t>
        <w:br/>
        <w:t>Dr. Saif Nalband</w:t>
        <w:br/>
        <w:t>Assistant 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evaluation set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tbl>
      <w:tblPr>
        <w:tblW w:type="auto" w:w="0"/>
        <w:jc w:val="center"/>
        <w:tblLook w:firstColumn="1" w:firstRow="1" w:lastColumn="0" w:lastRow="0" w:noHBand="0" w:noVBand="1" w:val="04A0"/>
      </w:tblPr>
      <w:tblGrid>
        <w:gridCol w:w="4154"/>
        <w:gridCol w:w="4154"/>
      </w:tblGrid>
      <w:tr>
        <w:tc>
          <w:tcPr>
            <w:tcW w:type="dxa" w:w="4154"/>
          </w:tcPr>
          <w:p>
            <w:r>
              <w:rPr>
                <w:b/>
              </w:rPr>
              <w:t>Faculty Mentor:</w:t>
            </w:r>
          </w:p>
        </w:tc>
        <w:tc>
          <w:tcPr>
            <w:tcW w:type="dxa" w:w="4154"/>
          </w:tcPr>
          <w:p>
            <w:r>
              <w:rPr>
                <w:b/>
              </w:rPr>
              <w:t>Head of Department:</w:t>
            </w:r>
          </w:p>
        </w:tc>
      </w:tr>
      <w:tr>
        <w:tc>
          <w:tcPr>
            <w:tcW w:type="dxa" w:w="4154"/>
          </w:tcPr>
          <w:p>
            <w:r>
              <w:drawing>
                <wp:inline xmlns:a="http://schemas.openxmlformats.org/drawingml/2006/main" xmlns:pic="http://schemas.openxmlformats.org/drawingml/2006/picture">
                  <wp:extent cx="1005840" cy="702082"/>
                  <wp:docPr id="1" name="Picture 1"/>
                  <wp:cNvGraphicFramePr>
                    <a:graphicFrameLocks noChangeAspect="1"/>
                  </wp:cNvGraphicFramePr>
                  <a:graphic>
                    <a:graphicData uri="http://schemas.openxmlformats.org/drawingml/2006/picture">
                      <pic:pic>
                        <pic:nvPicPr>
                          <pic:cNvPr id="0" name="saif_nalband_signature.jpg"/>
                          <pic:cNvPicPr/>
                        </pic:nvPicPr>
                        <pic:blipFill>
                          <a:blip r:embed="rId9"/>
                          <a:stretch>
                            <a:fillRect/>
                          </a:stretch>
                        </pic:blipFill>
                        <pic:spPr>
                          <a:xfrm>
                            <a:off x="0" y="0"/>
                            <a:ext cx="1005840" cy="702082"/>
                          </a:xfrm>
                          <a:prstGeom prst="rect"/>
                        </pic:spPr>
                      </pic:pic>
                    </a:graphicData>
                  </a:graphic>
                </wp:inline>
              </w:drawing>
            </w:r>
          </w:p>
        </w:tc>
        <w:tc>
          <w:tcPr>
            <w:tcW w:type="dxa" w:w="4154"/>
          </w:tcPr>
          <w:p/>
        </w:tc>
      </w:tr>
      <w:tr>
        <w:tc>
          <w:tcPr>
            <w:tcW w:type="dxa" w:w="4154"/>
          </w:tcPr>
          <w:p>
            <w:r>
              <w:rPr>
                <w:b/>
              </w:rPr>
              <w:t>Dr. Saif Nalband</w:t>
              <w:br/>
              <w:t>Assistant Professor, CSED</w:t>
              <w:br/>
              <w:t>TIET, Patiala</w:t>
            </w:r>
          </w:p>
        </w:tc>
        <w:tc>
          <w:tcPr>
            <w:tcW w:type="dxa" w:w="4154"/>
          </w:tcPr>
          <w:p>
            <w:r>
              <w:rPr>
                <w:b/>
              </w:rPr>
              <w:t>Dr. Neeraj Kumar</w:t>
              <w:br/>
              <w:t>Professor &amp; Head, CSED</w:t>
              <w:br/>
              <w:t>TIET, Patiala</w:t>
            </w:r>
          </w:p>
        </w:tc>
      </w:tr>
    </w:tbl>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(102303312), Tarun Krishna Shastri (102303315),</w:t>
        <w:br/>
        <w:t>Devansh Wadhwani (102303631), Shreya Giri (102303684)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0.0% FPR on benign domain traffic (0/320 benign queries flagged).</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[6],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200" w:after="60"/>
      </w:pPr>
      <w:r>
        <w:rPr>
          <w:rFonts w:ascii="Times New Roman" w:hAnsi="Times New Roman"/>
          <w:b/>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 [5].</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(such as Llama-Guard 3 8B [11])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parameter models (Llama-Guard 3 and Llama-3) execute concurrently on 16 GB unified GPU memory with zero host swapping.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realistic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backend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 [9].</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 [6].</w:t>
      </w:r>
    </w:p>
    <w:p>
      <w:pPr>
        <w:keepNext/>
        <w:spacing w:before="240" w:after="80"/>
      </w:pPr>
      <w:r>
        <w:rPr>
          <w:rFonts w:ascii="Times New Roman" w:hAnsi="Times New Roman"/>
          <w:b/>
          <w:sz w:val="28"/>
        </w:rPr>
        <w:t>1.7 Approved Objectives (Proposal Evaluation)</w:t>
      </w:r>
    </w:p>
    <w:p>
      <w:pPr>
        <w:pStyle w:val="ListBullet"/>
        <w:spacing w:line="336" w:lineRule="auto" w:after="80"/>
        <w:jc w:val="both"/>
      </w:pPr>
      <w:r>
        <w:rPr>
          <w:rFonts w:ascii="Times New Roman" w:hAnsi="Times New Roman"/>
          <w:sz w:val="24"/>
        </w:rPr>
        <w:t>1. Develop a High-Accuracy Intent Sieve Classifier (&gt;95% detection on standard benchmarks like JailbreakBench [12],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pPr>
        <w:keepNext/>
        <w:spacing w:before="240" w:after="80"/>
      </w:pPr>
      <w:r>
        <w:rPr>
          <w:rFonts w:ascii="Times New Roman" w:hAnsi="Times New Roman"/>
          <w:b/>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Phases 0 through 4 represent the completed mid-semester scope, while Phases 5 and 6 form the planned end-semester roadmap.</w:t>
      </w:r>
    </w:p>
    <w:p>
      <w:pPr>
        <w:keepNext/>
        <w:spacing w:before="240" w:after="80"/>
      </w:pPr>
      <w:r>
        <w:rPr>
          <w:rFonts w:ascii="Times New Roman" w:hAnsi="Times New Roman"/>
          <w:b/>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40" w:after="80"/>
      </w:pPr>
      <w:r>
        <w:rPr>
          <w:rFonts w:ascii="Times New Roman" w:hAnsi="Times New Roman"/>
          <w:b/>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keepNext w:val="0"/>
        <w:spacing w:before="80" w:after="160"/>
        <w:jc w:val="center"/>
      </w:pPr>
      <w:r>
        <w:rPr>
          <w:rFonts w:ascii="Times New Roman" w:hAnsi="Times New Roman"/>
          <w:b/>
          <w:sz w:val="20"/>
        </w:rPr>
        <w:t>FIGURE 1.1: Honey-LLM Multi-Tier Routing and Decision Gateway Architecture</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with unified memory, the architecture completely eliminates recurring per-token cloud API costs while maintaining zero data egress.</w:t>
      </w:r>
    </w:p>
    <w:p>
      <w:pPr>
        <w:keepNext/>
        <w:spacing w:before="120" w:after="8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Local 16 GB Unified Memory (Ollama runtime)</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40" w:after="80"/>
      </w:pPr>
      <w:r>
        <w:rPr>
          <w:rFonts w:ascii="Times New Roman" w:hAnsi="Times New Roman"/>
          <w:b/>
          <w:sz w:val="28"/>
        </w:rPr>
        <w:t>2.4 Risk Analysis and Mitigation Strategies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resolving known techniques in 10 to 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[11]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40" w:after="80"/>
      </w:pPr>
      <w:r>
        <w:rPr>
          <w:rFonts w:ascii="Times New Roman" w:hAnsi="Times New Roman"/>
          <w:b/>
          <w:sz w:val="28"/>
        </w:rPr>
        <w:t>3.4 Hardware, Software, and Framework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Silicon / 16 GB Unified RAM / Ollama</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&amp; Sticky Quarantine State Machine</w:t>
      </w:r>
    </w:p>
    <w:p>
      <w:pPr>
        <w:keepNext/>
        <w:spacing w:before="120" w:after="8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keepNext/>
        <w:spacing w:before="240" w:after="80"/>
      </w:pPr>
      <w:r>
        <w:rPr>
          <w:rFonts w:ascii="Times New Roman" w:hAnsi="Times New Roman"/>
          <w:b/>
          <w:sz w:val="28"/>
        </w:rPr>
        <w:t>4.3 User Interface Specifications &amp; Designed Surfaces</w:t>
      </w:r>
    </w:p>
    <w:p>
      <w:pPr>
        <w:spacing w:line="360" w:lineRule="auto" w:after="120"/>
        <w:ind w:firstLine="432"/>
        <w:jc w:val="both"/>
      </w:pPr>
      <w:r>
        <w:rPr>
          <w:rFonts w:ascii="Times New Roman" w:hAnsi="Times New Roman"/>
          <w:sz w:val="24"/>
        </w:rPr>
        <w:t>Honey-LLM designs three user interface surfaces: (1) NexTel Customer Chat Widget (/chat): Clean corporate telecom aesthetic with zero visual indicators of the security layer; (2) Dark SOC Threat Intelligence Dashboard (/dashboard): Designed monitor for real-time attack frequency, taxonomy breakdown, detection tier ratios, and measured dwell times (Phase 5 implementation); and (3) Admin &amp; Demo Control Panel (/admin): Authenticated control surface allowing evaluation panels to trigger benign and malicious scenarios live and trace the tier-by-tier decision path in real time.</w:t>
      </w:r>
    </w:p>
    <w:p>
      <w:pPr>
        <w:keepNext/>
        <w:spacing w:before="240" w:after="80"/>
      </w:pPr>
      <w:r>
        <w:rPr>
          <w:rFonts w:ascii="Times New Roman" w:hAnsi="Times New Roman"/>
          <w:b/>
          <w:sz w:val="28"/>
        </w:rPr>
        <w:t>4.4 Working Prototype Execution (Phases 1 to 4 Verified)</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keepNext w:val="0"/>
        <w:spacing w:before="80" w:after="160"/>
        <w:jc w:val="center"/>
      </w:pPr>
      <w:r>
        <w:rPr>
          <w:rFonts w:ascii="Times New Roman" w:hAnsi="Times New Roman"/>
          <w:b/>
          <w:sz w:val="20"/>
        </w:rPr>
        <w:t>FIGURE 4.1: Dual-Path Sequence Tracing and Autonomous Self-Healing Flow</w:t>
      </w:r>
    </w:p>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and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20" w:after="8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b/>
                <w:sz w:val="19"/>
              </w:rPr>
              <w:t>Honey-LLM Two-Tier Sieve (Ensemble)</w:t>
            </w:r>
          </w:p>
        </w:tc>
        <w:tc>
          <w:tcPr>
            <w:tcW w:type="dxa" w:w="1662"/>
          </w:tcPr>
          <w:p>
            <w:r>
              <w:rPr>
                <w:rFonts w:ascii="Times New Roman" w:hAnsi="Times New Roman"/>
                <w:b/>
                <w:sz w:val="19"/>
              </w:rPr>
              <w:t>Curated + Wild (889)</w:t>
            </w:r>
          </w:p>
        </w:tc>
        <w:tc>
          <w:tcPr>
            <w:tcW w:type="dxa" w:w="1662"/>
          </w:tcPr>
          <w:p>
            <w:r>
              <w:rPr>
                <w:rFonts w:ascii="Times New Roman" w:hAnsi="Times New Roman"/>
                <w:b/>
                <w:sz w:val="19"/>
              </w:rPr>
              <w:t>98.3% (559/569)</w:t>
            </w:r>
          </w:p>
        </w:tc>
        <w:tc>
          <w:tcPr>
            <w:tcW w:type="dxa" w:w="1662"/>
          </w:tcPr>
          <w:p>
            <w:r>
              <w:rPr>
                <w:rFonts w:ascii="Times New Roman" w:hAnsi="Times New Roman"/>
                <w:b/>
                <w:sz w:val="19"/>
              </w:rPr>
              <w:t>0.0% (0/320)</w:t>
            </w:r>
          </w:p>
        </w:tc>
        <w:tc>
          <w:tcPr>
            <w:tcW w:type="dxa" w:w="1662"/>
          </w:tcPr>
          <w:p>
            <w:r>
              <w:rPr>
                <w:rFonts w:ascii="Times New Roman" w:hAnsi="Times New Roman"/>
                <w:b/>
                <w:sz w:val="19"/>
              </w:rPr>
              <w:t>~2.1 ms (benign)</w:t>
            </w:r>
          </w:p>
        </w:tc>
      </w:tr>
    </w:tbl>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commercial API token expenditures (~$27,000/year savings for high-throughput enterprises) and protects sensitive corporate data from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[13]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