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666666"/>
          <w:sz w:val="20"/>
        </w:rPr>
        <w:t>(A typical Specimen of Cover Page &amp; Title Page)</w:t>
      </w:r>
    </w:p>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 (Phases 1 to 4 Progress)</w:t>
      </w:r>
    </w:p>
    <w:p/>
    <w:p>
      <w:pPr>
        <w:jc w:val="center"/>
      </w:pPr>
      <w:r>
        <w:rPr>
          <w:sz w:val="24"/>
        </w:rPr>
        <w:t>Submitted by:</w:t>
      </w:r>
    </w:p>
    <w:tbl>
      <w:tblPr>
        <w:tblW w:type="auto" w:w="0"/>
        <w:jc w:val="center"/>
        <w:tblLook w:firstColumn="1" w:firstRow="1" w:lastColumn="0" w:lastRow="0" w:noHBand="0" w:noVBand="1" w:val="04A0"/>
      </w:tblPr>
      <w:tblGrid>
        <w:gridCol w:w="4154"/>
        <w:gridCol w:w="4154"/>
      </w:tblGrid>
      <w:tr>
        <w:tc>
          <w:tcPr>
            <w:tcW w:type="dxa" w:w="4154"/>
          </w:tcPr>
          <w:p>
            <w:pPr>
              <w:jc w:val="right"/>
            </w:pPr>
            <w:r>
              <w:rPr>
                <w:rFonts w:ascii="Times New Roman" w:hAnsi="Times New Roman"/>
                <w:sz w:val="24"/>
              </w:rPr>
              <w:t>(102303312)</w:t>
            </w:r>
          </w:p>
        </w:tc>
        <w:tc>
          <w:tcPr>
            <w:tcW w:type="dxa" w:w="4154"/>
          </w:tcPr>
          <w:p>
            <w:r>
              <w:rPr>
                <w:rFonts w:ascii="Times New Roman" w:hAnsi="Times New Roman"/>
                <w:b/>
                <w:sz w:val="24"/>
              </w:rPr>
              <w:t>ANOUSHKA SINGH</w:t>
            </w:r>
          </w:p>
        </w:tc>
      </w:tr>
      <w:tr>
        <w:tc>
          <w:tcPr>
            <w:tcW w:type="dxa" w:w="4154"/>
          </w:tcPr>
          <w:p>
            <w:pPr>
              <w:jc w:val="right"/>
            </w:pPr>
            <w:r>
              <w:rPr>
                <w:rFonts w:ascii="Times New Roman" w:hAnsi="Times New Roman"/>
                <w:sz w:val="24"/>
              </w:rPr>
              <w:t>(102303315)</w:t>
            </w:r>
          </w:p>
        </w:tc>
        <w:tc>
          <w:tcPr>
            <w:tcW w:type="dxa" w:w="4154"/>
          </w:tcPr>
          <w:p>
            <w:r>
              <w:rPr>
                <w:rFonts w:ascii="Times New Roman" w:hAnsi="Times New Roman"/>
                <w:b/>
                <w:sz w:val="24"/>
              </w:rPr>
              <w:t>TARUN KRISHNA SHASTRI</w:t>
            </w:r>
          </w:p>
        </w:tc>
      </w:tr>
      <w:tr>
        <w:tc>
          <w:tcPr>
            <w:tcW w:type="dxa" w:w="4154"/>
          </w:tcPr>
          <w:p>
            <w:pPr>
              <w:jc w:val="right"/>
            </w:pPr>
            <w:r>
              <w:rPr>
                <w:rFonts w:ascii="Times New Roman" w:hAnsi="Times New Roman"/>
                <w:sz w:val="24"/>
              </w:rPr>
              <w:t>(102303631)</w:t>
            </w:r>
          </w:p>
        </w:tc>
        <w:tc>
          <w:tcPr>
            <w:tcW w:type="dxa" w:w="4154"/>
          </w:tcPr>
          <w:p>
            <w:r>
              <w:rPr>
                <w:rFonts w:ascii="Times New Roman" w:hAnsi="Times New Roman"/>
                <w:b/>
                <w:sz w:val="24"/>
              </w:rPr>
              <w:t>DEVANSH WADHWANI</w:t>
            </w:r>
          </w:p>
        </w:tc>
      </w:tr>
      <w:tr>
        <w:tc>
          <w:tcPr>
            <w:tcW w:type="dxa" w:w="4154"/>
          </w:tcPr>
          <w:p>
            <w:pPr>
              <w:jc w:val="right"/>
            </w:pPr>
            <w:r>
              <w:rPr>
                <w:rFonts w:ascii="Times New Roman" w:hAnsi="Times New Roman"/>
                <w:sz w:val="24"/>
              </w:rPr>
              <w:t>(102303684)</w:t>
            </w:r>
          </w:p>
        </w:tc>
        <w:tc>
          <w:tcPr>
            <w:tcW w:type="dxa" w:w="4154"/>
          </w:tcPr>
          <w:p>
            <w:r>
              <w:rPr>
                <w:rFonts w:ascii="Times New Roman" w:hAnsi="Times New Roman"/>
                <w:b/>
                <w:sz w:val="24"/>
              </w:rPr>
              <w:t>SHREYA GIRI</w:t>
            </w:r>
          </w:p>
        </w:tc>
      </w:tr>
    </w:tbl>
    <w:p/>
    <w:p>
      <w:pPr>
        <w:jc w:val="center"/>
      </w:pPr>
      <w:r>
        <w:rPr>
          <w:b/>
          <w:sz w:val="24"/>
        </w:rPr>
        <w:t>BE Third Year, Computer Engineering (CoE)</w:t>
        <w:br/>
        <w:t>CPG No: 75</w:t>
      </w:r>
    </w:p>
    <w:p/>
    <w:p>
      <w:pPr>
        <w:jc w:val="center"/>
      </w:pPr>
      <w:r>
        <w:rPr>
          <w:sz w:val="24"/>
        </w:rPr>
        <w:t>Under the Mentorship of:</w:t>
        <w:br/>
        <w:t>Dr. Saif Nalband</w:t>
        <w:br/>
        <w:t>Assistant Professor, Computer Science and Engineering Department</w:t>
      </w:r>
    </w:p>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evaluation set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p>
      <w:r>
        <w:rPr>
          <w:b/>
        </w:rPr>
        <w:t>Dr. Saif Nalband</w:t>
        <w:tab/>
        <w:tab/>
        <w:tab/>
        <w:tab/>
        <w:t>Dr. Neeraj Kumar</w:t>
        <w:br/>
        <w:t>Assistant Professor, CSED</w:t>
        <w:tab/>
        <w:tab/>
        <w:tab/>
        <w:tab/>
        <w:t>Professor &amp; Head, CSED</w:t>
        <w:br/>
        <w:t>TIET, Patiala</w:t>
        <w:tab/>
        <w:tab/>
        <w:tab/>
        <w:tab/>
        <w:t>TIET, Patiala</w:t>
      </w:r>
    </w:p>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(102303312), Tarun Krishna Shastri (102303315),</w:t>
        <w:br/>
        <w:t>Devansh Wadhwani (102303631), Shreya Giri (102303684)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pStyle w:val="ListBullet"/>
        <w:spacing w:line="336" w:lineRule="auto" w:after="80"/>
        <w:jc w:val="both"/>
      </w:pPr>
      <w:r>
        <w:rPr>
          <w:rFonts w:ascii="Times New Roman" w:hAnsi="Times New Roman"/>
          <w:sz w:val="24"/>
        </w:rPr>
        <w:t>Phase 1 (Adversarial Profiling &amp; Threat Taxonomy): Formulated an 8-class threat taxonomy mapping prompt injections to specific enterprise manifestations and validated concurrent dual-model local inference on Apple Silicon hardware.</w:t>
      </w:r>
    </w:p>
    <w:p>
      <w:pPr>
        <w:pStyle w:val="ListBullet"/>
        <w:spacing w:line="336" w:lineRule="auto" w:after="80"/>
        <w:jc w:val="both"/>
      </w:pPr>
      <w:r>
        <w:rPr>
          <w:rFonts w:ascii="Times New Roman" w:hAnsi="Times New Roman"/>
          <w:sz w:val="24"/>
        </w:rPr>
        <w:t>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0.0% FPR on benign domain traffic (0/320 benign queries flagged).</w:t>
      </w:r>
    </w:p>
    <w:p>
      <w:pPr>
        <w:pStyle w:val="ListBullet"/>
        <w:spacing w:line="336" w:lineRule="auto" w:after="80"/>
        <w:jc w:val="both"/>
      </w:pPr>
      <w:r>
        <w:rPr>
          <w:rFonts w:ascii="Times New Roman" w:hAnsi="Times New Roman"/>
          <w:sz w:val="24"/>
        </w:rPr>
        <w:t>Phase 3 (The 'Mirror Maze' Deception Honeypot): Deployed an isolated zero-trust Docker sandbox hosting the 'Sarah' decoy persona, which dynamic-hallucinates synthetic bait to absorb attacker reconnaissance without leaking real infrastructure.</w:t>
      </w:r>
    </w:p>
    <w:p>
      <w:pPr>
        <w:pStyle w:val="ListBullet"/>
        <w:spacing w:line="336" w:lineRule="auto" w:after="80"/>
        <w:jc w:val="both"/>
      </w:pPr>
      <w:r>
        <w:rPr>
          <w:rFonts w:ascii="Times New Roman" w:hAnsi="Times New Roman"/>
          <w:sz w:val="24"/>
        </w:rPr>
        <w:t>Phase 4 (Autonomous Guardrail Synthesis): Implemented a closed self-healing loop that distills captured exploits into validated NVIDIA NeMo Colang rules [6], hot-patching live gateway policies in 10.4 seconds with zero downtime.</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200" w:after="60"/>
      </w:pPr>
      <w:r>
        <w:rPr>
          <w:rFonts w:ascii="Times New Roman" w:hAnsi="Times New Roman"/>
          <w:b/>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 [5].</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(such as Llama-Guard 3 8B [11])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parameter models (Llama-Guard 3 and Llama-3) execute concurrently on 16 GB unified GPU memory with zero host swapping.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realistic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backend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 [9].</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 [6].</w:t>
      </w:r>
    </w:p>
    <w:p>
      <w:pPr>
        <w:keepNext/>
        <w:spacing w:before="240" w:after="80"/>
      </w:pPr>
      <w:r>
        <w:rPr>
          <w:rFonts w:ascii="Times New Roman" w:hAnsi="Times New Roman"/>
          <w:b/>
          <w:sz w:val="28"/>
        </w:rPr>
        <w:t>1.7 Approved Objectives (Proposal Evaluation)</w:t>
      </w:r>
    </w:p>
    <w:p>
      <w:pPr>
        <w:pStyle w:val="ListBullet"/>
        <w:spacing w:line="336" w:lineRule="auto" w:after="80"/>
        <w:jc w:val="both"/>
      </w:pPr>
      <w:r>
        <w:rPr>
          <w:rFonts w:ascii="Times New Roman" w:hAnsi="Times New Roman"/>
          <w:sz w:val="24"/>
        </w:rPr>
        <w:t>1. Develop a High-Accuracy Intent Sieve Classifier (&gt;95% detection on standard benchmarks like JailbreakBench [12], FPR &lt;1%) - Completed in Phase 2.</w:t>
      </w:r>
    </w:p>
    <w:p>
      <w:pPr>
        <w:pStyle w:val="ListBullet"/>
        <w:spacing w:line="336" w:lineRule="auto" w:after="80"/>
        <w:jc w:val="both"/>
      </w:pPr>
      <w:r>
        <w:rPr>
          <w:rFonts w:ascii="Times New Roman" w:hAnsi="Times New Roman"/>
          <w:sz w:val="24"/>
        </w:rPr>
        <w:t>2. Implement a High-Fidelity Generative Sandbox ('Mirror Maze') with &gt;5 min dwell time - Completed in Phase 3.</w:t>
      </w:r>
    </w:p>
    <w:p>
      <w:pPr>
        <w:pStyle w:val="ListBullet"/>
        <w:spacing w:line="336" w:lineRule="auto" w:after="80"/>
        <w:jc w:val="both"/>
      </w:pPr>
      <w:r>
        <w:rPr>
          <w:rFonts w:ascii="Times New Roman" w:hAnsi="Times New Roman"/>
          <w:sz w:val="24"/>
        </w:rPr>
        <w:t>3. Automate Self-Healing Security Guardrails with time-to-patch in seconds - Completed in Phase 4.</w:t>
      </w:r>
    </w:p>
    <w:p>
      <w:pPr>
        <w:pStyle w:val="ListBullet"/>
        <w:spacing w:line="336" w:lineRule="auto" w:after="80"/>
        <w:jc w:val="both"/>
      </w:pPr>
      <w:r>
        <w:rPr>
          <w:rFonts w:ascii="Times New Roman" w:hAnsi="Times New Roman"/>
          <w:sz w:val="24"/>
        </w:rPr>
        <w:t>4. Validate Zero-Escape Sandbox Security through container breakout penetration audits - Completed in Phase 3/4.</w:t>
      </w:r>
    </w:p>
    <w:p>
      <w:pPr>
        <w:pStyle w:val="ListBullet"/>
        <w:spacing w:line="336" w:lineRule="auto" w:after="80"/>
        <w:jc w:val="both"/>
      </w:pPr>
      <w:r>
        <w:rPr>
          <w:rFonts w:ascii="Times New Roman" w:hAnsi="Times New Roman"/>
          <w:sz w:val="24"/>
        </w:rPr>
        <w:t>5. Construct a Real-Time Threat Intelligence SOC Dashboard (&lt;1s refresh) - Phase 5 (In Progress for End-Sem).</w:t>
      </w:r>
    </w:p>
    <w:p>
      <w:pPr>
        <w:keepNext/>
        <w:spacing w:before="240" w:after="80"/>
      </w:pPr>
      <w:r>
        <w:rPr>
          <w:rFonts w:ascii="Times New Roman" w:hAnsi="Times New Roman"/>
          <w:b/>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Phases 0 through 4 represent the completed mid-semester scope, while Phases 5 and 6 form the planned end-semester roadmap.</w:t>
      </w:r>
    </w:p>
    <w:p>
      <w:pPr>
        <w:keepNext/>
        <w:spacing w:before="240" w:after="80"/>
      </w:pPr>
      <w:r>
        <w:rPr>
          <w:rFonts w:ascii="Times New Roman" w:hAnsi="Times New Roman"/>
          <w:b/>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40" w:after="80"/>
      </w:pPr>
      <w:r>
        <w:rPr>
          <w:rFonts w:ascii="Times New Roman" w:hAnsi="Times New Roman"/>
          <w:b/>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with unified memory, the architecture completely eliminates recurring per-token cloud API costs while maintaining zero data egress.</w:t>
      </w:r>
    </w:p>
    <w:p>
      <w:pPr>
        <w:keepNext/>
        <w:spacing w:before="120" w:after="8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Local 16 GB Unified Memory (Ollama runtime)</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40" w:after="80"/>
      </w:pPr>
      <w:r>
        <w:rPr>
          <w:rFonts w:ascii="Times New Roman" w:hAnsi="Times New Roman"/>
          <w:b/>
          <w:sz w:val="28"/>
        </w:rPr>
        <w:t>2.4 Risk Analysis and Mitigation Strategies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resolving known techniques in 10 to 20 ms (Phase 4).</w:t>
      </w:r>
    </w:p>
    <w:p>
      <w:pPr>
        <w:pStyle w:val="ListBullet"/>
        <w:spacing w:line="336" w:lineRule="auto" w:after="80"/>
        <w:jc w:val="both"/>
      </w:pPr>
      <w:r>
        <w:rPr>
          <w:rFonts w:ascii="Times New Roman" w:hAnsi="Times New Roman"/>
          <w:sz w:val="24"/>
        </w:rPr>
        <w:t>Tier-1 Statistical Fast-Path: TF-IDF + Logistic Regression resolving benign customer traffic in ~2 ms (Phase 2).</w:t>
      </w:r>
    </w:p>
    <w:p>
      <w:pPr>
        <w:pStyle w:val="ListBullet"/>
        <w:spacing w:line="336" w:lineRule="auto" w:after="80"/>
        <w:jc w:val="both"/>
      </w:pPr>
      <w:r>
        <w:rPr>
          <w:rFonts w:ascii="Times New Roman" w:hAnsi="Times New Roman"/>
          <w:sz w:val="24"/>
        </w:rPr>
        <w:t>Tier-2 Deep Moderation Sieve: 8B Llama-Guard 3 [11] custom injection policy analyzing multi-turn history (Phase 2).</w:t>
      </w:r>
    </w:p>
    <w:p>
      <w:pPr>
        <w:pStyle w:val="ListBullet"/>
        <w:spacing w:line="336" w:lineRule="auto" w:after="80"/>
        <w:jc w:val="both"/>
      </w:pPr>
      <w:r>
        <w:rPr>
          <w:rFonts w:ascii="Times New Roman" w:hAnsi="Times New Roman"/>
          <w:sz w:val="24"/>
        </w:rPr>
        <w:t>Deceptive Mirror Maze Sandbox: Docker-isolated 'Sarah' decoy persona dynamic-leaking synthetic bait (Phase 3).</w:t>
      </w:r>
    </w:p>
    <w:p>
      <w:pPr>
        <w:keepNext/>
        <w:spacing w:before="240" w:after="80"/>
      </w:pPr>
      <w:r>
        <w:rPr>
          <w:rFonts w:ascii="Times New Roman" w:hAnsi="Times New Roman"/>
          <w:b/>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40" w:after="80"/>
      </w:pPr>
      <w:r>
        <w:rPr>
          <w:rFonts w:ascii="Times New Roman" w:hAnsi="Times New Roman"/>
          <w:b/>
          <w:sz w:val="28"/>
        </w:rPr>
        <w:t>3.4 Hardware, Software, and Framework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Silicon / 16 GB Unified RAM / Ollama</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&amp; Sticky Quarantine State Machine</w:t>
      </w:r>
    </w:p>
    <w:p>
      <w:pPr>
        <w:keepNext/>
        <w:spacing w:before="120" w:after="8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keepNext/>
        <w:spacing w:before="240" w:after="80"/>
      </w:pPr>
      <w:r>
        <w:rPr>
          <w:rFonts w:ascii="Times New Roman" w:hAnsi="Times New Roman"/>
          <w:b/>
          <w:sz w:val="28"/>
        </w:rPr>
        <w:t>4.3 User Interface Specifications &amp; Designed Surfaces</w:t>
      </w:r>
    </w:p>
    <w:p>
      <w:pPr>
        <w:spacing w:line="360" w:lineRule="auto" w:after="120"/>
        <w:ind w:firstLine="432"/>
        <w:jc w:val="both"/>
      </w:pPr>
      <w:r>
        <w:rPr>
          <w:rFonts w:ascii="Times New Roman" w:hAnsi="Times New Roman"/>
          <w:sz w:val="24"/>
        </w:rPr>
        <w:t>Honey-LLM designs three user interface surfaces: (1) NexTel Customer Chat Widget (/chat): Clean corporate telecom aesthetic with zero visual indicators of the security layer; (2) Dark SOC Threat Intelligence Dashboard (/dashboard): Designed monitor for real-time attack frequency, taxonomy breakdown, detection tier ratios, and measured dwell times (Phase 5 implementation); and (3) Admin &amp; Demo Control Panel (/admin): Authenticated control surface allowing evaluation panels to trigger benign and malicious scenarios live and trace the tier-by-tier decision path in real time.</w:t>
      </w:r>
    </w:p>
    <w:p>
      <w:pPr>
        <w:keepNext/>
        <w:spacing w:before="240" w:after="80"/>
      </w:pPr>
      <w:r>
        <w:rPr>
          <w:rFonts w:ascii="Times New Roman" w:hAnsi="Times New Roman"/>
          <w:b/>
          <w:sz w:val="28"/>
        </w:rPr>
        <w:t>4.4 Working Prototype Execution (Phases 1 to 4 Verified)</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Mid-Semester Accomplishments vs. Approved Objectives</w:t>
      </w:r>
    </w:p>
    <w:p>
      <w:pPr>
        <w:keepNext/>
        <w:spacing w:before="120" w:after="8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b/>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b/>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designed; event schema and admin tracer specified; UI live ingestion in progress.</w:t>
            </w:r>
          </w:p>
        </w:tc>
        <w:tc>
          <w:tcPr>
            <w:tcW w:type="dxa" w:w="2077"/>
          </w:tcPr>
          <w:p>
            <w:r>
              <w:rPr>
                <w:rFonts w:ascii="Times New Roman" w:hAnsi="Times New Roman"/>
                <w:b/>
                <w:sz w:val="19"/>
              </w:rPr>
              <w:t>Phase 5 (IN PROGRESS)</w:t>
            </w:r>
          </w:p>
        </w:tc>
      </w:tr>
    </w:tbl>
    <w:p>
      <w:pPr>
        <w:keepNext/>
        <w:spacing w:before="240" w:after="80"/>
      </w:pPr>
      <w:r>
        <w:rPr>
          <w:rFonts w:ascii="Times New Roman" w:hAnsi="Times New Roman"/>
          <w:b/>
          <w:sz w:val="28"/>
        </w:rPr>
        <w:t>5.2 Mid-Semester Conclusions</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20" w:after="8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b/>
                <w:sz w:val="19"/>
              </w:rPr>
              <w:t>Honey-LLM Two-Tier Sieve (Ensemble)</w:t>
            </w:r>
          </w:p>
        </w:tc>
        <w:tc>
          <w:tcPr>
            <w:tcW w:type="dxa" w:w="1662"/>
          </w:tcPr>
          <w:p>
            <w:r>
              <w:rPr>
                <w:rFonts w:ascii="Times New Roman" w:hAnsi="Times New Roman"/>
                <w:b/>
                <w:sz w:val="19"/>
              </w:rPr>
              <w:t>Curated + Wild (889)</w:t>
            </w:r>
          </w:p>
        </w:tc>
        <w:tc>
          <w:tcPr>
            <w:tcW w:type="dxa" w:w="1662"/>
          </w:tcPr>
          <w:p>
            <w:r>
              <w:rPr>
                <w:rFonts w:ascii="Times New Roman" w:hAnsi="Times New Roman"/>
                <w:b/>
                <w:sz w:val="19"/>
              </w:rPr>
              <w:t>98.3% (559/569)</w:t>
            </w:r>
          </w:p>
        </w:tc>
        <w:tc>
          <w:tcPr>
            <w:tcW w:type="dxa" w:w="1662"/>
          </w:tcPr>
          <w:p>
            <w:r>
              <w:rPr>
                <w:rFonts w:ascii="Times New Roman" w:hAnsi="Times New Roman"/>
                <w:b/>
                <w:sz w:val="19"/>
              </w:rPr>
              <w:t>0.0% (0/320)</w:t>
            </w:r>
          </w:p>
        </w:tc>
        <w:tc>
          <w:tcPr>
            <w:tcW w:type="dxa" w:w="1662"/>
          </w:tcPr>
          <w:p>
            <w:r>
              <w:rPr>
                <w:rFonts w:ascii="Times New Roman" w:hAnsi="Times New Roman"/>
                <w:b/>
                <w:sz w:val="19"/>
              </w:rPr>
              <w:t>~2.1 ms (benign)</w:t>
            </w:r>
          </w:p>
        </w:tc>
      </w:tr>
    </w:tbl>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commercial API token expenditures (~$27,000/year savings for high-throughput enterprises) and protects sensitive corporate data from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pStyle w:val="ListBullet"/>
        <w:spacing w:line="336" w:lineRule="auto" w:after="80"/>
        <w:jc w:val="both"/>
      </w:pPr>
      <w:r>
        <w:rPr>
          <w:rFonts w:ascii="Times New Roman" w:hAnsi="Times New Roman"/>
          <w:sz w:val="24"/>
        </w:rPr>
        <w:t>Phase 5: Forensic Telemetry &amp; Threat Intelligence Dashboard - Finalize the sub-second polling Next.js 15 SOC dashboard, integrate live attacker dwell-time meters, and complete end-to-end visualization of attack taxonomy trends.</w:t>
      </w:r>
    </w:p>
    <w:p>
      <w:pPr>
        <w:pStyle w:val="ListBullet"/>
        <w:spacing w:line="336" w:lineRule="auto" w:after="80"/>
        <w:jc w:val="both"/>
      </w:pPr>
      <w:r>
        <w:rPr>
          <w:rFonts w:ascii="Times New Roman" w:hAnsi="Times New Roman"/>
          <w:sz w:val="24"/>
        </w:rPr>
        <w:t>Phase 6: Empirical Validation &amp; Adversarial Red-Teaming - Subject the deployed gateway to scaled Microsoft PyRIT [13] adversarial stress campaigns across 12+ prompt obfuscation converters, conduct multi-user concurrency load profiling, and author the final capstone thesis.</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