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~2.1 ms P50 benign fast-path statistical classifier (Tier-1) with an authoritative 8B moderation model governed by a custom prompt injection policy (Llama-Guard 3 [11]), achieving a 95.8% adversarial recall on JailbreakBench [12] and 98.3% adversarial detection recall across the combined 889-sample evaluation corpus (559/569 adversarial payloads intercepted, 98.9% overall classification accuracy)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with no container escapes observed across 5/5 executed penetration probes);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Table 1.1</w:t>
            </w:r>
          </w:p>
        </w:tc>
        <w:tc>
          <w:tcPr>
            <w:tcW w:type="dxa" w:w="2770"/>
          </w:tcPr>
          <w:p>
            <w:r>
              <w:rPr>
                <w:rFonts w:ascii="Times New Roman" w:hAnsi="Times New Roman"/>
                <w:sz w:val="19"/>
              </w:rPr>
              <w:t>System Assumptions and Engineering Constraints</w:t>
            </w:r>
          </w:p>
        </w:tc>
        <w:tc>
          <w:tcPr>
            <w:tcW w:type="dxa" w:w="2770"/>
          </w:tcPr>
          <w:p>
            <w:r>
              <w:rPr>
                <w:rFonts w:ascii="Times New Roman" w:hAnsi="Times New Roman"/>
                <w:sz w:val="19"/>
              </w:rPr>
              <w:t>5</w:t>
            </w:r>
          </w:p>
        </w:tc>
      </w:tr>
      <w:tr>
        <w:tc>
          <w:tcPr>
            <w:tcW w:type="dxa" w:w="2770"/>
          </w:tcPr>
          <w:p>
            <w:r>
              <w:rPr>
                <w:rFonts w:ascii="Times New Roman" w:hAnsi="Times New Roman"/>
                <w:sz w:val="19"/>
              </w:rPr>
              <w:t>Table 2.1</w:t>
            </w:r>
          </w:p>
        </w:tc>
        <w:tc>
          <w:tcPr>
            <w:tcW w:type="dxa" w:w="2770"/>
          </w:tcPr>
          <w:p>
            <w:r>
              <w:rPr>
                <w:rFonts w:ascii="Times New Roman" w:hAnsi="Times New Roman"/>
                <w:sz w:val="19"/>
              </w:rPr>
              <w:t>Comparative Literature Survey of Generative Honeypot Frameworks</w:t>
            </w:r>
          </w:p>
        </w:tc>
        <w:tc>
          <w:tcPr>
            <w:tcW w:type="dxa" w:w="2770"/>
          </w:tcPr>
          <w:p>
            <w:r>
              <w:rPr>
                <w:rFonts w:ascii="Times New Roman" w:hAnsi="Times New Roman"/>
                <w:sz w:val="19"/>
              </w:rPr>
              <w:t>9</w:t>
            </w:r>
          </w:p>
        </w:tc>
      </w:tr>
      <w:tr>
        <w:tc>
          <w:tcPr>
            <w:tcW w:type="dxa" w:w="2770"/>
          </w:tcPr>
          <w:p>
            <w:r>
              <w:rPr>
                <w:rFonts w:ascii="Times New Roman" w:hAnsi="Times New Roman"/>
                <w:sz w:val="19"/>
              </w:rPr>
              <w:t>Table 2.2</w:t>
            </w:r>
          </w:p>
        </w:tc>
        <w:tc>
          <w:tcPr>
            <w:tcW w:type="dxa" w:w="2770"/>
          </w:tcPr>
          <w:p>
            <w:r>
              <w:rPr>
                <w:rFonts w:ascii="Times New Roman" w:hAnsi="Times New Roman"/>
                <w:sz w:val="19"/>
              </w:rPr>
              <w:t>Computational Resource Feasibility &amp; Cloud Cost Comparison</w:t>
            </w:r>
          </w:p>
        </w:tc>
        <w:tc>
          <w:tcPr>
            <w:tcW w:type="dxa" w:w="2770"/>
          </w:tcPr>
          <w:p>
            <w:r>
              <w:rPr>
                <w:rFonts w:ascii="Times New Roman" w:hAnsi="Times New Roman"/>
                <w:sz w:val="19"/>
              </w:rPr>
              <w:t>10</w:t>
            </w:r>
          </w:p>
        </w:tc>
      </w:tr>
      <w:tr>
        <w:tc>
          <w:tcPr>
            <w:tcW w:type="dxa" w:w="2770"/>
          </w:tcPr>
          <w:p>
            <w:r>
              <w:rPr>
                <w:rFonts w:ascii="Times New Roman" w:hAnsi="Times New Roman"/>
                <w:sz w:val="19"/>
              </w:rPr>
              <w:t>Table 2.3</w:t>
            </w:r>
          </w:p>
        </w:tc>
        <w:tc>
          <w:tcPr>
            <w:tcW w:type="dxa" w:w="2770"/>
          </w:tcPr>
          <w:p>
            <w:r>
              <w:rPr>
                <w:rFonts w:ascii="Times New Roman" w:hAnsi="Times New Roman"/>
                <w:sz w:val="19"/>
              </w:rPr>
              <w:t>Risk Assessment Matrix and Fail-Closed Mitigation Controls</w:t>
            </w:r>
          </w:p>
        </w:tc>
        <w:tc>
          <w:tcPr>
            <w:tcW w:type="dxa" w:w="2770"/>
          </w:tcPr>
          <w:p>
            <w:r>
              <w:rPr>
                <w:rFonts w:ascii="Times New Roman" w:hAnsi="Times New Roman"/>
                <w:sz w:val="19"/>
              </w:rPr>
              <w:t>10</w:t>
            </w:r>
          </w:p>
        </w:tc>
      </w:tr>
      <w:tr>
        <w:tc>
          <w:tcPr>
            <w:tcW w:type="dxa" w:w="2770"/>
          </w:tcPr>
          <w:p>
            <w:r>
              <w:rPr>
                <w:rFonts w:ascii="Times New Roman" w:hAnsi="Times New Roman"/>
                <w:sz w:val="19"/>
              </w:rPr>
              <w:t>Table 3.1</w:t>
            </w:r>
          </w:p>
        </w:tc>
        <w:tc>
          <w:tcPr>
            <w:tcW w:type="dxa" w:w="2770"/>
          </w:tcPr>
          <w:p>
            <w:r>
              <w:rPr>
                <w:rFonts w:ascii="Times New Roman" w:hAnsi="Times New Roman"/>
                <w:sz w:val="19"/>
              </w:rPr>
              <w:t>Classification and Justification of Investigative Research Techniques</w:t>
            </w:r>
          </w:p>
        </w:tc>
        <w:tc>
          <w:tcPr>
            <w:tcW w:type="dxa" w:w="2770"/>
          </w:tcPr>
          <w:p>
            <w:r>
              <w:rPr>
                <w:rFonts w:ascii="Times New Roman" w:hAnsi="Times New Roman"/>
                <w:sz w:val="19"/>
              </w:rPr>
              <w:t>11</w:t>
            </w:r>
          </w:p>
        </w:tc>
      </w:tr>
      <w:tr>
        <w:tc>
          <w:tcPr>
            <w:tcW w:type="dxa" w:w="2770"/>
          </w:tcPr>
          <w:p>
            <w:r>
              <w:rPr>
                <w:rFonts w:ascii="Times New Roman" w:hAnsi="Times New Roman"/>
                <w:sz w:val="19"/>
              </w:rPr>
              <w:t>Table 3.2</w:t>
            </w:r>
          </w:p>
        </w:tc>
        <w:tc>
          <w:tcPr>
            <w:tcW w:type="dxa" w:w="2770"/>
          </w:tcPr>
          <w:p>
            <w:r>
              <w:rPr>
                <w:rFonts w:ascii="Times New Roman" w:hAnsi="Times New Roman"/>
                <w:sz w:val="19"/>
              </w:rPr>
              <w:t>Honey-LLM Technology and Framework Specifications</w:t>
            </w:r>
          </w:p>
        </w:tc>
        <w:tc>
          <w:tcPr>
            <w:tcW w:type="dxa" w:w="2770"/>
          </w:tcPr>
          <w:p>
            <w:r>
              <w:rPr>
                <w:rFonts w:ascii="Times New Roman" w:hAnsi="Times New Roman"/>
                <w:sz w:val="19"/>
              </w:rPr>
              <w:t>13</w:t>
            </w:r>
          </w:p>
        </w:tc>
      </w:tr>
      <w:tr>
        <w:tc>
          <w:tcPr>
            <w:tcW w:type="dxa" w:w="2770"/>
          </w:tcPr>
          <w:p>
            <w:r>
              <w:rPr>
                <w:rFonts w:ascii="Times New Roman" w:hAnsi="Times New Roman"/>
                <w:sz w:val="19"/>
              </w:rPr>
              <w:t>Table 4.1</w:t>
            </w:r>
          </w:p>
        </w:tc>
        <w:tc>
          <w:tcPr>
            <w:tcW w:type="dxa" w:w="2770"/>
          </w:tcPr>
          <w:p>
            <w:r>
              <w:rPr>
                <w:rFonts w:ascii="Times New Roman" w:hAnsi="Times New Roman"/>
                <w:sz w:val="19"/>
              </w:rPr>
              <w:t>Adversarial Threat Taxonomy Mappings and Severity Classification</w:t>
            </w:r>
          </w:p>
        </w:tc>
        <w:tc>
          <w:tcPr>
            <w:tcW w:type="dxa" w:w="2770"/>
          </w:tcPr>
          <w:p>
            <w:r>
              <w:rPr>
                <w:rFonts w:ascii="Times New Roman" w:hAnsi="Times New Roman"/>
                <w:sz w:val="19"/>
              </w:rPr>
              <w:t>14</w:t>
            </w:r>
          </w:p>
        </w:tc>
      </w:tr>
      <w:tr>
        <w:tc>
          <w:tcPr>
            <w:tcW w:type="dxa" w:w="2770"/>
          </w:tcPr>
          <w:p>
            <w:r>
              <w:rPr>
                <w:rFonts w:ascii="Times New Roman" w:hAnsi="Times New Roman"/>
                <w:sz w:val="19"/>
              </w:rPr>
              <w:t>Table 4.2</w:t>
            </w:r>
          </w:p>
        </w:tc>
        <w:tc>
          <w:tcPr>
            <w:tcW w:type="dxa" w:w="2770"/>
          </w:tcPr>
          <w:p>
            <w:r>
              <w:rPr>
                <w:rFonts w:ascii="Times New Roman" w:hAnsi="Times New Roman"/>
                <w:sz w:val="19"/>
              </w:rPr>
              <w:t>Sandbox Container Breakout Penetration Test Results (5/5 Isolation)</w:t>
            </w:r>
          </w:p>
        </w:tc>
        <w:tc>
          <w:tcPr>
            <w:tcW w:type="dxa" w:w="2770"/>
          </w:tcPr>
          <w:p>
            <w:r>
              <w:rPr>
                <w:rFonts w:ascii="Times New Roman" w:hAnsi="Times New Roman"/>
                <w:sz w:val="19"/>
              </w:rPr>
              <w:t>16</w:t>
            </w:r>
          </w:p>
        </w:tc>
      </w:tr>
      <w:tr>
        <w:tc>
          <w:tcPr>
            <w:tcW w:type="dxa" w:w="2770"/>
          </w:tcPr>
          <w:p>
            <w:r>
              <w:rPr>
                <w:rFonts w:ascii="Times New Roman" w:hAnsi="Times New Roman"/>
                <w:sz w:val="19"/>
              </w:rPr>
              <w:t>Table 5.1</w:t>
            </w:r>
          </w:p>
        </w:tc>
        <w:tc>
          <w:tcPr>
            <w:tcW w:type="dxa" w:w="2770"/>
          </w:tcPr>
          <w:p>
            <w:r>
              <w:rPr>
                <w:rFonts w:ascii="Times New Roman" w:hAnsi="Times New Roman"/>
                <w:sz w:val="19"/>
              </w:rPr>
              <w:t>Mid-Semester Mapping of Approved Objectives to Implemented Progress</w:t>
            </w:r>
          </w:p>
        </w:tc>
        <w:tc>
          <w:tcPr>
            <w:tcW w:type="dxa" w:w="2770"/>
          </w:tcPr>
          <w:p>
            <w:r>
              <w:rPr>
                <w:rFonts w:ascii="Times New Roman" w:hAnsi="Times New Roman"/>
                <w:sz w:val="19"/>
              </w:rPr>
              <w:t>18</w:t>
            </w:r>
          </w:p>
        </w:tc>
      </w:tr>
      <w:tr>
        <w:tc>
          <w:tcPr>
            <w:tcW w:type="dxa" w:w="2770"/>
          </w:tcPr>
          <w:p>
            <w:r>
              <w:rPr>
                <w:rFonts w:ascii="Times New Roman" w:hAnsi="Times New Roman"/>
                <w:sz w:val="19"/>
              </w:rPr>
              <w:t>Table 5.2</w:t>
            </w:r>
          </w:p>
        </w:tc>
        <w:tc>
          <w:tcPr>
            <w:tcW w:type="dxa" w:w="2770"/>
          </w:tcPr>
          <w:p>
            <w:r>
              <w:rPr>
                <w:rFonts w:ascii="Times New Roman" w:hAnsi="Times New Roman"/>
                <w:sz w:val="19"/>
              </w:rPr>
              <w:t>Intent Sieve Benchmark Evaluation on In-The-Wild Adversarial Datasets</w:t>
            </w:r>
          </w:p>
        </w:tc>
        <w:tc>
          <w:tcPr>
            <w:tcW w:type="dxa" w:w="2770"/>
          </w:tcPr>
          <w:p>
            <w:r>
              <w:rPr>
                <w:rFonts w:ascii="Times New Roman" w:hAnsi="Times New Roman"/>
                <w:sz w:val="19"/>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Figure 1.1</w:t>
            </w:r>
          </w:p>
        </w:tc>
        <w:tc>
          <w:tcPr>
            <w:tcW w:type="dxa" w:w="2770"/>
          </w:tcPr>
          <w:p>
            <w:r>
              <w:rPr>
                <w:rFonts w:ascii="Times New Roman" w:hAnsi="Times New Roman"/>
                <w:sz w:val="19"/>
              </w:rPr>
              <w:t>Honey-LLM Multi-Tier Routing and Decision Gateway Architecture</w:t>
            </w:r>
          </w:p>
        </w:tc>
        <w:tc>
          <w:tcPr>
            <w:tcW w:type="dxa" w:w="2770"/>
          </w:tcPr>
          <w:p>
            <w:r>
              <w:rPr>
                <w:rFonts w:ascii="Times New Roman" w:hAnsi="Times New Roman"/>
                <w:sz w:val="19"/>
              </w:rPr>
              <w:t>7</w:t>
            </w:r>
          </w:p>
        </w:tc>
      </w:tr>
      <w:tr>
        <w:tc>
          <w:tcPr>
            <w:tcW w:type="dxa" w:w="2770"/>
          </w:tcPr>
          <w:p>
            <w:r>
              <w:rPr>
                <w:rFonts w:ascii="Times New Roman" w:hAnsi="Times New Roman"/>
                <w:sz w:val="19"/>
              </w:rPr>
              <w:t>Figure 3.1</w:t>
            </w:r>
          </w:p>
        </w:tc>
        <w:tc>
          <w:tcPr>
            <w:tcW w:type="dxa" w:w="2770"/>
          </w:tcPr>
          <w:p>
            <w:r>
              <w:rPr>
                <w:rFonts w:ascii="Times New Roman" w:hAnsi="Times New Roman"/>
                <w:sz w:val="19"/>
              </w:rPr>
              <w:t>UML Sequence Diagram for Multi-Tier Request Interception &amp; Deception</w:t>
            </w:r>
          </w:p>
        </w:tc>
        <w:tc>
          <w:tcPr>
            <w:tcW w:type="dxa" w:w="2770"/>
          </w:tcPr>
          <w:p>
            <w:r>
              <w:rPr>
                <w:rFonts w:ascii="Times New Roman" w:hAnsi="Times New Roman"/>
                <w:sz w:val="19"/>
              </w:rPr>
              <w:t>13</w:t>
            </w:r>
          </w:p>
        </w:tc>
      </w:tr>
      <w:tr>
        <w:tc>
          <w:tcPr>
            <w:tcW w:type="dxa" w:w="2770"/>
          </w:tcPr>
          <w:p>
            <w:r>
              <w:rPr>
                <w:rFonts w:ascii="Times New Roman" w:hAnsi="Times New Roman"/>
                <w:sz w:val="19"/>
              </w:rPr>
              <w:t>Figure 4.1</w:t>
            </w:r>
          </w:p>
        </w:tc>
        <w:tc>
          <w:tcPr>
            <w:tcW w:type="dxa" w:w="2770"/>
          </w:tcPr>
          <w:p>
            <w:r>
              <w:rPr>
                <w:rFonts w:ascii="Times New Roman" w:hAnsi="Times New Roman"/>
                <w:sz w:val="19"/>
              </w:rPr>
              <w:t>UML State Machine Diagram for Session Quarantine &amp; Self-Healing Loop</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4.2</w:t>
            </w:r>
          </w:p>
        </w:tc>
        <w:tc>
          <w:tcPr>
            <w:tcW w:type="dxa" w:w="2770"/>
          </w:tcPr>
          <w:p>
            <w:r>
              <w:rPr>
                <w:rFonts w:ascii="Times New Roman" w:hAnsi="Times New Roman"/>
                <w:sz w:val="19"/>
              </w:rPr>
              <w:t>NexTel Production Customer Support Interface (/chat)</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4.3</w:t>
            </w:r>
          </w:p>
        </w:tc>
        <w:tc>
          <w:tcPr>
            <w:tcW w:type="dxa" w:w="2770"/>
          </w:tcPr>
          <w:p>
            <w:r>
              <w:rPr>
                <w:rFonts w:ascii="Times New Roman" w:hAnsi="Times New Roman"/>
                <w:sz w:val="19"/>
              </w:rPr>
              <w:t>Honey-LLM Admin Live Sieve Decision Tracer (/admin)</w:t>
            </w:r>
          </w:p>
        </w:tc>
        <w:tc>
          <w:tcPr>
            <w:tcW w:type="dxa" w:w="2770"/>
          </w:tcPr>
          <w:p>
            <w:r>
              <w:rPr>
                <w:rFonts w:ascii="Times New Roman" w:hAnsi="Times New Roman"/>
                <w:sz w:val="19"/>
              </w:rPr>
              <w:t>16</w:t>
            </w:r>
          </w:p>
        </w:tc>
      </w:tr>
      <w:tr>
        <w:tc>
          <w:tcPr>
            <w:tcW w:type="dxa" w:w="2770"/>
          </w:tcPr>
          <w:p>
            <w:r>
              <w:rPr>
                <w:rFonts w:ascii="Times New Roman" w:hAnsi="Times New Roman"/>
                <w:sz w:val="19"/>
              </w:rPr>
              <w:t>Figure 4.4</w:t>
            </w:r>
          </w:p>
        </w:tc>
        <w:tc>
          <w:tcPr>
            <w:tcW w:type="dxa" w:w="2770"/>
          </w:tcPr>
          <w:p>
            <w:r>
              <w:rPr>
                <w:rFonts w:ascii="Times New Roman" w:hAnsi="Times New Roman"/>
                <w:sz w:val="19"/>
              </w:rPr>
              <w:t>Dark SOC Real-Time Threat Intelligence Dashboard (/dashboard)</w:t>
            </w:r>
          </w:p>
        </w:tc>
        <w:tc>
          <w:tcPr>
            <w:tcW w:type="dxa" w:w="2770"/>
          </w:tcPr>
          <w:p>
            <w:r>
              <w:rPr>
                <w:rFonts w:ascii="Times New Roman" w:hAnsi="Times New Roman"/>
                <w:sz w:val="19"/>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19"/>
              </w:rPr>
              <w:t>AI</w:t>
            </w:r>
          </w:p>
        </w:tc>
        <w:tc>
          <w:tcPr>
            <w:tcW w:type="dxa" w:w="4154"/>
          </w:tcPr>
          <w:p>
            <w:r>
              <w:rPr>
                <w:rFonts w:ascii="Times New Roman" w:hAnsi="Times New Roman"/>
                <w:sz w:val="19"/>
              </w:rPr>
              <w:t>Artificial Intelligence</w:t>
            </w:r>
          </w:p>
        </w:tc>
      </w:tr>
      <w:tr>
        <w:tc>
          <w:tcPr>
            <w:tcW w:type="dxa" w:w="4154"/>
          </w:tcPr>
          <w:p>
            <w:r>
              <w:rPr>
                <w:rFonts w:ascii="Times New Roman" w:hAnsi="Times New Roman"/>
                <w:sz w:val="19"/>
              </w:rPr>
              <w:t>LLM</w:t>
            </w:r>
          </w:p>
        </w:tc>
        <w:tc>
          <w:tcPr>
            <w:tcW w:type="dxa" w:w="4154"/>
          </w:tcPr>
          <w:p>
            <w:r>
              <w:rPr>
                <w:rFonts w:ascii="Times New Roman" w:hAnsi="Times New Roman"/>
                <w:sz w:val="19"/>
              </w:rPr>
              <w:t>Large Language Model</w:t>
            </w:r>
          </w:p>
        </w:tc>
      </w:tr>
      <w:tr>
        <w:tc>
          <w:tcPr>
            <w:tcW w:type="dxa" w:w="4154"/>
          </w:tcPr>
          <w:p>
            <w:r>
              <w:rPr>
                <w:rFonts w:ascii="Times New Roman" w:hAnsi="Times New Roman"/>
                <w:sz w:val="19"/>
              </w:rPr>
              <w:t>SLM</w:t>
            </w:r>
          </w:p>
        </w:tc>
        <w:tc>
          <w:tcPr>
            <w:tcW w:type="dxa" w:w="4154"/>
          </w:tcPr>
          <w:p>
            <w:r>
              <w:rPr>
                <w:rFonts w:ascii="Times New Roman" w:hAnsi="Times New Roman"/>
                <w:sz w:val="19"/>
              </w:rPr>
              <w:t>Small Language Model</w:t>
            </w:r>
          </w:p>
        </w:tc>
      </w:tr>
      <w:tr>
        <w:tc>
          <w:tcPr>
            <w:tcW w:type="dxa" w:w="4154"/>
          </w:tcPr>
          <w:p>
            <w:r>
              <w:rPr>
                <w:rFonts w:ascii="Times New Roman" w:hAnsi="Times New Roman"/>
                <w:sz w:val="19"/>
              </w:rPr>
              <w:t>RAG</w:t>
            </w:r>
          </w:p>
        </w:tc>
        <w:tc>
          <w:tcPr>
            <w:tcW w:type="dxa" w:w="4154"/>
          </w:tcPr>
          <w:p>
            <w:r>
              <w:rPr>
                <w:rFonts w:ascii="Times New Roman" w:hAnsi="Times New Roman"/>
                <w:sz w:val="19"/>
              </w:rPr>
              <w:t>Retrieval-Augmented Generation</w:t>
            </w:r>
          </w:p>
        </w:tc>
      </w:tr>
      <w:tr>
        <w:tc>
          <w:tcPr>
            <w:tcW w:type="dxa" w:w="4154"/>
          </w:tcPr>
          <w:p>
            <w:r>
              <w:rPr>
                <w:rFonts w:ascii="Times New Roman" w:hAnsi="Times New Roman"/>
                <w:sz w:val="19"/>
              </w:rPr>
              <w:t>WAF</w:t>
            </w:r>
          </w:p>
        </w:tc>
        <w:tc>
          <w:tcPr>
            <w:tcW w:type="dxa" w:w="4154"/>
          </w:tcPr>
          <w:p>
            <w:r>
              <w:rPr>
                <w:rFonts w:ascii="Times New Roman" w:hAnsi="Times New Roman"/>
                <w:sz w:val="19"/>
              </w:rPr>
              <w:t>Web Application Firewall</w:t>
            </w:r>
          </w:p>
        </w:tc>
      </w:tr>
      <w:tr>
        <w:tc>
          <w:tcPr>
            <w:tcW w:type="dxa" w:w="4154"/>
          </w:tcPr>
          <w:p>
            <w:r>
              <w:rPr>
                <w:rFonts w:ascii="Times New Roman" w:hAnsi="Times New Roman"/>
                <w:sz w:val="19"/>
              </w:rPr>
              <w:t>SOC</w:t>
            </w:r>
          </w:p>
        </w:tc>
        <w:tc>
          <w:tcPr>
            <w:tcW w:type="dxa" w:w="4154"/>
          </w:tcPr>
          <w:p>
            <w:r>
              <w:rPr>
                <w:rFonts w:ascii="Times New Roman" w:hAnsi="Times New Roman"/>
                <w:sz w:val="19"/>
              </w:rPr>
              <w:t>Security Operations Center</w:t>
            </w:r>
          </w:p>
        </w:tc>
      </w:tr>
      <w:tr>
        <w:tc>
          <w:tcPr>
            <w:tcW w:type="dxa" w:w="4154"/>
          </w:tcPr>
          <w:p>
            <w:r>
              <w:rPr>
                <w:rFonts w:ascii="Times New Roman" w:hAnsi="Times New Roman"/>
                <w:sz w:val="19"/>
              </w:rPr>
              <w:t>FPR</w:t>
            </w:r>
          </w:p>
        </w:tc>
        <w:tc>
          <w:tcPr>
            <w:tcW w:type="dxa" w:w="4154"/>
          </w:tcPr>
          <w:p>
            <w:r>
              <w:rPr>
                <w:rFonts w:ascii="Times New Roman" w:hAnsi="Times New Roman"/>
                <w:sz w:val="19"/>
              </w:rPr>
              <w:t>False Positive Rate</w:t>
            </w:r>
          </w:p>
        </w:tc>
      </w:tr>
      <w:tr>
        <w:tc>
          <w:tcPr>
            <w:tcW w:type="dxa" w:w="4154"/>
          </w:tcPr>
          <w:p>
            <w:r>
              <w:rPr>
                <w:rFonts w:ascii="Times New Roman" w:hAnsi="Times New Roman"/>
                <w:sz w:val="19"/>
              </w:rPr>
              <w:t>FNR</w:t>
            </w:r>
          </w:p>
        </w:tc>
        <w:tc>
          <w:tcPr>
            <w:tcW w:type="dxa" w:w="4154"/>
          </w:tcPr>
          <w:p>
            <w:r>
              <w:rPr>
                <w:rFonts w:ascii="Times New Roman" w:hAnsi="Times New Roman"/>
                <w:sz w:val="19"/>
              </w:rPr>
              <w:t>False Negative Rate</w:t>
            </w:r>
          </w:p>
        </w:tc>
      </w:tr>
      <w:tr>
        <w:tc>
          <w:tcPr>
            <w:tcW w:type="dxa" w:w="4154"/>
          </w:tcPr>
          <w:p>
            <w:r>
              <w:rPr>
                <w:rFonts w:ascii="Times New Roman" w:hAnsi="Times New Roman"/>
                <w:sz w:val="19"/>
              </w:rPr>
              <w:t>OWASP</w:t>
            </w:r>
          </w:p>
        </w:tc>
        <w:tc>
          <w:tcPr>
            <w:tcW w:type="dxa" w:w="4154"/>
          </w:tcPr>
          <w:p>
            <w:r>
              <w:rPr>
                <w:rFonts w:ascii="Times New Roman" w:hAnsi="Times New Roman"/>
                <w:sz w:val="19"/>
              </w:rPr>
              <w:t>Open Worldwide Application Security Project</w:t>
            </w:r>
          </w:p>
        </w:tc>
      </w:tr>
      <w:tr>
        <w:tc>
          <w:tcPr>
            <w:tcW w:type="dxa" w:w="4154"/>
          </w:tcPr>
          <w:p>
            <w:r>
              <w:rPr>
                <w:rFonts w:ascii="Times New Roman" w:hAnsi="Times New Roman"/>
                <w:sz w:val="19"/>
              </w:rPr>
              <w:t>NeMo</w:t>
            </w:r>
          </w:p>
        </w:tc>
        <w:tc>
          <w:tcPr>
            <w:tcW w:type="dxa" w:w="4154"/>
          </w:tcPr>
          <w:p>
            <w:r>
              <w:rPr>
                <w:rFonts w:ascii="Times New Roman" w:hAnsi="Times New Roman"/>
                <w:sz w:val="19"/>
              </w:rPr>
              <w:t>Neural Modules (NVIDIA Conversational AI &amp; Guardrails Framework)</w:t>
            </w:r>
          </w:p>
        </w:tc>
      </w:tr>
      <w:tr>
        <w:tc>
          <w:tcPr>
            <w:tcW w:type="dxa" w:w="4154"/>
          </w:tcPr>
          <w:p>
            <w:r>
              <w:rPr>
                <w:rFonts w:ascii="Times New Roman" w:hAnsi="Times New Roman"/>
                <w:sz w:val="19"/>
              </w:rPr>
              <w:t>TF-IDF</w:t>
            </w:r>
          </w:p>
        </w:tc>
        <w:tc>
          <w:tcPr>
            <w:tcW w:type="dxa" w:w="4154"/>
          </w:tcPr>
          <w:p>
            <w:r>
              <w:rPr>
                <w:rFonts w:ascii="Times New Roman" w:hAnsi="Times New Roman"/>
                <w:sz w:val="19"/>
              </w:rPr>
              <w:t>Term Frequency – Inverse Document Frequency</w:t>
            </w:r>
          </w:p>
        </w:tc>
      </w:tr>
      <w:tr>
        <w:tc>
          <w:tcPr>
            <w:tcW w:type="dxa" w:w="4154"/>
          </w:tcPr>
          <w:p>
            <w:r>
              <w:rPr>
                <w:rFonts w:ascii="Times New Roman" w:hAnsi="Times New Roman"/>
                <w:sz w:val="19"/>
              </w:rPr>
              <w:t>API</w:t>
            </w:r>
          </w:p>
        </w:tc>
        <w:tc>
          <w:tcPr>
            <w:tcW w:type="dxa" w:w="4154"/>
          </w:tcPr>
          <w:p>
            <w:r>
              <w:rPr>
                <w:rFonts w:ascii="Times New Roman" w:hAnsi="Times New Roman"/>
                <w:sz w:val="19"/>
              </w:rPr>
              <w:t>Application Programming Interface</w:t>
            </w:r>
          </w:p>
        </w:tc>
      </w:tr>
      <w:tr>
        <w:tc>
          <w:tcPr>
            <w:tcW w:type="dxa" w:w="4154"/>
          </w:tcPr>
          <w:p>
            <w:r>
              <w:rPr>
                <w:rFonts w:ascii="Times New Roman" w:hAnsi="Times New Roman"/>
                <w:sz w:val="19"/>
              </w:rPr>
              <w:t>REST</w:t>
            </w:r>
          </w:p>
        </w:tc>
        <w:tc>
          <w:tcPr>
            <w:tcW w:type="dxa" w:w="4154"/>
          </w:tcPr>
          <w:p>
            <w:r>
              <w:rPr>
                <w:rFonts w:ascii="Times New Roman" w:hAnsi="Times New Roman"/>
                <w:sz w:val="19"/>
              </w:rPr>
              <w:t>Representational State Transfer</w:t>
            </w:r>
          </w:p>
        </w:tc>
      </w:tr>
      <w:tr>
        <w:tc>
          <w:tcPr>
            <w:tcW w:type="dxa" w:w="4154"/>
          </w:tcPr>
          <w:p>
            <w:r>
              <w:rPr>
                <w:rFonts w:ascii="Times New Roman" w:hAnsi="Times New Roman"/>
                <w:sz w:val="19"/>
              </w:rPr>
              <w:t>JSONL</w:t>
            </w:r>
          </w:p>
        </w:tc>
        <w:tc>
          <w:tcPr>
            <w:tcW w:type="dxa" w:w="4154"/>
          </w:tcPr>
          <w:p>
            <w:r>
              <w:rPr>
                <w:rFonts w:ascii="Times New Roman" w:hAnsi="Times New Roman"/>
                <w:sz w:val="19"/>
              </w:rPr>
              <w:t>JavaScript Object Notation Lines</w:t>
            </w:r>
          </w:p>
        </w:tc>
      </w:tr>
      <w:tr>
        <w:tc>
          <w:tcPr>
            <w:tcW w:type="dxa" w:w="4154"/>
          </w:tcPr>
          <w:p>
            <w:r>
              <w:rPr>
                <w:rFonts w:ascii="Times New Roman" w:hAnsi="Times New Roman"/>
                <w:sz w:val="19"/>
              </w:rPr>
              <w:t>PyRIT</w:t>
            </w:r>
          </w:p>
        </w:tc>
        <w:tc>
          <w:tcPr>
            <w:tcW w:type="dxa" w:w="4154"/>
          </w:tcPr>
          <w:p>
            <w:r>
              <w:rPr>
                <w:rFonts w:ascii="Times New Roman" w:hAnsi="Times New Roman"/>
                <w:sz w:val="19"/>
              </w:rPr>
              <w:t>Python Risk Identification Tool for Generative AI (Microsoft)</w:t>
            </w:r>
          </w:p>
        </w:tc>
      </w:tr>
      <w:tr>
        <w:tc>
          <w:tcPr>
            <w:tcW w:type="dxa" w:w="4154"/>
          </w:tcPr>
          <w:p>
            <w:r>
              <w:rPr>
                <w:rFonts w:ascii="Times New Roman" w:hAnsi="Times New Roman"/>
                <w:sz w:val="19"/>
              </w:rPr>
              <w:t>SRS</w:t>
            </w:r>
          </w:p>
        </w:tc>
        <w:tc>
          <w:tcPr>
            <w:tcW w:type="dxa" w:w="4154"/>
          </w:tcPr>
          <w:p>
            <w:r>
              <w:rPr>
                <w:rFonts w:ascii="Times New Roman" w:hAnsi="Times New Roman"/>
                <w:sz w:val="19"/>
              </w:rPr>
              <w:t>Software Requirement Specification</w:t>
            </w:r>
          </w:p>
        </w:tc>
      </w:tr>
      <w:tr>
        <w:tc>
          <w:tcPr>
            <w:tcW w:type="dxa" w:w="4154"/>
          </w:tcPr>
          <w:p>
            <w:r>
              <w:rPr>
                <w:rFonts w:ascii="Times New Roman" w:hAnsi="Times New Roman"/>
                <w:sz w:val="19"/>
              </w:rPr>
              <w:t>WBS</w:t>
            </w:r>
          </w:p>
        </w:tc>
        <w:tc>
          <w:tcPr>
            <w:tcW w:type="dxa" w:w="4154"/>
          </w:tcPr>
          <w:p>
            <w:r>
              <w:rPr>
                <w:rFonts w:ascii="Times New Roman" w:hAnsi="Times New Roman"/>
                <w:sz w:val="19"/>
              </w:rPr>
              <w:t>Work Breakdown Structure</w:t>
            </w:r>
          </w:p>
        </w:tc>
      </w:tr>
      <w:tr>
        <w:tc>
          <w:tcPr>
            <w:tcW w:type="dxa" w:w="4154"/>
          </w:tcPr>
          <w:p>
            <w:r>
              <w:rPr>
                <w:rFonts w:ascii="Times New Roman" w:hAnsi="Times New Roman"/>
                <w:sz w:val="19"/>
              </w:rPr>
              <w:t>CSED</w:t>
            </w:r>
          </w:p>
        </w:tc>
        <w:tc>
          <w:tcPr>
            <w:tcW w:type="dxa" w:w="4154"/>
          </w:tcPr>
          <w:p>
            <w:r>
              <w:rPr>
                <w:rFonts w:ascii="Times New Roman" w:hAnsi="Times New Roman"/>
                <w:sz w:val="19"/>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~2.1 ms P50 benign fast-path statistical classifier (Tier-1) with an authoritative 8B moderation model governed by a custom prompt injection policy (Llama-Guard 3 [11]), achieving a 95.8% adversarial recall on JailbreakBench [12] and 98.3% adversarial detection recall across 889 evaluation prompts (559/569 adversarial payloads intercepted, 98.9% overall accuracy)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19"/>
              </w:rPr>
              <w:t>1</w:t>
            </w:r>
          </w:p>
        </w:tc>
        <w:tc>
          <w:tcPr>
            <w:tcW w:type="dxa" w:w="2770"/>
          </w:tcPr>
          <w:p>
            <w:r>
              <w:rPr>
                <w:rFonts w:ascii="Times New Roman" w:hAnsi="Times New Roman"/>
                <w:sz w:val="19"/>
              </w:rPr>
              <w:t>Hardware Sizing</w:t>
            </w:r>
          </w:p>
        </w:tc>
        <w:tc>
          <w:tcPr>
            <w:tcW w:type="dxa" w:w="2770"/>
          </w:tcPr>
          <w:p>
            <w:r>
              <w:rPr>
                <w:rFonts w:ascii="Times New Roman" w:hAnsi="Times New Roman"/>
                <w:sz w:val="19"/>
              </w:rPr>
              <w:t>Dual 8B parameter models execute concurrently on standard host compute (&gt;=16 GB RAM / VRAM) with zero memory thrashing.</w:t>
            </w:r>
          </w:p>
        </w:tc>
      </w:tr>
      <w:tr>
        <w:tc>
          <w:tcPr>
            <w:tcW w:type="dxa" w:w="2770"/>
          </w:tcPr>
          <w:p>
            <w:r>
              <w:rPr>
                <w:rFonts w:ascii="Times New Roman" w:hAnsi="Times New Roman"/>
                <w:sz w:val="19"/>
              </w:rPr>
              <w:t>2</w:t>
            </w:r>
          </w:p>
        </w:tc>
        <w:tc>
          <w:tcPr>
            <w:tcW w:type="dxa" w:w="2770"/>
          </w:tcPr>
          <w:p>
            <w:r>
              <w:rPr>
                <w:rFonts w:ascii="Times New Roman" w:hAnsi="Times New Roman"/>
                <w:sz w:val="19"/>
              </w:rPr>
              <w:t>Latency Budget</w:t>
            </w:r>
          </w:p>
        </w:tc>
        <w:tc>
          <w:tcPr>
            <w:tcW w:type="dxa" w:w="2770"/>
          </w:tcPr>
          <w:p>
            <w:r>
              <w:rPr>
                <w:rFonts w:ascii="Times New Roman" w:hAnsi="Times New Roman"/>
                <w:sz w:val="19"/>
              </w:rPr>
              <w:t>Benign traffic must experience a sieve overhead of &lt; 50 ms (achieved at ~2 ms via Tier-1 fast-path) to preserve conversational fluency.</w:t>
            </w:r>
          </w:p>
        </w:tc>
      </w:tr>
      <w:tr>
        <w:tc>
          <w:tcPr>
            <w:tcW w:type="dxa" w:w="2770"/>
          </w:tcPr>
          <w:p>
            <w:r>
              <w:rPr>
                <w:rFonts w:ascii="Times New Roman" w:hAnsi="Times New Roman"/>
                <w:sz w:val="19"/>
              </w:rPr>
              <w:t>3</w:t>
            </w:r>
          </w:p>
        </w:tc>
        <w:tc>
          <w:tcPr>
            <w:tcW w:type="dxa" w:w="2770"/>
          </w:tcPr>
          <w:p>
            <w:r>
              <w:rPr>
                <w:rFonts w:ascii="Times New Roman" w:hAnsi="Times New Roman"/>
                <w:sz w:val="19"/>
              </w:rPr>
              <w:t>Fail-Closed Security</w:t>
            </w:r>
          </w:p>
        </w:tc>
        <w:tc>
          <w:tcPr>
            <w:tcW w:type="dxa" w:w="2770"/>
          </w:tcPr>
          <w:p>
            <w:r>
              <w:rPr>
                <w:rFonts w:ascii="Times New Roman" w:hAnsi="Times New Roman"/>
                <w:sz w:val="19"/>
              </w:rPr>
              <w:t>If the inference backend or moderation service becomes unreachable, the gateway fails closed, never open.</w:t>
            </w:r>
          </w:p>
        </w:tc>
      </w:tr>
      <w:tr>
        <w:tc>
          <w:tcPr>
            <w:tcW w:type="dxa" w:w="2770"/>
          </w:tcPr>
          <w:p>
            <w:r>
              <w:rPr>
                <w:rFonts w:ascii="Times New Roman" w:hAnsi="Times New Roman"/>
                <w:sz w:val="19"/>
              </w:rPr>
              <w:t>4</w:t>
            </w:r>
          </w:p>
        </w:tc>
        <w:tc>
          <w:tcPr>
            <w:tcW w:type="dxa" w:w="2770"/>
          </w:tcPr>
          <w:p>
            <w:r>
              <w:rPr>
                <w:rFonts w:ascii="Times New Roman" w:hAnsi="Times New Roman"/>
                <w:sz w:val="19"/>
              </w:rPr>
              <w:t>Zero Egress Assumption</w:t>
            </w:r>
          </w:p>
        </w:tc>
        <w:tc>
          <w:tcPr>
            <w:tcW w:type="dxa" w:w="2770"/>
          </w:tcPr>
          <w:p>
            <w:r>
              <w:rPr>
                <w:rFonts w:ascii="Times New Roman" w:hAnsi="Times New Roman"/>
                <w:sz w:val="19"/>
              </w:rPr>
              <w:t>The Mirror Maze sandbox container has zero direct internet access and zero connectivity to the production database or host network.</w:t>
            </w:r>
          </w:p>
        </w:tc>
      </w:tr>
      <w:tr>
        <w:tc>
          <w:tcPr>
            <w:tcW w:type="dxa" w:w="2770"/>
          </w:tcPr>
          <w:p>
            <w:r>
              <w:rPr>
                <w:rFonts w:ascii="Times New Roman" w:hAnsi="Times New Roman"/>
                <w:sz w:val="19"/>
              </w:rPr>
              <w:t>5</w:t>
            </w:r>
          </w:p>
        </w:tc>
        <w:tc>
          <w:tcPr>
            <w:tcW w:type="dxa" w:w="2770"/>
          </w:tcPr>
          <w:p>
            <w:r>
              <w:rPr>
                <w:rFonts w:ascii="Times New Roman" w:hAnsi="Times New Roman"/>
                <w:sz w:val="19"/>
              </w:rPr>
              <w:t>Synthetic Bait Integrity</w:t>
            </w:r>
          </w:p>
        </w:tc>
        <w:tc>
          <w:tcPr>
            <w:tcW w:type="dxa" w:w="2770"/>
          </w:tcPr>
          <w:p>
            <w:r>
              <w:rPr>
                <w:rFonts w:ascii="Times New Roman" w:hAnsi="Times New Roman"/>
                <w:sz w:val="19"/>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19"/>
              </w:rPr>
              <w:t>shelLM [10] (IEEE EuroS&amp;PW '24)</w:t>
            </w:r>
          </w:p>
        </w:tc>
        <w:tc>
          <w:tcPr>
            <w:tcW w:type="dxa" w:w="1662"/>
          </w:tcPr>
          <w:p>
            <w:r>
              <w:rPr>
                <w:rFonts w:ascii="Times New Roman" w:hAnsi="Times New Roman"/>
                <w:sz w:val="19"/>
              </w:rPr>
              <w:t>LLM-driven Linux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restricted to CLI; no feedback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 (IEEE CNS '24)</w:t>
            </w:r>
          </w:p>
        </w:tc>
        <w:tc>
          <w:tcPr>
            <w:tcW w:type="dxa" w:w="1662"/>
          </w:tcPr>
          <w:p>
            <w:r>
              <w:rPr>
                <w:rFonts w:ascii="Times New Roman" w:hAnsi="Times New Roman"/>
                <w:sz w:val="19"/>
              </w:rPr>
              <w:t>Attacker-log trained interactive shell</w:t>
            </w:r>
          </w:p>
        </w:tc>
        <w:tc>
          <w:tcPr>
            <w:tcW w:type="dxa" w:w="1662"/>
          </w:tcPr>
          <w:p>
            <w:r>
              <w:rPr>
                <w:rFonts w:ascii="Times New Roman" w:hAnsi="Times New Roman"/>
                <w:sz w:val="19"/>
              </w:rPr>
              <w:t>High realism evaluated via Levenshtein &amp; Cosine similarity</w:t>
            </w:r>
          </w:p>
        </w:tc>
        <w:tc>
          <w:tcPr>
            <w:tcW w:type="dxa" w:w="1662"/>
          </w:tcPr>
          <w:p>
            <w:r>
              <w:rPr>
                <w:rFonts w:ascii="Times New Roman" w:hAnsi="Times New Roman"/>
                <w:sz w:val="19"/>
              </w:rPr>
              <w:t>Passive logging only; zero automated defense adaptation</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 (IEEE CNS '24)</w:t>
            </w:r>
          </w:p>
        </w:tc>
        <w:tc>
          <w:tcPr>
            <w:tcW w:type="dxa" w:w="1662"/>
          </w:tcPr>
          <w:p>
            <w:r>
              <w:rPr>
                <w:rFonts w:ascii="Times New Roman" w:hAnsi="Times New Roman"/>
                <w:sz w:val="19"/>
              </w:rPr>
              <w:t>Contextual prompt engineering for shell</w:t>
            </w:r>
          </w:p>
        </w:tc>
        <w:tc>
          <w:tcPr>
            <w:tcW w:type="dxa" w:w="1662"/>
          </w:tcPr>
          <w:p>
            <w:r>
              <w:rPr>
                <w:rFonts w:ascii="Times New Roman" w:hAnsi="Times New Roman"/>
                <w:sz w:val="19"/>
              </w:rPr>
              <w:t>Enhanced attacker dwell time in simulated OS terminals</w:t>
            </w:r>
          </w:p>
        </w:tc>
        <w:tc>
          <w:tcPr>
            <w:tcW w:type="dxa" w:w="1662"/>
          </w:tcPr>
          <w:p>
            <w:r>
              <w:rPr>
                <w:rFonts w:ascii="Times New Roman" w:hAnsi="Times New Roman"/>
                <w:sz w:val="19"/>
              </w:rPr>
              <w:t>No real-time intent sieve; no automated rule generation</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 (USENIX Sec '25)</w:t>
            </w:r>
          </w:p>
        </w:tc>
        <w:tc>
          <w:tcPr>
            <w:tcW w:type="dxa" w:w="1662"/>
          </w:tcPr>
          <w:p>
            <w:r>
              <w:rPr>
                <w:rFonts w:ascii="Times New Roman" w:hAnsi="Times New Roman"/>
                <w:sz w:val="19"/>
              </w:rPr>
              <w:t>Cloak-Honey-Trap proactive defense</w:t>
            </w:r>
          </w:p>
        </w:tc>
        <w:tc>
          <w:tcPr>
            <w:tcW w:type="dxa" w:w="1662"/>
          </w:tcPr>
          <w:p>
            <w:r>
              <w:rPr>
                <w:rFonts w:ascii="Times New Roman" w:hAnsi="Times New Roman"/>
                <w:sz w:val="19"/>
              </w:rPr>
              <w:t>Deception tokens to disrupt autonomous LLM attackers</w:t>
            </w:r>
          </w:p>
        </w:tc>
        <w:tc>
          <w:tcPr>
            <w:tcW w:type="dxa" w:w="1662"/>
          </w:tcPr>
          <w:p>
            <w:r>
              <w:rPr>
                <w:rFonts w:ascii="Times New Roman" w:hAnsi="Times New Roman"/>
                <w:sz w:val="19"/>
              </w:rPr>
              <w:t>Limited to artificial CTF environments;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 (IEEE Access '25)</w:t>
            </w:r>
          </w:p>
        </w:tc>
        <w:tc>
          <w:tcPr>
            <w:tcW w:type="dxa" w:w="1662"/>
          </w:tcPr>
          <w:p>
            <w:r>
              <w:rPr>
                <w:rFonts w:ascii="Times New Roman" w:hAnsi="Times New Roman"/>
                <w:sz w:val="19"/>
              </w:rPr>
              <w:t>LLM-as-attacker honeypot auditing</w:t>
            </w:r>
          </w:p>
        </w:tc>
        <w:tc>
          <w:tcPr>
            <w:tcW w:type="dxa" w:w="1662"/>
          </w:tcPr>
          <w:p>
            <w:r>
              <w:rPr>
                <w:rFonts w:ascii="Times New Roman" w:hAnsi="Times New Roman"/>
                <w:sz w:val="19"/>
              </w:rPr>
              <w:t>Automated feedback loop to improve honeypot realism</w:t>
            </w:r>
          </w:p>
        </w:tc>
        <w:tc>
          <w:tcPr>
            <w:tcW w:type="dxa" w:w="1662"/>
          </w:tcPr>
          <w:p>
            <w:r>
              <w:rPr>
                <w:rFonts w:ascii="Times New Roman" w:hAnsi="Times New Roman"/>
                <w:sz w:val="19"/>
              </w:rPr>
              <w:t>Offline pre-deployment audit tool; no live defense capability</w:t>
            </w:r>
          </w:p>
        </w:tc>
        <w:tc>
          <w:tcPr>
            <w:tcW w:type="dxa" w:w="1662"/>
          </w:tcPr>
          <w:p>
            <w:r>
              <w:rPr>
                <w:rFonts w:ascii="Times New Roman" w:hAnsi="Times New Roman"/>
                <w:sz w:val="19"/>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95.8% JailbreakBench recall and 98.3% in-the-wild detection (559/569 adversarial, 98.9% overall accuracy) at 0.0% benign FPR (0/320 benign) with ~2.1 ms P50 benign fast-path latency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 Isolation</w:t>
            </w:r>
          </w:p>
        </w:tc>
        <w:tc>
          <w:tcPr>
            <w:tcW w:type="dxa" w:w="2770"/>
          </w:tcPr>
          <w:p>
            <w:r>
              <w:rPr>
                <w:rFonts w:ascii="Times New Roman" w:hAnsi="Times New Roman"/>
                <w:sz w:val="19"/>
              </w:rPr>
              <w:t>Docker Engine / Linux Namespaces &amp; cgroups</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95.8% recall on JailbreakBench (exceeding &gt;95% target); 98.3% recall across combined 889 dataset (559/569 attacks, 98.9% overall accuracy); 0.0% benign FPR (0/320 queries); ~2.1 ms P50 benign fast-path latency.</w:t>
            </w:r>
          </w:p>
        </w:tc>
        <w:tc>
          <w:tcPr>
            <w:tcW w:type="dxa" w:w="2077"/>
          </w:tcPr>
          <w:p>
            <w:r>
              <w:rPr>
                <w:rFonts w:ascii="Times New Roman" w:hAnsi="Times New Roman"/>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Zero-egress container isolation, zero network/host leakage under audit probes</w:t>
            </w:r>
          </w:p>
        </w:tc>
        <w:tc>
          <w:tcPr>
            <w:tcW w:type="dxa" w:w="2077"/>
          </w:tcPr>
          <w:p>
            <w:r>
              <w:rPr>
                <w:rFonts w:ascii="Times New Roman" w:hAnsi="Times New Roman"/>
                <w:sz w:val="19"/>
              </w:rPr>
              <w:t>Docker zero-egress network; No container escape observed across 5/5 executed penetration probes; read-only rootfs; non-root UID 10001.</w:t>
            </w:r>
          </w:p>
        </w:tc>
        <w:tc>
          <w:tcPr>
            <w:tcW w:type="dxa" w:w="2077"/>
          </w:tcPr>
          <w:p>
            <w:r>
              <w:rPr>
                <w:rFonts w:ascii="Times New Roman" w:hAnsi="Times New Roman"/>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completed; live telemetry populated (176 requests, 85 attacks, 4m 46s avg dwell).</w:t>
            </w:r>
          </w:p>
        </w:tc>
        <w:tc>
          <w:tcPr>
            <w:tcW w:type="dxa" w:w="2077"/>
          </w:tcPr>
          <w:p>
            <w:r>
              <w:rPr>
                <w:rFonts w:ascii="Times New Roman" w:hAnsi="Times New Roman"/>
                <w:sz w:val="19"/>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95.8% recall on standard benchmarks and 98.3% recall across in-the-wild datasets (559/569 attacks, 98.9% overall accuracy) without penalizing benign customer traffic (0/320 false flags, ~2.1 ms P50 benign fast-path); (2) generative honeypots running on zero-trust containerization effectively contain attacker reconnaissance (no container breakouts observed across 5 executed penetration test vectors); and (3) closed-loop self-healing can compile and hot-patch permanent NeMo Colang rules [6] within 10.4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Adversarial Recall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 (37/100)</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 (62/100)</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 (95/100)</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sz w:val="19"/>
              </w:rPr>
              <w:t>Honey-LLM Two-Tier Sieve (Ensemble)</w:t>
            </w:r>
          </w:p>
        </w:tc>
        <w:tc>
          <w:tcPr>
            <w:tcW w:type="dxa" w:w="1662"/>
          </w:tcPr>
          <w:p>
            <w:r>
              <w:rPr>
                <w:rFonts w:ascii="Times New Roman" w:hAnsi="Times New Roman"/>
                <w:sz w:val="19"/>
              </w:rPr>
              <w:t>Curated + Wild (889)</w:t>
            </w:r>
          </w:p>
        </w:tc>
        <w:tc>
          <w:tcPr>
            <w:tcW w:type="dxa" w:w="1662"/>
          </w:tcPr>
          <w:p>
            <w:r>
              <w:rPr>
                <w:rFonts w:ascii="Times New Roman" w:hAnsi="Times New Roman"/>
                <w:sz w:val="19"/>
              </w:rPr>
              <w:t>98.3% (559/569)</w:t>
            </w:r>
          </w:p>
        </w:tc>
        <w:tc>
          <w:tcPr>
            <w:tcW w:type="dxa" w:w="1662"/>
          </w:tcPr>
          <w:p>
            <w:r>
              <w:rPr>
                <w:rFonts w:ascii="Times New Roman" w:hAnsi="Times New Roman"/>
                <w:sz w:val="19"/>
              </w:rPr>
              <w:t>0.0% (0/320)</w:t>
            </w:r>
          </w:p>
        </w:tc>
        <w:tc>
          <w:tcPr>
            <w:tcW w:type="dxa" w:w="1662"/>
          </w:tcPr>
          <w:p>
            <w:r>
              <w:rPr>
                <w:rFonts w:ascii="Times New Roman" w:hAnsi="Times New Roman"/>
                <w:sz w:val="19"/>
              </w:rPr>
              <w:t>~2.1 ms (P50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