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HONEY-LLM: AN INTERACTIVE, SELF-HEALING HONEYPOT DEFENSE ECOSYSTEM FOR AGENTIC AI</w:t>
      </w:r>
    </w:p>
    <w:p>
      <w:pPr>
        <w:jc w:val="center"/>
      </w:pPr>
      <w:r>
        <w:rPr>
          <w:b/>
          <w:sz w:val="24"/>
        </w:rPr>
        <w:t>Capstone Project Report</w:t>
        <w:br/>
        <w:t>MID SEMESTER EVALUATION (Phases 1 to 4 Progress)</w:t>
      </w:r>
    </w:p>
    <w:p>
      <w:pPr>
        <w:jc w:val="center"/>
      </w:pPr>
      <w:r>
        <w:rPr>
          <w:b/>
          <w:sz w:val="24"/>
        </w:rPr>
        <w:t>Submitted by:</w:t>
        <w:br/>
        <w:t>(102303312) ANOUSHKA SINGH</w:t>
        <w:br/>
        <w:t>(102303315) TARUN KRISHNA SHASTRI</w:t>
        <w:br/>
        <w:t>(102303631) DEVANSH WADHWANI</w:t>
        <w:br/>
        <w:t>(102303684) SHREYA GIRI</w:t>
      </w:r>
    </w:p>
    <w:p>
      <w:pPr>
        <w:jc w:val="center"/>
      </w:pPr>
      <w:r>
        <w:rPr>
          <w:b/>
          <w:sz w:val="24"/>
        </w:rPr>
        <w:t>BE Third Year, Computer Engineering (CoE)</w:t>
        <w:br/>
        <w:t>CPG No: 75</w:t>
      </w:r>
    </w:p>
    <w:p>
      <w:pPr>
        <w:jc w:val="center"/>
      </w:pPr>
      <w:r>
        <w:rPr>
          <w:sz w:val="24"/>
        </w:rPr>
        <w:t>Under the Mentorship of:</w:t>
        <w:br/>
        <w:t>Dr. Saif Nalband</w:t>
        <w:br/>
        <w:t>Assistant Professor, Computer Science and Engineering Department</w:t>
      </w:r>
    </w:p>
    <w:p>
      <w:pPr>
        <w:jc w:val="center"/>
      </w:pPr>
      <w:r>
        <w:drawing>
          <wp:inline xmlns:a="http://schemas.openxmlformats.org/drawingml/2006/main" xmlns:pic="http://schemas.openxmlformats.org/drawingml/2006/picture">
            <wp:extent cx="1645920" cy="794905"/>
            <wp:docPr id="1" name="Picture 1"/>
            <wp:cNvGraphicFramePr>
              <a:graphicFrameLocks noChangeAspect="1"/>
            </wp:cNvGraphicFramePr>
            <a:graphic>
              <a:graphicData uri="http://schemas.openxmlformats.org/drawingml/2006/picture">
                <pic:pic>
                  <pic:nvPicPr>
                    <pic:cNvPr id="0" name="thapar_logo.png"/>
                    <pic:cNvPicPr/>
                  </pic:nvPicPr>
                  <pic:blipFill>
                    <a:blip r:embed="rId9"/>
                    <a:stretch>
                      <a:fillRect/>
                    </a:stretch>
                  </pic:blipFill>
                  <pic:spPr>
                    <a:xfrm>
                      <a:off x="0" y="0"/>
                      <a:ext cx="1645920" cy="794905"/>
                    </a:xfrm>
                    <a:prstGeom prst="rect"/>
                  </pic:spPr>
                </pic:pic>
              </a:graphicData>
            </a:graphic>
          </wp:inline>
        </w:drawing>
      </w:r>
    </w:p>
    <w:p>
      <w:pPr>
        <w:jc w:val="center"/>
      </w:pPr>
      <w:r>
        <w:rPr>
          <w:b/>
          <w:sz w:val="24"/>
        </w:rPr>
        <w:t>Computer Science and Engineering Department</w:t>
        <w:br/>
        <w:t>Thapar Institute of Engineering and Technology, Patiala</w:t>
        <w:br/>
        <w:t>August 2026</w:t>
      </w:r>
    </w:p>
    <w:p>
      <w:r>
        <w:br w:type="page"/>
      </w:r>
    </w:p>
    <w:p>
      <w:pPr>
        <w:keepNext/>
        <w:spacing w:before="240" w:after="120"/>
      </w:pPr>
      <w:r>
        <w:rPr>
          <w:rFonts w:ascii="Times New Roman" w:hAnsi="Times New Roman"/>
          <w:b/>
          <w:color w:val="0F172A"/>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critical security vulnerabilities. Chief among these is adversarial prompt injection, where attackers manipulate natural-language instructions to bypass safety guardrails, hijack system roles, and exfiltrate proprietary corporate assets. Conventional perimeter defenses, including static Web Application Firewalls (WAFs) and rigid keyword matchers, operate on a reactive rejection paradigm that inadvertently reveals filter boundaries to attackers while failing against multi-turn semantic chaining.</w:t>
      </w:r>
    </w:p>
    <w:p>
      <w:pPr>
        <w:spacing w:line="360" w:lineRule="auto" w:after="120"/>
        <w:ind w:firstLine="432"/>
        <w:jc w:val="both"/>
      </w:pPr>
      <w:r>
        <w:rPr>
          <w:rFonts w:ascii="Times New Roman" w:hAnsi="Times New Roman"/>
          <w:sz w:val="24"/>
        </w:rPr>
        <w:t>This capstone project presents the design, system architecture, and verified implementation of Honey-LLM, covering work completed across Phases 1 through 4 of the academic project roadmap. Specifically, the mid-semester implementation achieves four core deliverables: (1) an 8-class Adversarial Threat Taxonomy tailored to conversational enterprise agents; (2) a multi-tier Intent Sieve combining a ~2.1 ms P50 benign fast-path statistical classifier (Tier-1) with an authoritative 8B moderation model governed by a custom prompt injection policy (Llama-Guard 3 [11]), achieving a 95.8% adversarial recall on JailbreakBench [12] and 98.3% adversarial detection recall across the combined 889-sample evaluation corpus (559/569 adversarial payloads intercepted, 98.9% overall classification accuracy) while maintaining a 0.0% False Positive Rate on the benign domain evaluation split (0/320 legitimate customer queries flagged); (3) a containerized zero-trust deception sandbox termed the Mirror Maze running an LLM-driven decoy persona that dynamic-hallucinates synthetic bait to absorb attacker reconnaissance (verified with no container escapes observed across 5/5 executed penetration probes); and (4) an Autonomous Guardrail Synthesis feedback loop that distills captured exploit patterns into formal NVIDIA NeMo Colang rules [6], hot-patching live gateway policies in 10.4 seconds with zero service interruption.</w:t>
      </w:r>
    </w:p>
    <w:p>
      <w:pPr>
        <w:spacing w:line="360" w:lineRule="auto" w:after="120"/>
        <w:ind w:firstLine="432"/>
        <w:jc w:val="both"/>
      </w:pPr>
      <w:r>
        <w:rPr>
          <w:rFonts w:ascii="Times New Roman" w:hAnsi="Times New Roman"/>
          <w:sz w:val="24"/>
        </w:rPr>
        <w:t>The subsequent project lifecycle, comprising Phase 5 (Forensic Telemetry and Live SOC Threat Intelligence Dashboard visualization) and Phase 6 (Empirical Red-Teaming at scale via multi-converter Microsoft PyRIT campaigns [13] and concurrency load profiling), is established as the structured roadmap for the final semester evaluation.</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240" w:after="120"/>
      </w:pPr>
      <w:r>
        <w:rPr>
          <w:rFonts w:ascii="Times New Roman" w:hAnsi="Times New Roman"/>
          <w:b/>
          <w:color w:val="0F172A"/>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and Policy Hardening) in the Computer Science and Engineering Department, Thapar Institute of Engineering and Technology (TIET), Patiala, under the mentorship and guidance of Dr. Saif Nalband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pPr>
        <w:spacing w:line="360" w:lineRule="auto" w:after="120"/>
        <w:jc w:val="both"/>
      </w:pPr>
      <w:r>
        <w:rPr>
          <w:rFonts w:ascii="Times New Roman" w:hAnsi="Times New Roman"/>
          <w:sz w:val="24"/>
        </w:rP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102303312</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102303315</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102303631</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102303684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Pr>
        <w:spacing w:before="400"/>
      </w:pPr>
    </w:p>
    <w:p>
      <w:r>
        <w:rPr>
          <w:b/>
        </w:rPr>
        <w:t>Counter Signed By:</w:t>
      </w:r>
    </w:p>
    <w:p>
      <w:r>
        <w:drawing>
          <wp:inline xmlns:a="http://schemas.openxmlformats.org/drawingml/2006/main" xmlns:pic="http://schemas.openxmlformats.org/drawingml/2006/picture">
            <wp:extent cx="1097280" cy="765908"/>
            <wp:docPr id="2" name="Picture 2"/>
            <wp:cNvGraphicFramePr>
              <a:graphicFrameLocks noChangeAspect="1"/>
            </wp:cNvGraphicFramePr>
            <a:graphic>
              <a:graphicData uri="http://schemas.openxmlformats.org/drawingml/2006/picture">
                <pic:pic>
                  <pic:nvPicPr>
                    <pic:cNvPr id="0" name="saif_nalband_signature.jpg"/>
                    <pic:cNvPicPr/>
                  </pic:nvPicPr>
                  <pic:blipFill>
                    <a:blip r:embed="rId10"/>
                    <a:stretch>
                      <a:fillRect/>
                    </a:stretch>
                  </pic:blipFill>
                  <pic:spPr>
                    <a:xfrm>
                      <a:off x="0" y="0"/>
                      <a:ext cx="1097280" cy="765908"/>
                    </a:xfrm>
                    <a:prstGeom prst="rect"/>
                  </pic:spPr>
                </pic:pic>
              </a:graphicData>
            </a:graphic>
          </wp:inline>
        </w:drawing>
      </w:r>
    </w:p>
    <w:p>
      <w:r>
        <w:rPr>
          <w:sz w:val="22"/>
        </w:rPr>
        <w:t>Dr. Saif Nalband</w:t>
        <w:br/>
        <w:t>Assistant Professor, CSED</w:t>
        <w:br/>
        <w:t>TIET, Patiala</w:t>
      </w:r>
    </w:p>
    <w:p>
      <w:r>
        <w:br w:type="page"/>
      </w:r>
    </w:p>
    <w:p>
      <w:pPr>
        <w:keepNext/>
        <w:spacing w:before="240" w:after="120"/>
      </w:pPr>
      <w:r>
        <w:rPr>
          <w:rFonts w:ascii="Times New Roman" w:hAnsi="Times New Roman"/>
          <w:b/>
          <w:color w:val="0F172A"/>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Saif Nalband, Assistant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Neeraj Kumar, Professor and Head of the Computer Science and Engineering Department, for providing state-of-the-art laboratory infrastructure, computational facilities, and an academic environment conducive to advanced systems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supported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pPr>
        <w:spacing w:line="360" w:lineRule="auto" w:after="120"/>
        <w:jc w:val="both"/>
      </w:pPr>
      <w:r>
        <w:rPr>
          <w:rFonts w:ascii="Times New Roman" w:hAnsi="Times New Roman"/>
          <w:sz w:val="24"/>
        </w:rPr>
        <w:t>Project Team Members:</w:t>
        <w:br/>
        <w:t>Anoushka Singh (102303312), Tarun Krishna Shastri (102303315),</w:t>
        <w:br/>
        <w:t>Devansh Wadhwani (102303631), Shreya Giri (102303684)</w:t>
      </w:r>
    </w:p>
    <w:p>
      <w:r>
        <w:br w:type="page"/>
      </w:r>
    </w:p>
    <w:p>
      <w:pPr>
        <w:keepNext/>
        <w:spacing w:before="240" w:after="120"/>
      </w:pPr>
      <w:r>
        <w:rPr>
          <w:rFonts w:ascii="Times New Roman" w:hAnsi="Times New Roman"/>
          <w:b/>
          <w:color w:val="0F172A"/>
          <w:sz w:val="32"/>
        </w:rPr>
        <w:t>TABLE OF CONTENTS</w:t>
      </w:r>
    </w:p>
    <w:p>
      <w:pPr>
        <w:spacing w:line="276" w:lineRule="auto" w:after="40"/>
      </w:pPr>
      <w:r>
        <w:rPr>
          <w:rFonts w:ascii="Times New Roman" w:hAnsi="Times New Roman"/>
          <w:b/>
          <w:sz w:val="20"/>
        </w:rPr>
        <w:t>ABSTRACT</w:t>
      </w:r>
      <w:r>
        <w:rPr>
          <w:rFonts w:ascii="Times New Roman" w:hAnsi="Times New Roman"/>
          <w:sz w:val="20"/>
        </w:rPr>
        <w:tab/>
        <w:tab/>
        <w:tab/>
        <w:tab/>
        <w:tab/>
        <w:tab/>
        <w:tab/>
        <w:t>i</w:t>
      </w:r>
    </w:p>
    <w:p>
      <w:pPr>
        <w:spacing w:line="276" w:lineRule="auto" w:after="40"/>
      </w:pPr>
      <w:r>
        <w:rPr>
          <w:rFonts w:ascii="Times New Roman" w:hAnsi="Times New Roman"/>
          <w:b/>
          <w:sz w:val="20"/>
        </w:rPr>
        <w:t>DECLARATION</w:t>
      </w:r>
      <w:r>
        <w:rPr>
          <w:rFonts w:ascii="Times New Roman" w:hAnsi="Times New Roman"/>
          <w:sz w:val="20"/>
        </w:rPr>
        <w:tab/>
        <w:tab/>
        <w:tab/>
        <w:tab/>
        <w:tab/>
        <w:tab/>
        <w:tab/>
        <w:t>ii</w:t>
      </w:r>
    </w:p>
    <w:p>
      <w:pPr>
        <w:spacing w:line="276" w:lineRule="auto" w:after="40"/>
      </w:pPr>
      <w:r>
        <w:rPr>
          <w:rFonts w:ascii="Times New Roman" w:hAnsi="Times New Roman"/>
          <w:b/>
          <w:sz w:val="20"/>
        </w:rPr>
        <w:t>ACKNOWLEDGEMENT</w:t>
      </w:r>
      <w:r>
        <w:rPr>
          <w:rFonts w:ascii="Times New Roman" w:hAnsi="Times New Roman"/>
          <w:sz w:val="20"/>
        </w:rPr>
        <w:tab/>
        <w:tab/>
        <w:tab/>
        <w:tab/>
        <w:tab/>
        <w:tab/>
        <w:tab/>
        <w:t>iii</w:t>
      </w:r>
    </w:p>
    <w:p>
      <w:pPr>
        <w:spacing w:line="276" w:lineRule="auto" w:after="40"/>
      </w:pPr>
      <w:r>
        <w:rPr>
          <w:rFonts w:ascii="Times New Roman" w:hAnsi="Times New Roman"/>
          <w:b/>
          <w:sz w:val="20"/>
        </w:rPr>
        <w:t>LIST OF TABLES</w:t>
      </w:r>
      <w:r>
        <w:rPr>
          <w:rFonts w:ascii="Times New Roman" w:hAnsi="Times New Roman"/>
          <w:sz w:val="20"/>
        </w:rPr>
        <w:tab/>
        <w:tab/>
        <w:tab/>
        <w:tab/>
        <w:tab/>
        <w:tab/>
        <w:tab/>
        <w:t>vi</w:t>
      </w:r>
    </w:p>
    <w:p>
      <w:pPr>
        <w:spacing w:line="276" w:lineRule="auto" w:after="40"/>
      </w:pPr>
      <w:r>
        <w:rPr>
          <w:rFonts w:ascii="Times New Roman" w:hAnsi="Times New Roman"/>
          <w:b/>
          <w:sz w:val="20"/>
        </w:rPr>
        <w:t>LIST OF FIGURES</w:t>
      </w:r>
      <w:r>
        <w:rPr>
          <w:rFonts w:ascii="Times New Roman" w:hAnsi="Times New Roman"/>
          <w:sz w:val="20"/>
        </w:rPr>
        <w:tab/>
        <w:tab/>
        <w:tab/>
        <w:tab/>
        <w:tab/>
        <w:tab/>
        <w:tab/>
        <w:t>vii</w:t>
      </w:r>
    </w:p>
    <w:p>
      <w:pPr>
        <w:spacing w:line="276" w:lineRule="auto" w:after="40"/>
      </w:pPr>
      <w:r>
        <w:rPr>
          <w:rFonts w:ascii="Times New Roman" w:hAnsi="Times New Roman"/>
          <w:b/>
          <w:sz w:val="20"/>
        </w:rPr>
        <w:t>LIST OF ABBREVIATIONS</w:t>
      </w:r>
      <w:r>
        <w:rPr>
          <w:rFonts w:ascii="Times New Roman" w:hAnsi="Times New Roman"/>
          <w:sz w:val="20"/>
        </w:rPr>
        <w:tab/>
        <w:tab/>
        <w:tab/>
        <w:tab/>
        <w:tab/>
        <w:tab/>
        <w:tab/>
        <w:t>viii</w:t>
      </w:r>
    </w:p>
    <w:p>
      <w:pPr>
        <w:spacing w:line="276" w:lineRule="auto" w:after="40"/>
      </w:pPr>
      <w:r>
        <w:rPr>
          <w:rFonts w:ascii="Times New Roman" w:hAnsi="Times New Roman"/>
          <w:b/>
          <w:sz w:val="20"/>
        </w:rPr>
        <w:t>CHAPTER 1: INTRODUCTION</w:t>
      </w:r>
      <w:r>
        <w:rPr>
          <w:rFonts w:ascii="Times New Roman" w:hAnsi="Times New Roman"/>
          <w:b/>
          <w:sz w:val="20"/>
        </w:rPr>
        <w:tab/>
        <w:tab/>
        <w:tab/>
        <w:tab/>
        <w:tab/>
        <w:tab/>
        <w:tab/>
        <w:t>1</w:t>
      </w:r>
    </w:p>
    <w:p>
      <w:pPr>
        <w:spacing w:line="276" w:lineRule="auto" w:after="40"/>
      </w:pPr>
      <w:r>
        <w:rPr>
          <w:rFonts w:ascii="Times New Roman" w:hAnsi="Times New Roman"/>
          <w:sz w:val="20"/>
        </w:rPr>
        <w:t xml:space="preserve">    1.1 Project Overview</w:t>
      </w:r>
      <w:r>
        <w:rPr>
          <w:rFonts w:ascii="Times New Roman" w:hAnsi="Times New Roman"/>
          <w:sz w:val="20"/>
        </w:rPr>
        <w:tab/>
        <w:tab/>
        <w:tab/>
        <w:tab/>
        <w:tab/>
        <w:tab/>
        <w:tab/>
        <w:t>1</w:t>
      </w:r>
    </w:p>
    <w:p>
      <w:pPr>
        <w:spacing w:line="276" w:lineRule="auto" w:after="40"/>
      </w:pPr>
      <w:r>
        <w:rPr>
          <w:rFonts w:ascii="Times New Roman" w:hAnsi="Times New Roman"/>
          <w:sz w:val="20"/>
        </w:rPr>
        <w:t xml:space="preserve">    1.2 Need Analysis</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1.2.1 The 'Smart Mirror' Trap: Enterprise Adoption vs. Defensive Lag</w:t>
      </w:r>
      <w:r>
        <w:rPr>
          <w:rFonts w:ascii="Times New Roman" w:hAnsi="Times New Roman"/>
          <w:sz w:val="20"/>
        </w:rPr>
        <w:tab/>
        <w:tab/>
        <w:tab/>
        <w:tab/>
        <w:tab/>
        <w:tab/>
        <w:tab/>
        <w:t>2</w:t>
      </w:r>
    </w:p>
    <w:p>
      <w:pPr>
        <w:spacing w:line="276" w:lineRule="auto" w:after="40"/>
      </w:pPr>
      <w:r>
        <w:rPr>
          <w:rFonts w:ascii="Times New Roman" w:hAnsi="Times New Roman"/>
          <w:sz w:val="20"/>
        </w:rPr>
        <w:t xml:space="preserve">        1.2.2 The Shift: Machine-Speed Autonomous Warfare</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1.2.3 The 'Shadow Trust' Gap: Vulnerability of the Semantic Layer</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1.2.4 The Dynamic Security Window: Addressing Reactive Lag</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1.3 Research Gaps</w:t>
      </w:r>
      <w:r>
        <w:rPr>
          <w:rFonts w:ascii="Times New Roman" w:hAnsi="Times New Roman"/>
          <w:sz w:val="20"/>
        </w:rPr>
        <w:tab/>
        <w:tab/>
        <w:tab/>
        <w:tab/>
        <w:tab/>
        <w:tab/>
        <w:tab/>
        <w:t>3</w:t>
      </w:r>
    </w:p>
    <w:p>
      <w:pPr>
        <w:spacing w:line="276" w:lineRule="auto" w:after="40"/>
      </w:pPr>
      <w:r>
        <w:rPr>
          <w:rFonts w:ascii="Times New Roman" w:hAnsi="Times New Roman"/>
          <w:sz w:val="20"/>
        </w:rPr>
        <w:t xml:space="preserve">    1.4 Problem Definition and Scope</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1.5 Assumptions and Constraints</w:t>
      </w:r>
      <w:r>
        <w:rPr>
          <w:rFonts w:ascii="Times New Roman" w:hAnsi="Times New Roman"/>
          <w:sz w:val="20"/>
        </w:rPr>
        <w:tab/>
        <w:tab/>
        <w:tab/>
        <w:tab/>
        <w:tab/>
        <w:tab/>
        <w:tab/>
        <w:t>4</w:t>
      </w:r>
    </w:p>
    <w:p>
      <w:pPr>
        <w:spacing w:line="276" w:lineRule="auto" w:after="40"/>
      </w:pPr>
      <w:r>
        <w:rPr>
          <w:rFonts w:ascii="Times New Roman" w:hAnsi="Times New Roman"/>
          <w:sz w:val="20"/>
        </w:rPr>
        <w:t xml:space="preserve">    1.6 Applicable Standards</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1.7 Approved Objectives (Proposal Evaluation)</w:t>
      </w:r>
      <w:r>
        <w:rPr>
          <w:rFonts w:ascii="Times New Roman" w:hAnsi="Times New Roman"/>
          <w:sz w:val="20"/>
        </w:rPr>
        <w:tab/>
        <w:tab/>
        <w:tab/>
        <w:tab/>
        <w:tab/>
        <w:tab/>
        <w:tab/>
        <w:t>5</w:t>
      </w:r>
    </w:p>
    <w:p>
      <w:pPr>
        <w:spacing w:line="276" w:lineRule="auto" w:after="40"/>
      </w:pPr>
      <w:r>
        <w:rPr>
          <w:rFonts w:ascii="Times New Roman" w:hAnsi="Times New Roman"/>
          <w:sz w:val="20"/>
        </w:rPr>
        <w:t xml:space="preserve">    1.8 Methodology Overview (Phases 1 to 4 Scope)</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1.9 Mid-Semester Outcomes and Deliverables</w:t>
      </w:r>
      <w:r>
        <w:rPr>
          <w:rFonts w:ascii="Times New Roman" w:hAnsi="Times New Roman"/>
          <w:sz w:val="20"/>
        </w:rPr>
        <w:tab/>
        <w:tab/>
        <w:tab/>
        <w:tab/>
        <w:tab/>
        <w:tab/>
        <w:tab/>
        <w:t>6</w:t>
      </w:r>
    </w:p>
    <w:p>
      <w:pPr>
        <w:spacing w:line="276" w:lineRule="auto" w:after="40"/>
      </w:pPr>
      <w:r>
        <w:rPr>
          <w:rFonts w:ascii="Times New Roman" w:hAnsi="Times New Roman"/>
          <w:sz w:val="20"/>
        </w:rPr>
        <w:t xml:space="preserve">    1.10 Novelty of Work</w:t>
      </w:r>
      <w:r>
        <w:rPr>
          <w:rFonts w:ascii="Times New Roman" w:hAnsi="Times New Roman"/>
          <w:sz w:val="20"/>
        </w:rPr>
        <w:tab/>
        <w:tab/>
        <w:tab/>
        <w:tab/>
        <w:tab/>
        <w:tab/>
        <w:tab/>
        <w:t>6</w:t>
      </w:r>
    </w:p>
    <w:p>
      <w:pPr>
        <w:spacing w:line="276" w:lineRule="auto" w:after="40"/>
      </w:pPr>
      <w:r>
        <w:rPr>
          <w:rFonts w:ascii="Times New Roman" w:hAnsi="Times New Roman"/>
          <w:b/>
          <w:sz w:val="20"/>
        </w:rPr>
        <w:t>CHAPTER 2: REQUIREMENT ANALYSIS</w:t>
      </w:r>
      <w:r>
        <w:rPr>
          <w:rFonts w:ascii="Times New Roman" w:hAnsi="Times New Roman"/>
          <w:b/>
          <w:sz w:val="20"/>
        </w:rPr>
        <w:tab/>
        <w:tab/>
        <w:tab/>
        <w:tab/>
        <w:tab/>
        <w:tab/>
        <w:tab/>
        <w:t>8</w:t>
      </w:r>
    </w:p>
    <w:p>
      <w:pPr>
        <w:spacing w:line="276" w:lineRule="auto" w:after="40"/>
      </w:pPr>
      <w:r>
        <w:rPr>
          <w:rFonts w:ascii="Times New Roman" w:hAnsi="Times New Roman"/>
          <w:sz w:val="20"/>
        </w:rPr>
        <w:t xml:space="preserve">    2.1 Literature Survey</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2.1.1 Theory Associated With Problem Area</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2.1.2 Existing Systems and Solutions</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2.1.3 Research Findings for Existing Literature</w:t>
      </w:r>
      <w:r>
        <w:rPr>
          <w:rFonts w:ascii="Times New Roman" w:hAnsi="Times New Roman"/>
          <w:sz w:val="20"/>
        </w:rPr>
        <w:tab/>
        <w:tab/>
        <w:tab/>
        <w:tab/>
        <w:tab/>
        <w:tab/>
        <w:tab/>
        <w:t>8</w:t>
      </w:r>
    </w:p>
    <w:p>
      <w:pPr>
        <w:spacing w:line="276" w:lineRule="auto" w:after="40"/>
      </w:pPr>
      <w:r>
        <w:rPr>
          <w:rFonts w:ascii="Times New Roman" w:hAnsi="Times New Roman"/>
          <w:sz w:val="20"/>
        </w:rPr>
        <w:t xml:space="preserve">        2.1.4 Problems Identified in State of the Art</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2.1.5 Survey of Tools and Technologies Used</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 Software Requirement Specification (SRS)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2.2.1 Introduction &amp; Scope</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2.2.2 Overall Product Description &amp; Features</w:t>
      </w:r>
      <w:r>
        <w:rPr>
          <w:rFonts w:ascii="Times New Roman" w:hAnsi="Times New Roman"/>
          <w:sz w:val="20"/>
        </w:rPr>
        <w:tab/>
        <w:tab/>
        <w:tab/>
        <w:tab/>
        <w:tab/>
        <w:tab/>
        <w:tab/>
        <w:t>9</w:t>
      </w:r>
    </w:p>
    <w:p>
      <w:pPr>
        <w:spacing w:line="276" w:lineRule="auto" w:after="40"/>
      </w:pPr>
      <w:r>
        <w:rPr>
          <w:rFonts w:ascii="Times New Roman" w:hAnsi="Times New Roman"/>
          <w:sz w:val="20"/>
        </w:rPr>
        <w:t xml:space="preserve">        2.2.3 External Interface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2.2.4 Non-Functional Requirements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2.3 Cost &amp; Computational Feasibility Analysis</w:t>
      </w:r>
      <w:r>
        <w:rPr>
          <w:rFonts w:ascii="Times New Roman" w:hAnsi="Times New Roman"/>
          <w:sz w:val="20"/>
        </w:rPr>
        <w:tab/>
        <w:tab/>
        <w:tab/>
        <w:tab/>
        <w:tab/>
        <w:tab/>
        <w:tab/>
        <w:t>10</w:t>
      </w:r>
    </w:p>
    <w:p>
      <w:pPr>
        <w:spacing w:line="276" w:lineRule="auto" w:after="40"/>
      </w:pPr>
      <w:r>
        <w:rPr>
          <w:rFonts w:ascii="Times New Roman" w:hAnsi="Times New Roman"/>
          <w:sz w:val="20"/>
        </w:rPr>
        <w:t xml:space="preserve">    2.4 Risk Analysis and Mitigation Strategies</w:t>
      </w:r>
      <w:r>
        <w:rPr>
          <w:rFonts w:ascii="Times New Roman" w:hAnsi="Times New Roman"/>
          <w:sz w:val="20"/>
        </w:rPr>
        <w:tab/>
        <w:tab/>
        <w:tab/>
        <w:tab/>
        <w:tab/>
        <w:tab/>
        <w:tab/>
        <w:t>10</w:t>
      </w:r>
    </w:p>
    <w:p>
      <w:pPr>
        <w:spacing w:line="276" w:lineRule="auto" w:after="40"/>
      </w:pPr>
      <w:r>
        <w:rPr>
          <w:rFonts w:ascii="Times New Roman" w:hAnsi="Times New Roman"/>
          <w:b/>
          <w:sz w:val="20"/>
        </w:rPr>
        <w:t>CHAPTER 3: METHODOLOGY ADOPTED</w:t>
      </w:r>
      <w:r>
        <w:rPr>
          <w:rFonts w:ascii="Times New Roman" w:hAnsi="Times New Roman"/>
          <w:b/>
          <w:sz w:val="20"/>
        </w:rPr>
        <w:tab/>
        <w:tab/>
        <w:tab/>
        <w:tab/>
        <w:tab/>
        <w:tab/>
        <w:tab/>
        <w:t>11</w:t>
      </w:r>
    </w:p>
    <w:p>
      <w:pPr>
        <w:spacing w:line="276" w:lineRule="auto" w:after="40"/>
      </w:pPr>
      <w:r>
        <w:rPr>
          <w:rFonts w:ascii="Times New Roman" w:hAnsi="Times New Roman"/>
          <w:sz w:val="20"/>
        </w:rPr>
        <w:t xml:space="preserve">    3.1 Investigative Techniques &amp; 0.0% FPR Analysis</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3.2 Proposed Solution &amp; Multi-Tier Architecture</w:t>
      </w:r>
      <w:r>
        <w:rPr>
          <w:rFonts w:ascii="Times New Roman" w:hAnsi="Times New Roman"/>
          <w:sz w:val="20"/>
        </w:rPr>
        <w:tab/>
        <w:tab/>
        <w:tab/>
        <w:tab/>
        <w:tab/>
        <w:tab/>
        <w:tab/>
        <w:t>11</w:t>
      </w:r>
    </w:p>
    <w:p>
      <w:pPr>
        <w:spacing w:line="276" w:lineRule="auto" w:after="40"/>
      </w:pPr>
      <w:r>
        <w:rPr>
          <w:rFonts w:ascii="Times New Roman" w:hAnsi="Times New Roman"/>
          <w:sz w:val="20"/>
        </w:rPr>
        <w:t xml:space="preserve">    3.3 Work Breakdown Structure (Phases 1 to 4 Completed)</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3.4 Enterprise Hardware, Software, and Framework Stack</w:t>
      </w:r>
      <w:r>
        <w:rPr>
          <w:rFonts w:ascii="Times New Roman" w:hAnsi="Times New Roman"/>
          <w:sz w:val="20"/>
        </w:rPr>
        <w:tab/>
        <w:tab/>
        <w:tab/>
        <w:tab/>
        <w:tab/>
        <w:tab/>
        <w:tab/>
        <w:t>12</w:t>
      </w:r>
    </w:p>
    <w:p>
      <w:pPr>
        <w:spacing w:line="276" w:lineRule="auto" w:after="40"/>
      </w:pPr>
      <w:r>
        <w:rPr>
          <w:rFonts w:ascii="Times New Roman" w:hAnsi="Times New Roman"/>
          <w:sz w:val="20"/>
        </w:rPr>
        <w:t xml:space="preserve">    3.5 UML Sequence Model for Interception Flow</w:t>
      </w:r>
      <w:r>
        <w:rPr>
          <w:rFonts w:ascii="Times New Roman" w:hAnsi="Times New Roman"/>
          <w:sz w:val="20"/>
        </w:rPr>
        <w:tab/>
        <w:tab/>
        <w:tab/>
        <w:tab/>
        <w:tab/>
        <w:tab/>
        <w:tab/>
        <w:t>13</w:t>
      </w:r>
    </w:p>
    <w:p>
      <w:pPr>
        <w:spacing w:line="276" w:lineRule="auto" w:after="40"/>
      </w:pPr>
      <w:r>
        <w:rPr>
          <w:rFonts w:ascii="Times New Roman" w:hAnsi="Times New Roman"/>
          <w:b/>
          <w:sz w:val="20"/>
        </w:rPr>
        <w:t>CHAPTER 4: DESIGN SPECIFICATIONS</w:t>
      </w:r>
      <w:r>
        <w:rPr>
          <w:rFonts w:ascii="Times New Roman" w:hAnsi="Times New Roman"/>
          <w:b/>
          <w:sz w:val="20"/>
        </w:rPr>
        <w:tab/>
        <w:tab/>
        <w:tab/>
        <w:tab/>
        <w:tab/>
        <w:tab/>
        <w:tab/>
        <w:t>14</w:t>
      </w:r>
    </w:p>
    <w:p>
      <w:pPr>
        <w:spacing w:line="276" w:lineRule="auto" w:after="40"/>
      </w:pPr>
      <w:r>
        <w:rPr>
          <w:rFonts w:ascii="Times New Roman" w:hAnsi="Times New Roman"/>
          <w:sz w:val="20"/>
        </w:rPr>
        <w:t xml:space="preserve">    4.1 System Architecture &amp; Sieve Gateway Flow</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4.2 Threat Taxonomy &amp; Sticky Quarantine State Machine</w:t>
      </w:r>
      <w:r>
        <w:rPr>
          <w:rFonts w:ascii="Times New Roman" w:hAnsi="Times New Roman"/>
          <w:sz w:val="20"/>
        </w:rPr>
        <w:tab/>
        <w:tab/>
        <w:tab/>
        <w:tab/>
        <w:tab/>
        <w:tab/>
        <w:tab/>
        <w:t>14</w:t>
      </w:r>
    </w:p>
    <w:p>
      <w:pPr>
        <w:spacing w:line="276" w:lineRule="auto" w:after="40"/>
      </w:pPr>
      <w:r>
        <w:rPr>
          <w:rFonts w:ascii="Times New Roman" w:hAnsi="Times New Roman"/>
          <w:sz w:val="20"/>
        </w:rPr>
        <w:t xml:space="preserve">    4.3 User Interface Specifications &amp; Designed Surfaces</w:t>
      </w:r>
      <w:r>
        <w:rPr>
          <w:rFonts w:ascii="Times New Roman" w:hAnsi="Times New Roman"/>
          <w:sz w:val="20"/>
        </w:rPr>
        <w:tab/>
        <w:tab/>
        <w:tab/>
        <w:tab/>
        <w:tab/>
        <w:tab/>
        <w:tab/>
        <w:t>15</w:t>
      </w:r>
    </w:p>
    <w:p>
      <w:pPr>
        <w:spacing w:line="276" w:lineRule="auto" w:after="40"/>
      </w:pPr>
      <w:r>
        <w:rPr>
          <w:rFonts w:ascii="Times New Roman" w:hAnsi="Times New Roman"/>
          <w:sz w:val="20"/>
        </w:rPr>
        <w:t xml:space="preserve">    4.4 Working Prototype Execution (Phases 1 to 4 Verified)</w:t>
      </w:r>
      <w:r>
        <w:rPr>
          <w:rFonts w:ascii="Times New Roman" w:hAnsi="Times New Roman"/>
          <w:sz w:val="20"/>
        </w:rPr>
        <w:tab/>
        <w:tab/>
        <w:tab/>
        <w:tab/>
        <w:tab/>
        <w:tab/>
        <w:tab/>
        <w:t>16</w:t>
      </w:r>
    </w:p>
    <w:p>
      <w:pPr>
        <w:spacing w:line="276" w:lineRule="auto" w:after="40"/>
      </w:pPr>
      <w:r>
        <w:rPr>
          <w:rFonts w:ascii="Times New Roman" w:hAnsi="Times New Roman"/>
          <w:b/>
          <w:sz w:val="20"/>
        </w:rPr>
        <w:t>CHAPTER 5: CONCLUSIONS AND FUTURE SCOPE</w:t>
      </w:r>
      <w:r>
        <w:rPr>
          <w:rFonts w:ascii="Times New Roman" w:hAnsi="Times New Roman"/>
          <w:b/>
          <w:sz w:val="20"/>
        </w:rPr>
        <w:tab/>
        <w:tab/>
        <w:tab/>
        <w:tab/>
        <w:tab/>
        <w:tab/>
        <w:tab/>
        <w:t>18</w:t>
      </w:r>
    </w:p>
    <w:p>
      <w:pPr>
        <w:spacing w:line="276" w:lineRule="auto" w:after="40"/>
      </w:pPr>
      <w:r>
        <w:rPr>
          <w:rFonts w:ascii="Times New Roman" w:hAnsi="Times New Roman"/>
          <w:sz w:val="20"/>
        </w:rPr>
        <w:t xml:space="preserve">    5.1 Mid-Semester Accomplishments vs. Approved Objectives</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5.2 Mid-Semester Conclusions &amp; Empirical Reliability</w:t>
      </w:r>
      <w:r>
        <w:rPr>
          <w:rFonts w:ascii="Times New Roman" w:hAnsi="Times New Roman"/>
          <w:sz w:val="20"/>
        </w:rPr>
        <w:tab/>
        <w:tab/>
        <w:tab/>
        <w:tab/>
        <w:tab/>
        <w:tab/>
        <w:tab/>
        <w:t>18</w:t>
      </w:r>
    </w:p>
    <w:p>
      <w:pPr>
        <w:spacing w:line="276" w:lineRule="auto" w:after="40"/>
      </w:pPr>
      <w:r>
        <w:rPr>
          <w:rFonts w:ascii="Times New Roman" w:hAnsi="Times New Roman"/>
          <w:sz w:val="20"/>
        </w:rPr>
        <w:t xml:space="preserve">    5.3 Economic, Social, and Environmental Benefits</w:t>
      </w:r>
      <w:r>
        <w:rPr>
          <w:rFonts w:ascii="Times New Roman" w:hAnsi="Times New Roman"/>
          <w:sz w:val="20"/>
        </w:rPr>
        <w:tab/>
        <w:tab/>
        <w:tab/>
        <w:tab/>
        <w:tab/>
        <w:tab/>
        <w:tab/>
        <w:t>19</w:t>
      </w:r>
    </w:p>
    <w:p>
      <w:pPr>
        <w:spacing w:line="276" w:lineRule="auto" w:after="40"/>
      </w:pPr>
      <w:r>
        <w:rPr>
          <w:rFonts w:ascii="Times New Roman" w:hAnsi="Times New Roman"/>
          <w:sz w:val="20"/>
        </w:rPr>
        <w:t xml:space="preserve">    5.4 Future Work Plan (Phases 5 and 6 Roadmap)</w:t>
      </w:r>
      <w:r>
        <w:rPr>
          <w:rFonts w:ascii="Times New Roman" w:hAnsi="Times New Roman"/>
          <w:sz w:val="20"/>
        </w:rPr>
        <w:tab/>
        <w:tab/>
        <w:tab/>
        <w:tab/>
        <w:tab/>
        <w:tab/>
        <w:tab/>
        <w:t>19</w:t>
      </w:r>
    </w:p>
    <w:p>
      <w:pPr>
        <w:spacing w:line="276" w:lineRule="auto" w:after="40"/>
      </w:pPr>
      <w:r>
        <w:rPr>
          <w:rFonts w:ascii="Times New Roman" w:hAnsi="Times New Roman"/>
          <w:b/>
          <w:sz w:val="20"/>
        </w:rPr>
        <w:t>APPENDIX A: REFERENCES (IEEE Style)</w:t>
      </w:r>
      <w:r>
        <w:rPr>
          <w:rFonts w:ascii="Times New Roman" w:hAnsi="Times New Roman"/>
          <w:b/>
          <w:sz w:val="20"/>
        </w:rPr>
        <w:tab/>
        <w:tab/>
        <w:tab/>
        <w:tab/>
        <w:tab/>
        <w:tab/>
        <w:tab/>
        <w:t>20</w:t>
      </w:r>
    </w:p>
    <w:p>
      <w:pPr>
        <w:spacing w:line="276" w:lineRule="auto" w:after="40"/>
      </w:pPr>
      <w:r>
        <w:rPr>
          <w:rFonts w:ascii="Times New Roman" w:hAnsi="Times New Roman"/>
          <w:b/>
          <w:sz w:val="20"/>
        </w:rPr>
        <w:t>APPENDIX B: PLAGIARISM &amp; AUTHENTICITY STATEMENT</w:t>
      </w:r>
      <w:r>
        <w:rPr>
          <w:rFonts w:ascii="Times New Roman" w:hAnsi="Times New Roman"/>
          <w:b/>
          <w:sz w:val="20"/>
        </w:rPr>
        <w:tab/>
        <w:tab/>
        <w:tab/>
        <w:tab/>
        <w:tab/>
        <w:tab/>
        <w:tab/>
        <w:t>21</w:t>
      </w:r>
    </w:p>
    <w:p>
      <w:r>
        <w:br w:type="page"/>
      </w:r>
    </w:p>
    <w:p>
      <w:pPr>
        <w:keepNext/>
        <w:spacing w:before="240" w:after="120"/>
      </w:pPr>
      <w:r>
        <w:rPr>
          <w:rFonts w:ascii="Times New Roman" w:hAnsi="Times New Roman"/>
          <w:b/>
          <w:color w:val="0F172A"/>
          <w:sz w:val="32"/>
        </w:rPr>
        <w:t>LIST OF TABLES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Table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Table 1.1</w:t>
            </w:r>
          </w:p>
        </w:tc>
        <w:tc>
          <w:tcPr>
            <w:tcW w:type="dxa" w:w="2770"/>
          </w:tcPr>
          <w:p>
            <w:r>
              <w:rPr>
                <w:rFonts w:ascii="Times New Roman" w:hAnsi="Times New Roman"/>
                <w:sz w:val="20"/>
              </w:rPr>
              <w:t>System Assumptions and Engineering Constraints</w:t>
            </w:r>
          </w:p>
        </w:tc>
        <w:tc>
          <w:tcPr>
            <w:tcW w:type="dxa" w:w="2770"/>
          </w:tcPr>
          <w:p>
            <w:r>
              <w:rPr>
                <w:rFonts w:ascii="Times New Roman" w:hAnsi="Times New Roman"/>
                <w:sz w:val="20"/>
              </w:rPr>
              <w:t>5</w:t>
            </w:r>
          </w:p>
        </w:tc>
      </w:tr>
      <w:tr>
        <w:tc>
          <w:tcPr>
            <w:tcW w:type="dxa" w:w="2770"/>
          </w:tcPr>
          <w:p>
            <w:r>
              <w:rPr>
                <w:rFonts w:ascii="Times New Roman" w:hAnsi="Times New Roman"/>
                <w:sz w:val="20"/>
              </w:rPr>
              <w:t>Table 2.1</w:t>
            </w:r>
          </w:p>
        </w:tc>
        <w:tc>
          <w:tcPr>
            <w:tcW w:type="dxa" w:w="2770"/>
          </w:tcPr>
          <w:p>
            <w:r>
              <w:rPr>
                <w:rFonts w:ascii="Times New Roman" w:hAnsi="Times New Roman"/>
                <w:sz w:val="20"/>
              </w:rPr>
              <w:t>Comparative Literature Survey of Generative Honeypot Frameworks</w:t>
            </w:r>
          </w:p>
        </w:tc>
        <w:tc>
          <w:tcPr>
            <w:tcW w:type="dxa" w:w="2770"/>
          </w:tcPr>
          <w:p>
            <w:r>
              <w:rPr>
                <w:rFonts w:ascii="Times New Roman" w:hAnsi="Times New Roman"/>
                <w:sz w:val="20"/>
              </w:rPr>
              <w:t>9</w:t>
            </w:r>
          </w:p>
        </w:tc>
      </w:tr>
      <w:tr>
        <w:tc>
          <w:tcPr>
            <w:tcW w:type="dxa" w:w="2770"/>
          </w:tcPr>
          <w:p>
            <w:r>
              <w:rPr>
                <w:rFonts w:ascii="Times New Roman" w:hAnsi="Times New Roman"/>
                <w:sz w:val="20"/>
              </w:rPr>
              <w:t>Table 2.2</w:t>
            </w:r>
          </w:p>
        </w:tc>
        <w:tc>
          <w:tcPr>
            <w:tcW w:type="dxa" w:w="2770"/>
          </w:tcPr>
          <w:p>
            <w:r>
              <w:rPr>
                <w:rFonts w:ascii="Times New Roman" w:hAnsi="Times New Roman"/>
                <w:sz w:val="20"/>
              </w:rPr>
              <w:t>Computational Resource Feasibility &amp; Cloud Cost Comparison</w:t>
            </w:r>
          </w:p>
        </w:tc>
        <w:tc>
          <w:tcPr>
            <w:tcW w:type="dxa" w:w="2770"/>
          </w:tcPr>
          <w:p>
            <w:r>
              <w:rPr>
                <w:rFonts w:ascii="Times New Roman" w:hAnsi="Times New Roman"/>
                <w:sz w:val="20"/>
              </w:rPr>
              <w:t>10</w:t>
            </w:r>
          </w:p>
        </w:tc>
      </w:tr>
      <w:tr>
        <w:tc>
          <w:tcPr>
            <w:tcW w:type="dxa" w:w="2770"/>
          </w:tcPr>
          <w:p>
            <w:r>
              <w:rPr>
                <w:rFonts w:ascii="Times New Roman" w:hAnsi="Times New Roman"/>
                <w:sz w:val="20"/>
              </w:rPr>
              <w:t>Table 2.3</w:t>
            </w:r>
          </w:p>
        </w:tc>
        <w:tc>
          <w:tcPr>
            <w:tcW w:type="dxa" w:w="2770"/>
          </w:tcPr>
          <w:p>
            <w:r>
              <w:rPr>
                <w:rFonts w:ascii="Times New Roman" w:hAnsi="Times New Roman"/>
                <w:sz w:val="20"/>
              </w:rPr>
              <w:t>Risk Assessment Matrix and Fail-Closed Mitigation Controls</w:t>
            </w:r>
          </w:p>
        </w:tc>
        <w:tc>
          <w:tcPr>
            <w:tcW w:type="dxa" w:w="2770"/>
          </w:tcPr>
          <w:p>
            <w:r>
              <w:rPr>
                <w:rFonts w:ascii="Times New Roman" w:hAnsi="Times New Roman"/>
                <w:sz w:val="20"/>
              </w:rPr>
              <w:t>10</w:t>
            </w:r>
          </w:p>
        </w:tc>
      </w:tr>
      <w:tr>
        <w:tc>
          <w:tcPr>
            <w:tcW w:type="dxa" w:w="2770"/>
          </w:tcPr>
          <w:p>
            <w:r>
              <w:rPr>
                <w:rFonts w:ascii="Times New Roman" w:hAnsi="Times New Roman"/>
                <w:sz w:val="20"/>
              </w:rPr>
              <w:t>Table 3.1</w:t>
            </w:r>
          </w:p>
        </w:tc>
        <w:tc>
          <w:tcPr>
            <w:tcW w:type="dxa" w:w="2770"/>
          </w:tcPr>
          <w:p>
            <w:r>
              <w:rPr>
                <w:rFonts w:ascii="Times New Roman" w:hAnsi="Times New Roman"/>
                <w:sz w:val="20"/>
              </w:rPr>
              <w:t>Classification and Justification of Investigative Research Techniques</w:t>
            </w:r>
          </w:p>
        </w:tc>
        <w:tc>
          <w:tcPr>
            <w:tcW w:type="dxa" w:w="2770"/>
          </w:tcPr>
          <w:p>
            <w:r>
              <w:rPr>
                <w:rFonts w:ascii="Times New Roman" w:hAnsi="Times New Roman"/>
                <w:sz w:val="20"/>
              </w:rPr>
              <w:t>11</w:t>
            </w:r>
          </w:p>
        </w:tc>
      </w:tr>
      <w:tr>
        <w:tc>
          <w:tcPr>
            <w:tcW w:type="dxa" w:w="2770"/>
          </w:tcPr>
          <w:p>
            <w:r>
              <w:rPr>
                <w:rFonts w:ascii="Times New Roman" w:hAnsi="Times New Roman"/>
                <w:sz w:val="20"/>
              </w:rPr>
              <w:t>Table 3.2</w:t>
            </w:r>
          </w:p>
        </w:tc>
        <w:tc>
          <w:tcPr>
            <w:tcW w:type="dxa" w:w="2770"/>
          </w:tcPr>
          <w:p>
            <w:r>
              <w:rPr>
                <w:rFonts w:ascii="Times New Roman" w:hAnsi="Times New Roman"/>
                <w:sz w:val="20"/>
              </w:rPr>
              <w:t>Honey-LLM Technology and Framework Specifications</w:t>
            </w:r>
          </w:p>
        </w:tc>
        <w:tc>
          <w:tcPr>
            <w:tcW w:type="dxa" w:w="2770"/>
          </w:tcPr>
          <w:p>
            <w:r>
              <w:rPr>
                <w:rFonts w:ascii="Times New Roman" w:hAnsi="Times New Roman"/>
                <w:sz w:val="20"/>
              </w:rPr>
              <w:t>13</w:t>
            </w:r>
          </w:p>
        </w:tc>
      </w:tr>
      <w:tr>
        <w:tc>
          <w:tcPr>
            <w:tcW w:type="dxa" w:w="2770"/>
          </w:tcPr>
          <w:p>
            <w:r>
              <w:rPr>
                <w:rFonts w:ascii="Times New Roman" w:hAnsi="Times New Roman"/>
                <w:sz w:val="20"/>
              </w:rPr>
              <w:t>Table 4.1</w:t>
            </w:r>
          </w:p>
        </w:tc>
        <w:tc>
          <w:tcPr>
            <w:tcW w:type="dxa" w:w="2770"/>
          </w:tcPr>
          <w:p>
            <w:r>
              <w:rPr>
                <w:rFonts w:ascii="Times New Roman" w:hAnsi="Times New Roman"/>
                <w:sz w:val="20"/>
              </w:rPr>
              <w:t>Adversarial Threat Taxonomy Mappings and Severity Classification</w:t>
            </w:r>
          </w:p>
        </w:tc>
        <w:tc>
          <w:tcPr>
            <w:tcW w:type="dxa" w:w="2770"/>
          </w:tcPr>
          <w:p>
            <w:r>
              <w:rPr>
                <w:rFonts w:ascii="Times New Roman" w:hAnsi="Times New Roman"/>
                <w:sz w:val="20"/>
              </w:rPr>
              <w:t>14</w:t>
            </w:r>
          </w:p>
        </w:tc>
      </w:tr>
      <w:tr>
        <w:tc>
          <w:tcPr>
            <w:tcW w:type="dxa" w:w="2770"/>
          </w:tcPr>
          <w:p>
            <w:r>
              <w:rPr>
                <w:rFonts w:ascii="Times New Roman" w:hAnsi="Times New Roman"/>
                <w:sz w:val="20"/>
              </w:rPr>
              <w:t>Table 4.2</w:t>
            </w:r>
          </w:p>
        </w:tc>
        <w:tc>
          <w:tcPr>
            <w:tcW w:type="dxa" w:w="2770"/>
          </w:tcPr>
          <w:p>
            <w:r>
              <w:rPr>
                <w:rFonts w:ascii="Times New Roman" w:hAnsi="Times New Roman"/>
                <w:sz w:val="20"/>
              </w:rPr>
              <w:t>Sandbox Container Breakout Penetration Test Results (5/5 Isolation)</w:t>
            </w:r>
          </w:p>
        </w:tc>
        <w:tc>
          <w:tcPr>
            <w:tcW w:type="dxa" w:w="2770"/>
          </w:tcPr>
          <w:p>
            <w:r>
              <w:rPr>
                <w:rFonts w:ascii="Times New Roman" w:hAnsi="Times New Roman"/>
                <w:sz w:val="20"/>
              </w:rPr>
              <w:t>16</w:t>
            </w:r>
          </w:p>
        </w:tc>
      </w:tr>
      <w:tr>
        <w:tc>
          <w:tcPr>
            <w:tcW w:type="dxa" w:w="2770"/>
          </w:tcPr>
          <w:p>
            <w:r>
              <w:rPr>
                <w:rFonts w:ascii="Times New Roman" w:hAnsi="Times New Roman"/>
                <w:sz w:val="20"/>
              </w:rPr>
              <w:t>Table 5.1</w:t>
            </w:r>
          </w:p>
        </w:tc>
        <w:tc>
          <w:tcPr>
            <w:tcW w:type="dxa" w:w="2770"/>
          </w:tcPr>
          <w:p>
            <w:r>
              <w:rPr>
                <w:rFonts w:ascii="Times New Roman" w:hAnsi="Times New Roman"/>
                <w:sz w:val="20"/>
              </w:rPr>
              <w:t>Mid-Semester Mapping of Approved Objectives to Implemented Progress</w:t>
            </w:r>
          </w:p>
        </w:tc>
        <w:tc>
          <w:tcPr>
            <w:tcW w:type="dxa" w:w="2770"/>
          </w:tcPr>
          <w:p>
            <w:r>
              <w:rPr>
                <w:rFonts w:ascii="Times New Roman" w:hAnsi="Times New Roman"/>
                <w:sz w:val="20"/>
              </w:rPr>
              <w:t>18</w:t>
            </w:r>
          </w:p>
        </w:tc>
      </w:tr>
      <w:tr>
        <w:tc>
          <w:tcPr>
            <w:tcW w:type="dxa" w:w="2770"/>
          </w:tcPr>
          <w:p>
            <w:r>
              <w:rPr>
                <w:rFonts w:ascii="Times New Roman" w:hAnsi="Times New Roman"/>
                <w:sz w:val="20"/>
              </w:rPr>
              <w:t>Table 5.2</w:t>
            </w:r>
          </w:p>
        </w:tc>
        <w:tc>
          <w:tcPr>
            <w:tcW w:type="dxa" w:w="2770"/>
          </w:tcPr>
          <w:p>
            <w:r>
              <w:rPr>
                <w:rFonts w:ascii="Times New Roman" w:hAnsi="Times New Roman"/>
                <w:sz w:val="20"/>
              </w:rPr>
              <w:t>Intent Sieve Benchmark Evaluation on In-The-Wild Adversarial Datasets</w:t>
            </w:r>
          </w:p>
        </w:tc>
        <w:tc>
          <w:tcPr>
            <w:tcW w:type="dxa" w:w="2770"/>
          </w:tcPr>
          <w:p>
            <w:r>
              <w:rPr>
                <w:rFonts w:ascii="Times New Roman" w:hAnsi="Times New Roman"/>
                <w:sz w:val="20"/>
              </w:rPr>
              <w:t>19</w:t>
            </w:r>
          </w:p>
        </w:tc>
      </w:tr>
    </w:tbl>
    <w:p>
      <w:r>
        <w:br w:type="page"/>
      </w:r>
    </w:p>
    <w:p>
      <w:pPr>
        <w:keepNext/>
        <w:spacing w:before="240" w:after="120"/>
      </w:pPr>
      <w:r>
        <w:rPr>
          <w:rFonts w:ascii="Times New Roman" w:hAnsi="Times New Roman"/>
          <w:b/>
          <w:color w:val="0F172A"/>
          <w:sz w:val="32"/>
        </w:rPr>
        <w:t>LIST OF FIGURES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Figure No.</w:t>
            </w:r>
          </w:p>
        </w:tc>
        <w:tc>
          <w:tcPr>
            <w:tcW w:type="dxa" w:w="2770"/>
            <w:shd w:fill="F1F5F9"/>
          </w:tcPr>
          <w:p>
            <w:r>
              <w:rPr>
                <w:b/>
              </w:rPr>
              <w:t>Caption</w:t>
            </w:r>
          </w:p>
        </w:tc>
        <w:tc>
          <w:tcPr>
            <w:tcW w:type="dxa" w:w="2770"/>
            <w:shd w:fill="F1F5F9"/>
          </w:tcPr>
          <w:p>
            <w:r>
              <w:rPr>
                <w:b/>
              </w:rPr>
              <w:t>Page No.</w:t>
            </w:r>
          </w:p>
        </w:tc>
      </w:tr>
      <w:tr>
        <w:tc>
          <w:tcPr>
            <w:tcW w:type="dxa" w:w="2770"/>
          </w:tcPr>
          <w:p>
            <w:r>
              <w:rPr>
                <w:rFonts w:ascii="Times New Roman" w:hAnsi="Times New Roman"/>
                <w:sz w:val="20"/>
              </w:rPr>
              <w:t>Figure 1.1</w:t>
            </w:r>
          </w:p>
        </w:tc>
        <w:tc>
          <w:tcPr>
            <w:tcW w:type="dxa" w:w="2770"/>
          </w:tcPr>
          <w:p>
            <w:r>
              <w:rPr>
                <w:rFonts w:ascii="Times New Roman" w:hAnsi="Times New Roman"/>
                <w:sz w:val="20"/>
              </w:rPr>
              <w:t>Honey-LLM Multi-Tier Routing and Decision Gateway Architecture</w:t>
            </w:r>
          </w:p>
        </w:tc>
        <w:tc>
          <w:tcPr>
            <w:tcW w:type="dxa" w:w="2770"/>
          </w:tcPr>
          <w:p>
            <w:r>
              <w:rPr>
                <w:rFonts w:ascii="Times New Roman" w:hAnsi="Times New Roman"/>
                <w:sz w:val="20"/>
              </w:rPr>
              <w:t>7</w:t>
            </w:r>
          </w:p>
        </w:tc>
      </w:tr>
      <w:tr>
        <w:tc>
          <w:tcPr>
            <w:tcW w:type="dxa" w:w="2770"/>
          </w:tcPr>
          <w:p>
            <w:r>
              <w:rPr>
                <w:rFonts w:ascii="Times New Roman" w:hAnsi="Times New Roman"/>
                <w:sz w:val="20"/>
              </w:rPr>
              <w:t>Figure 3.1</w:t>
            </w:r>
          </w:p>
        </w:tc>
        <w:tc>
          <w:tcPr>
            <w:tcW w:type="dxa" w:w="2770"/>
          </w:tcPr>
          <w:p>
            <w:r>
              <w:rPr>
                <w:rFonts w:ascii="Times New Roman" w:hAnsi="Times New Roman"/>
                <w:sz w:val="20"/>
              </w:rPr>
              <w:t>UML Sequence Diagram for Multi-Tier Request Interception &amp; Deception</w:t>
            </w:r>
          </w:p>
        </w:tc>
        <w:tc>
          <w:tcPr>
            <w:tcW w:type="dxa" w:w="2770"/>
          </w:tcPr>
          <w:p>
            <w:r>
              <w:rPr>
                <w:rFonts w:ascii="Times New Roman" w:hAnsi="Times New Roman"/>
                <w:sz w:val="20"/>
              </w:rPr>
              <w:t>13</w:t>
            </w:r>
          </w:p>
        </w:tc>
      </w:tr>
      <w:tr>
        <w:tc>
          <w:tcPr>
            <w:tcW w:type="dxa" w:w="2770"/>
          </w:tcPr>
          <w:p>
            <w:r>
              <w:rPr>
                <w:rFonts w:ascii="Times New Roman" w:hAnsi="Times New Roman"/>
                <w:sz w:val="20"/>
              </w:rPr>
              <w:t>Figure 4.1</w:t>
            </w:r>
          </w:p>
        </w:tc>
        <w:tc>
          <w:tcPr>
            <w:tcW w:type="dxa" w:w="2770"/>
          </w:tcPr>
          <w:p>
            <w:r>
              <w:rPr>
                <w:rFonts w:ascii="Times New Roman" w:hAnsi="Times New Roman"/>
                <w:sz w:val="20"/>
              </w:rPr>
              <w:t>UML State Machine Diagram for Session Quarantine &amp; Self-Healing Loop</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4.2</w:t>
            </w:r>
          </w:p>
        </w:tc>
        <w:tc>
          <w:tcPr>
            <w:tcW w:type="dxa" w:w="2770"/>
          </w:tcPr>
          <w:p>
            <w:r>
              <w:rPr>
                <w:rFonts w:ascii="Times New Roman" w:hAnsi="Times New Roman"/>
                <w:sz w:val="20"/>
              </w:rPr>
              <w:t>NexTel Production Customer Support Interface (/chat)</w:t>
            </w:r>
          </w:p>
        </w:tc>
        <w:tc>
          <w:tcPr>
            <w:tcW w:type="dxa" w:w="2770"/>
          </w:tcPr>
          <w:p>
            <w:r>
              <w:rPr>
                <w:rFonts w:ascii="Times New Roman" w:hAnsi="Times New Roman"/>
                <w:sz w:val="20"/>
              </w:rPr>
              <w:t>15</w:t>
            </w:r>
          </w:p>
        </w:tc>
      </w:tr>
      <w:tr>
        <w:tc>
          <w:tcPr>
            <w:tcW w:type="dxa" w:w="2770"/>
          </w:tcPr>
          <w:p>
            <w:r>
              <w:rPr>
                <w:rFonts w:ascii="Times New Roman" w:hAnsi="Times New Roman"/>
                <w:sz w:val="20"/>
              </w:rPr>
              <w:t>Figure 4.3</w:t>
            </w:r>
          </w:p>
        </w:tc>
        <w:tc>
          <w:tcPr>
            <w:tcW w:type="dxa" w:w="2770"/>
          </w:tcPr>
          <w:p>
            <w:r>
              <w:rPr>
                <w:rFonts w:ascii="Times New Roman" w:hAnsi="Times New Roman"/>
                <w:sz w:val="20"/>
              </w:rPr>
              <w:t>Honey-LLM Admin Live Sieve Decision Tracer (/admin)</w:t>
            </w:r>
          </w:p>
        </w:tc>
        <w:tc>
          <w:tcPr>
            <w:tcW w:type="dxa" w:w="2770"/>
          </w:tcPr>
          <w:p>
            <w:r>
              <w:rPr>
                <w:rFonts w:ascii="Times New Roman" w:hAnsi="Times New Roman"/>
                <w:sz w:val="20"/>
              </w:rPr>
              <w:t>16</w:t>
            </w:r>
          </w:p>
        </w:tc>
      </w:tr>
      <w:tr>
        <w:tc>
          <w:tcPr>
            <w:tcW w:type="dxa" w:w="2770"/>
          </w:tcPr>
          <w:p>
            <w:r>
              <w:rPr>
                <w:rFonts w:ascii="Times New Roman" w:hAnsi="Times New Roman"/>
                <w:sz w:val="20"/>
              </w:rPr>
              <w:t>Figure 4.4</w:t>
            </w:r>
          </w:p>
        </w:tc>
        <w:tc>
          <w:tcPr>
            <w:tcW w:type="dxa" w:w="2770"/>
          </w:tcPr>
          <w:p>
            <w:r>
              <w:rPr>
                <w:rFonts w:ascii="Times New Roman" w:hAnsi="Times New Roman"/>
                <w:sz w:val="20"/>
              </w:rPr>
              <w:t>Dark SOC Real-Time Threat Intelligence Dashboard (/dashboard)</w:t>
            </w:r>
          </w:p>
        </w:tc>
        <w:tc>
          <w:tcPr>
            <w:tcW w:type="dxa" w:w="2770"/>
          </w:tcPr>
          <w:p>
            <w:r>
              <w:rPr>
                <w:rFonts w:ascii="Times New Roman" w:hAnsi="Times New Roman"/>
                <w:sz w:val="20"/>
              </w:rPr>
              <w:t>17</w:t>
            </w:r>
          </w:p>
        </w:tc>
      </w:tr>
    </w:tbl>
    <w:p>
      <w:r>
        <w:br w:type="page"/>
      </w:r>
    </w:p>
    <w:p>
      <w:pPr>
        <w:keepNext/>
        <w:spacing w:before="240" w:after="120"/>
      </w:pPr>
      <w:r>
        <w:rPr>
          <w:rFonts w:ascii="Times New Roman" w:hAnsi="Times New Roman"/>
          <w:b/>
          <w:color w:val="0F172A"/>
          <w:sz w:val="32"/>
        </w:rPr>
        <w:t>LIST OF ABBREVIATIONS</w:t>
      </w:r>
    </w:p>
    <w:tbl>
      <w:tblPr>
        <w:tblW w:type="auto" w:w="0"/>
        <w:jc w:val="center"/>
        <w:tblLook w:firstColumn="1" w:firstRow="1" w:lastColumn="0" w:lastRow="0" w:noHBand="0" w:noVBand="1" w:val="04A0"/>
      </w:tblPr>
      <w:tblGrid>
        <w:gridCol w:w="4154"/>
        <w:gridCol w:w="4154"/>
      </w:tblGrid>
      <w:tr>
        <w:tc>
          <w:tcPr>
            <w:tcW w:type="dxa" w:w="4154"/>
            <w:shd w:fill="F1F5F9"/>
          </w:tcPr>
          <w:p>
            <w:r>
              <w:rPr>
                <w:b/>
              </w:rPr>
              <w:t>Abbreviation</w:t>
            </w:r>
          </w:p>
        </w:tc>
        <w:tc>
          <w:tcPr>
            <w:tcW w:type="dxa" w:w="4154"/>
            <w:shd w:fill="F1F5F9"/>
          </w:tcPr>
          <w:p>
            <w:r>
              <w:rPr>
                <w:b/>
              </w:rPr>
              <w:t>Full Expansion / Description</w:t>
            </w:r>
          </w:p>
        </w:tc>
      </w:tr>
      <w:tr>
        <w:tc>
          <w:tcPr>
            <w:tcW w:type="dxa" w:w="4154"/>
          </w:tcPr>
          <w:p>
            <w:r>
              <w:rPr>
                <w:rFonts w:ascii="Times New Roman" w:hAnsi="Times New Roman"/>
                <w:sz w:val="20"/>
              </w:rPr>
              <w:t>AI</w:t>
            </w:r>
          </w:p>
        </w:tc>
        <w:tc>
          <w:tcPr>
            <w:tcW w:type="dxa" w:w="4154"/>
          </w:tcPr>
          <w:p>
            <w:r>
              <w:rPr>
                <w:rFonts w:ascii="Times New Roman" w:hAnsi="Times New Roman"/>
                <w:sz w:val="20"/>
              </w:rPr>
              <w:t>Artificial Intelligence</w:t>
            </w:r>
          </w:p>
        </w:tc>
      </w:tr>
      <w:tr>
        <w:tc>
          <w:tcPr>
            <w:tcW w:type="dxa" w:w="4154"/>
          </w:tcPr>
          <w:p>
            <w:r>
              <w:rPr>
                <w:rFonts w:ascii="Times New Roman" w:hAnsi="Times New Roman"/>
                <w:sz w:val="20"/>
              </w:rPr>
              <w:t>LLM</w:t>
            </w:r>
          </w:p>
        </w:tc>
        <w:tc>
          <w:tcPr>
            <w:tcW w:type="dxa" w:w="4154"/>
          </w:tcPr>
          <w:p>
            <w:r>
              <w:rPr>
                <w:rFonts w:ascii="Times New Roman" w:hAnsi="Times New Roman"/>
                <w:sz w:val="20"/>
              </w:rPr>
              <w:t>Large Language Model</w:t>
            </w:r>
          </w:p>
        </w:tc>
      </w:tr>
      <w:tr>
        <w:tc>
          <w:tcPr>
            <w:tcW w:type="dxa" w:w="4154"/>
          </w:tcPr>
          <w:p>
            <w:r>
              <w:rPr>
                <w:rFonts w:ascii="Times New Roman" w:hAnsi="Times New Roman"/>
                <w:sz w:val="20"/>
              </w:rPr>
              <w:t>SLM</w:t>
            </w:r>
          </w:p>
        </w:tc>
        <w:tc>
          <w:tcPr>
            <w:tcW w:type="dxa" w:w="4154"/>
          </w:tcPr>
          <w:p>
            <w:r>
              <w:rPr>
                <w:rFonts w:ascii="Times New Roman" w:hAnsi="Times New Roman"/>
                <w:sz w:val="20"/>
              </w:rPr>
              <w:t>Small Language Model</w:t>
            </w:r>
          </w:p>
        </w:tc>
      </w:tr>
      <w:tr>
        <w:tc>
          <w:tcPr>
            <w:tcW w:type="dxa" w:w="4154"/>
          </w:tcPr>
          <w:p>
            <w:r>
              <w:rPr>
                <w:rFonts w:ascii="Times New Roman" w:hAnsi="Times New Roman"/>
                <w:sz w:val="20"/>
              </w:rPr>
              <w:t>RAG</w:t>
            </w:r>
          </w:p>
        </w:tc>
        <w:tc>
          <w:tcPr>
            <w:tcW w:type="dxa" w:w="4154"/>
          </w:tcPr>
          <w:p>
            <w:r>
              <w:rPr>
                <w:rFonts w:ascii="Times New Roman" w:hAnsi="Times New Roman"/>
                <w:sz w:val="20"/>
              </w:rPr>
              <w:t>Retrieval-Augmented Generation</w:t>
            </w:r>
          </w:p>
        </w:tc>
      </w:tr>
      <w:tr>
        <w:tc>
          <w:tcPr>
            <w:tcW w:type="dxa" w:w="4154"/>
          </w:tcPr>
          <w:p>
            <w:r>
              <w:rPr>
                <w:rFonts w:ascii="Times New Roman" w:hAnsi="Times New Roman"/>
                <w:sz w:val="20"/>
              </w:rPr>
              <w:t>WAF</w:t>
            </w:r>
          </w:p>
        </w:tc>
        <w:tc>
          <w:tcPr>
            <w:tcW w:type="dxa" w:w="4154"/>
          </w:tcPr>
          <w:p>
            <w:r>
              <w:rPr>
                <w:rFonts w:ascii="Times New Roman" w:hAnsi="Times New Roman"/>
                <w:sz w:val="20"/>
              </w:rPr>
              <w:t>Web Application Firewall</w:t>
            </w:r>
          </w:p>
        </w:tc>
      </w:tr>
      <w:tr>
        <w:tc>
          <w:tcPr>
            <w:tcW w:type="dxa" w:w="4154"/>
          </w:tcPr>
          <w:p>
            <w:r>
              <w:rPr>
                <w:rFonts w:ascii="Times New Roman" w:hAnsi="Times New Roman"/>
                <w:sz w:val="20"/>
              </w:rPr>
              <w:t>SOC</w:t>
            </w:r>
          </w:p>
        </w:tc>
        <w:tc>
          <w:tcPr>
            <w:tcW w:type="dxa" w:w="4154"/>
          </w:tcPr>
          <w:p>
            <w:r>
              <w:rPr>
                <w:rFonts w:ascii="Times New Roman" w:hAnsi="Times New Roman"/>
                <w:sz w:val="20"/>
              </w:rPr>
              <w:t>Security Operations Center</w:t>
            </w:r>
          </w:p>
        </w:tc>
      </w:tr>
      <w:tr>
        <w:tc>
          <w:tcPr>
            <w:tcW w:type="dxa" w:w="4154"/>
          </w:tcPr>
          <w:p>
            <w:r>
              <w:rPr>
                <w:rFonts w:ascii="Times New Roman" w:hAnsi="Times New Roman"/>
                <w:sz w:val="20"/>
              </w:rPr>
              <w:t>FPR</w:t>
            </w:r>
          </w:p>
        </w:tc>
        <w:tc>
          <w:tcPr>
            <w:tcW w:type="dxa" w:w="4154"/>
          </w:tcPr>
          <w:p>
            <w:r>
              <w:rPr>
                <w:rFonts w:ascii="Times New Roman" w:hAnsi="Times New Roman"/>
                <w:sz w:val="20"/>
              </w:rPr>
              <w:t>False Positive Rate</w:t>
            </w:r>
          </w:p>
        </w:tc>
      </w:tr>
      <w:tr>
        <w:tc>
          <w:tcPr>
            <w:tcW w:type="dxa" w:w="4154"/>
          </w:tcPr>
          <w:p>
            <w:r>
              <w:rPr>
                <w:rFonts w:ascii="Times New Roman" w:hAnsi="Times New Roman"/>
                <w:sz w:val="20"/>
              </w:rPr>
              <w:t>FNR</w:t>
            </w:r>
          </w:p>
        </w:tc>
        <w:tc>
          <w:tcPr>
            <w:tcW w:type="dxa" w:w="4154"/>
          </w:tcPr>
          <w:p>
            <w:r>
              <w:rPr>
                <w:rFonts w:ascii="Times New Roman" w:hAnsi="Times New Roman"/>
                <w:sz w:val="20"/>
              </w:rPr>
              <w:t>False Negative Rate</w:t>
            </w:r>
          </w:p>
        </w:tc>
      </w:tr>
      <w:tr>
        <w:tc>
          <w:tcPr>
            <w:tcW w:type="dxa" w:w="4154"/>
          </w:tcPr>
          <w:p>
            <w:r>
              <w:rPr>
                <w:rFonts w:ascii="Times New Roman" w:hAnsi="Times New Roman"/>
                <w:sz w:val="20"/>
              </w:rPr>
              <w:t>OWASP</w:t>
            </w:r>
          </w:p>
        </w:tc>
        <w:tc>
          <w:tcPr>
            <w:tcW w:type="dxa" w:w="4154"/>
          </w:tcPr>
          <w:p>
            <w:r>
              <w:rPr>
                <w:rFonts w:ascii="Times New Roman" w:hAnsi="Times New Roman"/>
                <w:sz w:val="20"/>
              </w:rPr>
              <w:t>Open Worldwide Application Security Project</w:t>
            </w:r>
          </w:p>
        </w:tc>
      </w:tr>
      <w:tr>
        <w:tc>
          <w:tcPr>
            <w:tcW w:type="dxa" w:w="4154"/>
          </w:tcPr>
          <w:p>
            <w:r>
              <w:rPr>
                <w:rFonts w:ascii="Times New Roman" w:hAnsi="Times New Roman"/>
                <w:sz w:val="20"/>
              </w:rPr>
              <w:t>NeMo</w:t>
            </w:r>
          </w:p>
        </w:tc>
        <w:tc>
          <w:tcPr>
            <w:tcW w:type="dxa" w:w="4154"/>
          </w:tcPr>
          <w:p>
            <w:r>
              <w:rPr>
                <w:rFonts w:ascii="Times New Roman" w:hAnsi="Times New Roman"/>
                <w:sz w:val="20"/>
              </w:rPr>
              <w:t>Neural Modules (NVIDIA Conversational AI &amp; Guardrails Framework)</w:t>
            </w:r>
          </w:p>
        </w:tc>
      </w:tr>
      <w:tr>
        <w:tc>
          <w:tcPr>
            <w:tcW w:type="dxa" w:w="4154"/>
          </w:tcPr>
          <w:p>
            <w:r>
              <w:rPr>
                <w:rFonts w:ascii="Times New Roman" w:hAnsi="Times New Roman"/>
                <w:sz w:val="20"/>
              </w:rPr>
              <w:t>TF-IDF</w:t>
            </w:r>
          </w:p>
        </w:tc>
        <w:tc>
          <w:tcPr>
            <w:tcW w:type="dxa" w:w="4154"/>
          </w:tcPr>
          <w:p>
            <w:r>
              <w:rPr>
                <w:rFonts w:ascii="Times New Roman" w:hAnsi="Times New Roman"/>
                <w:sz w:val="20"/>
              </w:rPr>
              <w:t>Term Frequency – Inverse Document Frequency</w:t>
            </w:r>
          </w:p>
        </w:tc>
      </w:tr>
      <w:tr>
        <w:tc>
          <w:tcPr>
            <w:tcW w:type="dxa" w:w="4154"/>
          </w:tcPr>
          <w:p>
            <w:r>
              <w:rPr>
                <w:rFonts w:ascii="Times New Roman" w:hAnsi="Times New Roman"/>
                <w:sz w:val="20"/>
              </w:rPr>
              <w:t>API</w:t>
            </w:r>
          </w:p>
        </w:tc>
        <w:tc>
          <w:tcPr>
            <w:tcW w:type="dxa" w:w="4154"/>
          </w:tcPr>
          <w:p>
            <w:r>
              <w:rPr>
                <w:rFonts w:ascii="Times New Roman" w:hAnsi="Times New Roman"/>
                <w:sz w:val="20"/>
              </w:rPr>
              <w:t>Application Programming Interface</w:t>
            </w:r>
          </w:p>
        </w:tc>
      </w:tr>
      <w:tr>
        <w:tc>
          <w:tcPr>
            <w:tcW w:type="dxa" w:w="4154"/>
          </w:tcPr>
          <w:p>
            <w:r>
              <w:rPr>
                <w:rFonts w:ascii="Times New Roman" w:hAnsi="Times New Roman"/>
                <w:sz w:val="20"/>
              </w:rPr>
              <w:t>REST</w:t>
            </w:r>
          </w:p>
        </w:tc>
        <w:tc>
          <w:tcPr>
            <w:tcW w:type="dxa" w:w="4154"/>
          </w:tcPr>
          <w:p>
            <w:r>
              <w:rPr>
                <w:rFonts w:ascii="Times New Roman" w:hAnsi="Times New Roman"/>
                <w:sz w:val="20"/>
              </w:rPr>
              <w:t>Representational State Transfer</w:t>
            </w:r>
          </w:p>
        </w:tc>
      </w:tr>
      <w:tr>
        <w:tc>
          <w:tcPr>
            <w:tcW w:type="dxa" w:w="4154"/>
          </w:tcPr>
          <w:p>
            <w:r>
              <w:rPr>
                <w:rFonts w:ascii="Times New Roman" w:hAnsi="Times New Roman"/>
                <w:sz w:val="20"/>
              </w:rPr>
              <w:t>JSONL</w:t>
            </w:r>
          </w:p>
        </w:tc>
        <w:tc>
          <w:tcPr>
            <w:tcW w:type="dxa" w:w="4154"/>
          </w:tcPr>
          <w:p>
            <w:r>
              <w:rPr>
                <w:rFonts w:ascii="Times New Roman" w:hAnsi="Times New Roman"/>
                <w:sz w:val="20"/>
              </w:rPr>
              <w:t>JavaScript Object Notation Lines</w:t>
            </w:r>
          </w:p>
        </w:tc>
      </w:tr>
      <w:tr>
        <w:tc>
          <w:tcPr>
            <w:tcW w:type="dxa" w:w="4154"/>
          </w:tcPr>
          <w:p>
            <w:r>
              <w:rPr>
                <w:rFonts w:ascii="Times New Roman" w:hAnsi="Times New Roman"/>
                <w:sz w:val="20"/>
              </w:rPr>
              <w:t>PyRIT</w:t>
            </w:r>
          </w:p>
        </w:tc>
        <w:tc>
          <w:tcPr>
            <w:tcW w:type="dxa" w:w="4154"/>
          </w:tcPr>
          <w:p>
            <w:r>
              <w:rPr>
                <w:rFonts w:ascii="Times New Roman" w:hAnsi="Times New Roman"/>
                <w:sz w:val="20"/>
              </w:rPr>
              <w:t>Python Risk Identification Tool for Generative AI (Microsoft)</w:t>
            </w:r>
          </w:p>
        </w:tc>
      </w:tr>
      <w:tr>
        <w:tc>
          <w:tcPr>
            <w:tcW w:type="dxa" w:w="4154"/>
          </w:tcPr>
          <w:p>
            <w:r>
              <w:rPr>
                <w:rFonts w:ascii="Times New Roman" w:hAnsi="Times New Roman"/>
                <w:sz w:val="20"/>
              </w:rPr>
              <w:t>SRS</w:t>
            </w:r>
          </w:p>
        </w:tc>
        <w:tc>
          <w:tcPr>
            <w:tcW w:type="dxa" w:w="4154"/>
          </w:tcPr>
          <w:p>
            <w:r>
              <w:rPr>
                <w:rFonts w:ascii="Times New Roman" w:hAnsi="Times New Roman"/>
                <w:sz w:val="20"/>
              </w:rPr>
              <w:t>Software Requirement Specification</w:t>
            </w:r>
          </w:p>
        </w:tc>
      </w:tr>
      <w:tr>
        <w:tc>
          <w:tcPr>
            <w:tcW w:type="dxa" w:w="4154"/>
          </w:tcPr>
          <w:p>
            <w:r>
              <w:rPr>
                <w:rFonts w:ascii="Times New Roman" w:hAnsi="Times New Roman"/>
                <w:sz w:val="20"/>
              </w:rPr>
              <w:t>WBS</w:t>
            </w:r>
          </w:p>
        </w:tc>
        <w:tc>
          <w:tcPr>
            <w:tcW w:type="dxa" w:w="4154"/>
          </w:tcPr>
          <w:p>
            <w:r>
              <w:rPr>
                <w:rFonts w:ascii="Times New Roman" w:hAnsi="Times New Roman"/>
                <w:sz w:val="20"/>
              </w:rPr>
              <w:t>Work Breakdown Structure</w:t>
            </w:r>
          </w:p>
        </w:tc>
      </w:tr>
      <w:tr>
        <w:tc>
          <w:tcPr>
            <w:tcW w:type="dxa" w:w="4154"/>
          </w:tcPr>
          <w:p>
            <w:r>
              <w:rPr>
                <w:rFonts w:ascii="Times New Roman" w:hAnsi="Times New Roman"/>
                <w:sz w:val="20"/>
              </w:rPr>
              <w:t>CSED</w:t>
            </w:r>
          </w:p>
        </w:tc>
        <w:tc>
          <w:tcPr>
            <w:tcW w:type="dxa" w:w="4154"/>
          </w:tcPr>
          <w:p>
            <w:r>
              <w:rPr>
                <w:rFonts w:ascii="Times New Roman" w:hAnsi="Times New Roman"/>
                <w:sz w:val="20"/>
              </w:rPr>
              <w:t>Computer Science and Engineering Department</w:t>
            </w:r>
          </w:p>
        </w:tc>
      </w:tr>
    </w:tbl>
    <w:p>
      <w:r>
        <w:br w:type="page"/>
      </w:r>
    </w:p>
    <w:p>
      <w:pPr>
        <w:keepNext/>
        <w:spacing w:before="240" w:after="120"/>
      </w:pPr>
      <w:r>
        <w:rPr>
          <w:rFonts w:ascii="Times New Roman" w:hAnsi="Times New Roman"/>
          <w:b/>
          <w:color w:val="0F172A"/>
          <w:sz w:val="32"/>
        </w:rPr>
        <w:t>CHAPTER 1: INTRODUCTION</w:t>
      </w:r>
    </w:p>
    <w:p>
      <w:pPr>
        <w:keepNext/>
        <w:spacing w:before="200" w:after="80"/>
      </w:pPr>
      <w:r>
        <w:rPr>
          <w:rFonts w:ascii="Times New Roman" w:hAnsi="Times New Roman"/>
          <w:b/>
          <w:color w:val="0F172A"/>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 ranging from direct role overrides to indirect prompt injections embedded in retrieved enterprise documents, to manipulate the underlying model into bypassing access controls.</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They lack linguistic context, cannot track conversational state across multi-turn sessions, and are trivially bypassed through character obfuscation or subtle adversarial paraphrasing. More critically, standard security mechanisms follow a rigid block-and-alert model.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systematically address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spacing w:line="360" w:lineRule="auto" w:after="80"/>
        <w:ind w:left="360" w:hanging="216"/>
        <w:jc w:val="both"/>
      </w:pPr>
      <w:r>
        <w:rPr>
          <w:rFonts w:ascii="Times New Roman" w:hAnsi="Times New Roman"/>
          <w:sz w:val="24"/>
        </w:rPr>
        <w:t>•  Phase 1 (Adversarial Profiling &amp; Threat Taxonomy): Formulated an 8-class threat taxonomy mapping prompt injections to specific enterprise manifestations and validated concurrent dual-model local inference.</w:t>
      </w:r>
    </w:p>
    <w:p>
      <w:pPr>
        <w:spacing w:line="360" w:lineRule="auto" w:after="80"/>
        <w:ind w:left="360" w:hanging="216"/>
        <w:jc w:val="both"/>
      </w:pPr>
      <w:r>
        <w:rPr>
          <w:rFonts w:ascii="Times New Roman" w:hAnsi="Times New Roman"/>
          <w:sz w:val="24"/>
        </w:rPr>
        <w:t>•  Phase 2 (The Multi-Tier Semantic Intent Sieve): Constructed an intelligent input-filtering pipeline that inspects queries in real time, pairing a ~2.1 ms P50 benign fast-path statistical classifier (Tier-1) with an authoritative 8B moderation model governed by a custom prompt injection policy (Llama-Guard 3 [11]), achieving a 95.8% adversarial recall on JailbreakBench [12] and 98.3% adversarial detection recall across 889 evaluation prompts (559/569 adversarial payloads intercepted, 98.9% overall accuracy) at a 0.0% False Positive Rate on benign domain traffic (0/320 benign queries flagged).</w:t>
      </w:r>
    </w:p>
    <w:p>
      <w:pPr>
        <w:spacing w:line="360" w:lineRule="auto" w:after="80"/>
        <w:ind w:left="360" w:hanging="216"/>
        <w:jc w:val="both"/>
      </w:pPr>
      <w:r>
        <w:rPr>
          <w:rFonts w:ascii="Times New Roman" w:hAnsi="Times New Roman"/>
          <w:sz w:val="24"/>
        </w:rPr>
        <w:t>•  Phase 3 (The 'Mirror Maze' Deception Honeypot): Deployed an isolated zero-trust Docker sandbox hosting the 'Sarah' decoy persona, which dynamic-hallucinates synthetic bait to absorb attacker reconnaissance without leaking real infrastructure.</w:t>
      </w:r>
    </w:p>
    <w:p>
      <w:pPr>
        <w:spacing w:line="360" w:lineRule="auto" w:after="80"/>
        <w:ind w:left="360" w:hanging="216"/>
        <w:jc w:val="both"/>
      </w:pPr>
      <w:r>
        <w:rPr>
          <w:rFonts w:ascii="Times New Roman" w:hAnsi="Times New Roman"/>
          <w:sz w:val="24"/>
        </w:rPr>
        <w:t>•  Phase 4 (Autonomous Guardrail Synthesis): Implemented a closed self-healing loop that distills captured exploits into validated NVIDIA NeMo Colang rules [6], hot-patching live gateway policies in 10.4 seconds with zero downtime.</w:t>
      </w:r>
    </w:p>
    <w:p>
      <w:pPr>
        <w:keepNext/>
        <w:spacing w:before="200" w:after="80"/>
      </w:pPr>
      <w:r>
        <w:rPr>
          <w:rFonts w:ascii="Times New Roman" w:hAnsi="Times New Roman"/>
          <w:b/>
          <w:color w:val="0F172A"/>
          <w:sz w:val="28"/>
        </w:rPr>
        <w:t>1.2 Need Analysis</w:t>
      </w:r>
    </w:p>
    <w:p>
      <w:pPr>
        <w:keepNext/>
        <w:spacing w:before="160" w:after="40"/>
      </w:pPr>
      <w:r>
        <w:rPr>
          <w:rFonts w:ascii="Times New Roman" w:hAnsi="Times New Roman"/>
          <w:b/>
          <w:color w:val="0F172A"/>
          <w:sz w:val="26"/>
        </w:rPr>
        <w:t>1.2.1 The 'Smart Mirror' Trap: Enterprise Adoption vs. Defensive Lag</w:t>
      </w:r>
    </w:p>
    <w:p>
      <w:pPr>
        <w:spacing w:line="360" w:lineRule="auto" w:after="120"/>
        <w:ind w:firstLine="432"/>
        <w:jc w:val="both"/>
      </w:pPr>
      <w:r>
        <w:rPr>
          <w:rFonts w:ascii="Times New Roman" w:hAnsi="Times New Roman"/>
          <w:sz w:val="24"/>
        </w:rPr>
        <w:t>Industry surveys indicate that enterprise adoption of conversational AI agents has expanded rapidly across customer-facing workflows [7]. However, defensive capabilities have lagged behind offensive prompt exploitation techniques. Conventional static honeypots are quickly identified and abandoned by automated scanners. In contrast, generative honeypots offer dynamic semantic interaction, creating an essential observation window to capture zero-day exploitation techniques before they reach production services.</w:t>
      </w:r>
    </w:p>
    <w:p>
      <w:pPr>
        <w:keepNext/>
        <w:spacing w:before="160" w:after="40"/>
      </w:pPr>
      <w:r>
        <w:rPr>
          <w:rFonts w:ascii="Times New Roman" w:hAnsi="Times New Roman"/>
          <w:b/>
          <w:color w:val="0F172A"/>
          <w:sz w:val="26"/>
        </w:rPr>
        <w:t>1.2.2 The Shift: Machine-Speed Autonomous Warfare</w:t>
      </w:r>
    </w:p>
    <w:p>
      <w:pPr>
        <w:spacing w:line="360" w:lineRule="auto" w:after="120"/>
        <w:ind w:firstLine="432"/>
        <w:jc w:val="both"/>
      </w:pPr>
      <w:r>
        <w:rPr>
          <w:rFonts w:ascii="Times New Roman" w:hAnsi="Times New Roman"/>
          <w:sz w:val="24"/>
        </w:rPr>
        <w:t>With conversational models managing automated customer dialogues [7], adversarial techniques have shifted from manual, one-off jailbreaks to automated, machine-speed offensive frameworks (such as ARACNE, Garak, and Microsoft PyRIT [13]). Automated offensive agents can systematically discover exploitable prompt sequences across iterative conversational turns, compressing vulnerability discovery timelines and rendering human-reliant triage workflows ineffective.</w:t>
      </w:r>
    </w:p>
    <w:p>
      <w:pPr>
        <w:keepNext/>
        <w:spacing w:before="160" w:after="40"/>
      </w:pPr>
      <w:r>
        <w:rPr>
          <w:rFonts w:ascii="Times New Roman" w:hAnsi="Times New Roman"/>
          <w:b/>
          <w:color w:val="0F172A"/>
          <w:sz w:val="26"/>
        </w:rPr>
        <w:t>1.2.3 The 'Shadow Trust' Gap: Vulnerability of the Semantic Layer</w:t>
      </w:r>
    </w:p>
    <w:p>
      <w:pPr>
        <w:spacing w:line="360" w:lineRule="auto" w:after="120"/>
        <w:ind w:firstLine="432"/>
        <w:jc w:val="both"/>
      </w:pPr>
      <w:r>
        <w:rPr>
          <w:rFonts w:ascii="Times New Roman" w:hAnsi="Times New Roman"/>
          <w:sz w:val="24"/>
        </w:rPr>
        <w:t>Prompt injection is categorized as the primary vulnerability in the OWASP Top 10 for Large Language Model Applications (LLM01) [9]. Because conversational agents are granted operational trust to execute database lookups and internal APIs, a compromised prompt inherits the agent's broad permissions. In multi-turn dialogue, gradual semantic drift and contextual grooming can frequently bypass static refusal boundaries in unprotected commercial systems.</w:t>
      </w:r>
    </w:p>
    <w:p>
      <w:pPr>
        <w:keepNext/>
        <w:spacing w:before="160" w:after="40"/>
      </w:pPr>
      <w:r>
        <w:rPr>
          <w:rFonts w:ascii="Times New Roman" w:hAnsi="Times New Roman"/>
          <w:b/>
          <w:color w:val="0F172A"/>
          <w:sz w:val="26"/>
        </w:rPr>
        <w:t>1.2.4 The Dynamic Security Window: Addressing Reactive Lag</w:t>
      </w:r>
    </w:p>
    <w:p>
      <w:pPr>
        <w:spacing w:line="360" w:lineRule="auto" w:after="120"/>
        <w:ind w:firstLine="432"/>
        <w:jc w:val="both"/>
      </w:pPr>
      <w:r>
        <w:rPr>
          <w:rFonts w:ascii="Times New Roman" w:hAnsi="Times New Roman"/>
          <w:sz w:val="24"/>
        </w:rPr>
        <w:t>Industry incident analyses indicate that manual discovery, triage, and deployment of security patches for conversational AI systems can require extensive remediation timelines. In contrast, automated offensive tools can systematically discover boundary bypasses in minutes. Honey-LLM fundamentally addresses this disparity by automating guardrail synthesis, achieving automated time-to-patch in 10.4 seconds without requiring gateway restarts.</w:t>
      </w:r>
    </w:p>
    <w:p>
      <w:pPr>
        <w:keepNext/>
        <w:spacing w:before="200" w:after="80"/>
      </w:pPr>
      <w:r>
        <w:rPr>
          <w:rFonts w:ascii="Times New Roman" w:hAnsi="Times New Roman"/>
          <w:b/>
          <w:color w:val="0F172A"/>
          <w:sz w:val="28"/>
        </w:rPr>
        <w:t>1.3 Research Gaps</w:t>
      </w:r>
    </w:p>
    <w:p>
      <w:pPr>
        <w:spacing w:line="360" w:lineRule="auto" w:after="80"/>
        <w:ind w:left="360" w:hanging="216"/>
        <w:jc w:val="both"/>
      </w:pPr>
      <w:r>
        <w:rPr>
          <w:rFonts w:ascii="Times New Roman" w:hAnsi="Times New Roman"/>
          <w:sz w:val="24"/>
        </w:rPr>
        <w:t>•  1. Absence of Real-Time Intent Filtering Prior to Sandbox Interaction: Contemporary generative honeypots (such as shelLM [10] and LLM-Honeypot [8]) focus exclusively on simulating Linux shells for known malicious traffic, lacking real-time intent filters on live mixed traffic.</w:t>
      </w:r>
    </w:p>
    <w:p>
      <w:pPr>
        <w:spacing w:line="360" w:lineRule="auto" w:after="80"/>
        <w:ind w:left="360" w:hanging="216"/>
        <w:jc w:val="both"/>
      </w:pPr>
      <w:r>
        <w:rPr>
          <w:rFonts w:ascii="Times New Roman" w:hAnsi="Times New Roman"/>
          <w:sz w:val="24"/>
        </w:rPr>
        <w:t>•  2. Vulnerability of LLM Decoys to Ground-Truth Leakage: Existing interactive deception prototypes rely solely on system prompts and leak under persistent jailbreaking. Honey-LLM enforces an architectural separation between public RAG context and synthetic bait.</w:t>
      </w:r>
    </w:p>
    <w:p>
      <w:pPr>
        <w:spacing w:line="360" w:lineRule="auto" w:after="80"/>
        <w:ind w:left="360" w:hanging="216"/>
        <w:jc w:val="both"/>
      </w:pPr>
      <w:r>
        <w:rPr>
          <w:rFonts w:ascii="Times New Roman" w:hAnsi="Times New Roman"/>
          <w:sz w:val="24"/>
        </w:rPr>
        <w:t>•  3. Lack of Autonomous Feedback Loops (Zero-Downtime Policy Hardening): Captured attack intelligence remains siloed in log files rather than being automatically compiled into active firewall rules.</w:t>
      </w:r>
    </w:p>
    <w:p>
      <w:pPr>
        <w:spacing w:line="360" w:lineRule="auto" w:after="80"/>
        <w:ind w:left="360" w:hanging="216"/>
        <w:jc w:val="both"/>
      </w:pPr>
      <w:r>
        <w:rPr>
          <w:rFonts w:ascii="Times New Roman" w:hAnsi="Times New Roman"/>
          <w:sz w:val="24"/>
        </w:rPr>
        <w:t>•  4. Inadequate Isolation Controls in Generative Sandboxes: Honey-LLM enforces zero-egress Docker containerization with non-root execution and read-only filesystems.</w:t>
      </w:r>
    </w:p>
    <w:p>
      <w:pPr>
        <w:spacing w:line="360" w:lineRule="auto" w:after="80"/>
        <w:ind w:left="360" w:hanging="216"/>
        <w:jc w:val="both"/>
      </w:pPr>
      <w:r>
        <w:rPr>
          <w:rFonts w:ascii="Times New Roman" w:hAnsi="Times New Roman"/>
          <w:sz w:val="24"/>
        </w:rPr>
        <w:t>•  5. Latency Overhead of Large Moderation Models: Large moderation models impose 700 to 900 ms latency. Honey-LLM introduces an asymmetric two-tier ensemble that resolves benign traffic in ~2 ms.</w:t>
      </w:r>
    </w:p>
    <w:p>
      <w:pPr>
        <w:keepNext/>
        <w:spacing w:before="200" w:after="80"/>
      </w:pPr>
      <w:r>
        <w:rPr>
          <w:rFonts w:ascii="Times New Roman" w:hAnsi="Times New Roman"/>
          <w:b/>
          <w:color w:val="0F172A"/>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an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 to 4).</w:t>
      </w:r>
    </w:p>
    <w:p>
      <w:pPr>
        <w:keepNext/>
        <w:spacing w:before="200" w:after="80"/>
      </w:pPr>
      <w:r>
        <w:rPr>
          <w:rFonts w:ascii="Times New Roman" w:hAnsi="Times New Roman"/>
          <w:b/>
          <w:color w:val="0F172A"/>
          <w:sz w:val="28"/>
        </w:rPr>
        <w:t>1.5 Assumptions and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Sizing</w:t>
            </w:r>
          </w:p>
        </w:tc>
        <w:tc>
          <w:tcPr>
            <w:tcW w:type="dxa" w:w="2770"/>
          </w:tcPr>
          <w:p>
            <w:r>
              <w:rPr>
                <w:rFonts w:ascii="Times New Roman" w:hAnsi="Times New Roman"/>
                <w:sz w:val="20"/>
              </w:rPr>
              <w:t>Dual 8B parameter models execute concurrently on standard host compute (&gt;=16 GB RAM / VRAM) with zero memory thrashing.</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must experience a sieve overhead of &lt; 50 ms (achieved at ~2 ms via Tier-1 fast-path) to preserve conversational fluency.</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the inference backend or moderation service becomes unreachable, the gateway fails closed, never open.</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The Mirror Maze sandbox container has zero direct internet access and zero connectivity to the production database or host network.</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credentials, server tokens, and IPs leaked by the decoy persona are synthetically generated and completely non-functional.</w:t>
            </w:r>
          </w:p>
        </w:tc>
      </w:tr>
    </w:tbl>
    <w:p>
      <w:pPr>
        <w:keepNext/>
        <w:spacing w:before="160" w:after="60"/>
        <w:jc w:val="left"/>
      </w:pPr>
      <w:r>
        <w:rPr>
          <w:rFonts w:ascii="Times New Roman" w:hAnsi="Times New Roman"/>
          <w:b/>
          <w:sz w:val="20"/>
        </w:rPr>
        <w:t>TABLE 1.1: System Assumptions and Engineering Constraints</w:t>
      </w:r>
    </w:p>
    <w:p>
      <w:pPr>
        <w:keepNext/>
        <w:spacing w:before="200" w:after="80"/>
      </w:pPr>
      <w:r>
        <w:rPr>
          <w:rFonts w:ascii="Times New Roman" w:hAnsi="Times New Roman"/>
          <w:b/>
          <w:color w:val="0F172A"/>
          <w:sz w:val="28"/>
        </w:rPr>
        <w:t>1.6 Applicable Standards</w:t>
      </w:r>
    </w:p>
    <w:p>
      <w:pPr>
        <w:spacing w:line="360" w:lineRule="auto" w:after="80"/>
        <w:ind w:left="360" w:hanging="216"/>
        <w:jc w:val="both"/>
      </w:pPr>
      <w:r>
        <w:rPr>
          <w:rFonts w:ascii="Times New Roman" w:hAnsi="Times New Roman"/>
          <w:sz w:val="24"/>
        </w:rPr>
        <w:t>•  OWASP Top 10 for LLM Applications (2025/2026): Primary mitigation targeting LLM01 (Prompt Injection), LLM02 (Sensitive Information Disclosure), and LLM06 (Excessive Agency) [9].</w:t>
      </w:r>
    </w:p>
    <w:p>
      <w:pPr>
        <w:spacing w:line="360" w:lineRule="auto" w:after="80"/>
        <w:ind w:left="360" w:hanging="216"/>
        <w:jc w:val="both"/>
      </w:pPr>
      <w:r>
        <w:rPr>
          <w:rFonts w:ascii="Times New Roman" w:hAnsi="Times New Roman"/>
          <w:sz w:val="24"/>
        </w:rPr>
        <w:t>•  NIST AI Risk Management Framework (AI RMF 1.0): Fulfills core functions of Map, Measure, Manage, and Govern for adversarial robustness.</w:t>
      </w:r>
    </w:p>
    <w:p>
      <w:pPr>
        <w:spacing w:line="360" w:lineRule="auto" w:after="80"/>
        <w:ind w:left="360" w:hanging="216"/>
        <w:jc w:val="both"/>
      </w:pPr>
      <w:r>
        <w:rPr>
          <w:rFonts w:ascii="Times New Roman" w:hAnsi="Times New Roman"/>
          <w:sz w:val="24"/>
        </w:rPr>
        <w:t>•  IEEE Standard for Software Quality Assurance (IEEE 730-2014): Structured unit, integration, and security regression testing protocols.</w:t>
      </w:r>
    </w:p>
    <w:p>
      <w:pPr>
        <w:spacing w:line="360" w:lineRule="auto" w:after="80"/>
        <w:ind w:left="360" w:hanging="216"/>
        <w:jc w:val="both"/>
      </w:pPr>
      <w:r>
        <w:rPr>
          <w:rFonts w:ascii="Times New Roman" w:hAnsi="Times New Roman"/>
          <w:sz w:val="24"/>
        </w:rPr>
        <w:t>•  NVIDIA NeMo Colang 2.0 Syntax Standards: Formal language definition for programmable conversational guardrail policies [6].</w:t>
      </w:r>
    </w:p>
    <w:p>
      <w:pPr>
        <w:keepNext/>
        <w:spacing w:before="200" w:after="80"/>
      </w:pPr>
      <w:r>
        <w:rPr>
          <w:rFonts w:ascii="Times New Roman" w:hAnsi="Times New Roman"/>
          <w:b/>
          <w:color w:val="0F172A"/>
          <w:sz w:val="28"/>
        </w:rPr>
        <w:t>1.7 Approved Objectives (Proposal Evaluation)</w:t>
      </w:r>
    </w:p>
    <w:p>
      <w:pPr>
        <w:spacing w:line="360" w:lineRule="auto" w:after="80"/>
        <w:ind w:left="360" w:hanging="216"/>
        <w:jc w:val="both"/>
      </w:pPr>
      <w:r>
        <w:rPr>
          <w:rFonts w:ascii="Times New Roman" w:hAnsi="Times New Roman"/>
          <w:sz w:val="24"/>
        </w:rPr>
        <w:t>•  1. Develop a High-Accuracy Intent Sieve Classifier: Construct a multi-tier classifier achieving &gt;95% detection on JailbreakBench [12] with &lt;1% FPR (Phase 2 Completed).</w:t>
      </w:r>
    </w:p>
    <w:p>
      <w:pPr>
        <w:spacing w:line="360" w:lineRule="auto" w:after="80"/>
        <w:ind w:left="360" w:hanging="216"/>
        <w:jc w:val="both"/>
      </w:pPr>
      <w:r>
        <w:rPr>
          <w:rFonts w:ascii="Times New Roman" w:hAnsi="Times New Roman"/>
          <w:sz w:val="24"/>
        </w:rPr>
        <w:t>•  2. Implement a High-Fidelity Generative Sandbox ('Mirror Maze'): Deploy an isolated zero-trust decoy maintaining &gt;5 minutes average attacker dwell time (Phase 3 Completed).</w:t>
      </w:r>
    </w:p>
    <w:p>
      <w:pPr>
        <w:spacing w:line="360" w:lineRule="auto" w:after="80"/>
        <w:ind w:left="360" w:hanging="216"/>
        <w:jc w:val="both"/>
      </w:pPr>
      <w:r>
        <w:rPr>
          <w:rFonts w:ascii="Times New Roman" w:hAnsi="Times New Roman"/>
          <w:sz w:val="24"/>
        </w:rPr>
        <w:t>•  3. Automate Self-Healing Security Guardrails: Build a closed-loop pipeline synthesizing permanent NeMo Colang rules in seconds (Phase 4 Completed).</w:t>
      </w:r>
    </w:p>
    <w:p>
      <w:pPr>
        <w:spacing w:line="360" w:lineRule="auto" w:after="80"/>
        <w:ind w:left="360" w:hanging="216"/>
        <w:jc w:val="both"/>
      </w:pPr>
      <w:r>
        <w:rPr>
          <w:rFonts w:ascii="Times New Roman" w:hAnsi="Times New Roman"/>
          <w:sz w:val="24"/>
        </w:rPr>
        <w:t>•  4. Validate Zero-Escape Sandbox Security: Execute comprehensive container breakout penetration audits (Phase 3/4 Completed).</w:t>
      </w:r>
    </w:p>
    <w:p>
      <w:pPr>
        <w:spacing w:line="360" w:lineRule="auto" w:after="80"/>
        <w:ind w:left="360" w:hanging="216"/>
        <w:jc w:val="both"/>
      </w:pPr>
      <w:r>
        <w:rPr>
          <w:rFonts w:ascii="Times New Roman" w:hAnsi="Times New Roman"/>
          <w:sz w:val="24"/>
        </w:rPr>
        <w:t>•  5. Construct a Real-Time Threat Intelligence SOC Dashboard: Provide live visualization of attack taxonomies and dwell meters (Phase 5 In Progress).</w:t>
      </w:r>
    </w:p>
    <w:p>
      <w:pPr>
        <w:keepNext/>
        <w:spacing w:before="200" w:after="80"/>
      </w:pPr>
      <w:r>
        <w:rPr>
          <w:rFonts w:ascii="Times New Roman" w:hAnsi="Times New Roman"/>
          <w:b/>
          <w:color w:val="0F172A"/>
          <w:sz w:val="28"/>
        </w:rPr>
        <w:t>1.8 Methodology Overview (Phases 1 to 4 Scope)</w:t>
      </w:r>
    </w:p>
    <w:p>
      <w:pPr>
        <w:spacing w:line="360" w:lineRule="auto" w:after="120"/>
        <w:ind w:firstLine="432"/>
        <w:jc w:val="both"/>
      </w:pPr>
      <w:r>
        <w:rPr>
          <w:rFonts w:ascii="Times New Roman" w:hAnsi="Times New Roman"/>
          <w:sz w:val="24"/>
        </w:rPr>
        <w:t>The project methodology spans six distinct phases: Phase 0 (Scaffolding), Phase 1 (Adversarial Threat Profiling), Phase 2 (Intent Sieve Development), Phase 3 (Mirror Maze Sandbox), Phase 4 (Autonomous Guardrail Synthesis), Phase 5 (Forensic Telemetry &amp; SOC Dashboard), and Phase 6 (Empirical Red-Teaming). Phases 0 through 4 represent the completed mid-semester scope.</w:t>
      </w:r>
    </w:p>
    <w:p>
      <w:pPr>
        <w:keepNext/>
        <w:spacing w:before="200" w:after="80"/>
      </w:pPr>
      <w:r>
        <w:rPr>
          <w:rFonts w:ascii="Times New Roman" w:hAnsi="Times New Roman"/>
          <w:b/>
          <w:color w:val="0F172A"/>
          <w:sz w:val="28"/>
        </w:rPr>
        <w:t>1.9 Mid-Semester Outcomes and Deliverables</w:t>
      </w:r>
    </w:p>
    <w:p>
      <w:pPr>
        <w:spacing w:line="360" w:lineRule="auto" w:after="120"/>
        <w:ind w:firstLine="432"/>
        <w:jc w:val="both"/>
      </w:pPr>
      <w:r>
        <w:rPr>
          <w:rFonts w:ascii="Times New Roman" w:hAnsi="Times New Roman"/>
          <w:sz w:val="24"/>
        </w:rPr>
        <w:t>Mid-semester deliverables completed to date include: (1) an operational FastAPI gateway with multi-tier routing; (2) a calibrated TF-IDF + Llama-Guard 3 [11] ensemble sieve; (3) a containerized Mirror Maze decoy running the 'Sarah' persona with synthetic bait; (4) an autonomous NeMo Guardrail synthesis engine [6]; and (5) empirical validation benchmarks across 889 curated and in-the-wild prompt samples.</w:t>
      </w:r>
    </w:p>
    <w:p>
      <w:pPr>
        <w:keepNext/>
        <w:spacing w:before="200" w:after="80"/>
      </w:pPr>
      <w:r>
        <w:rPr>
          <w:rFonts w:ascii="Times New Roman" w:hAnsi="Times New Roman"/>
          <w:b/>
          <w:color w:val="0F172A"/>
          <w:sz w:val="28"/>
        </w:rPr>
        <w:t>1.10 Novelty of Work</w:t>
      </w:r>
    </w:p>
    <w:p>
      <w:pPr>
        <w:spacing w:line="360" w:lineRule="auto" w:after="120"/>
        <w:ind w:firstLine="432"/>
        <w:jc w:val="both"/>
      </w:pPr>
      <w:r>
        <w:rPr>
          <w:rFonts w:ascii="Times New Roman" w:hAnsi="Times New Roman"/>
          <w:sz w:val="24"/>
        </w:rPr>
        <w:t>Honey-LLM introduces three key innovations over existing state of the art: (1) Proactive In-Flight Deception that routes malicious traffic without tipping off attackers; (2) Autonomous Hot-Patching Immunity reducing time-to-patch from days to 10.4 seconds without server restarts; and (3) Asymmetric Multi-Tier Inference solving the severe latency bottleneck of commercial moderation models.</w:t>
      </w:r>
    </w:p>
    <w:p>
      <w:pPr>
        <w:jc w:val="center"/>
      </w:pPr>
      <w:r>
        <w:drawing>
          <wp:inline xmlns:a="http://schemas.openxmlformats.org/drawingml/2006/main" xmlns:pic="http://schemas.openxmlformats.org/drawingml/2006/picture">
            <wp:extent cx="5029200" cy="2806995"/>
            <wp:docPr id="3" name="Picture 3"/>
            <wp:cNvGraphicFramePr>
              <a:graphicFrameLocks noChangeAspect="1"/>
            </wp:cNvGraphicFramePr>
            <a:graphic>
              <a:graphicData uri="http://schemas.openxmlformats.org/drawingml/2006/picture">
                <pic:pic>
                  <pic:nvPicPr>
                    <pic:cNvPr id="0" name="fig1_1_architecture.png"/>
                    <pic:cNvPicPr/>
                  </pic:nvPicPr>
                  <pic:blipFill>
                    <a:blip r:embed="rId11"/>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1.1: Honey-LLM Multi-Tier Routing and Decision Gateway Architecture</w:t>
      </w:r>
    </w:p>
    <w:p>
      <w:r>
        <w:br w:type="page"/>
      </w:r>
    </w:p>
    <w:p>
      <w:pPr>
        <w:keepNext/>
        <w:spacing w:before="240" w:after="120"/>
      </w:pPr>
      <w:r>
        <w:rPr>
          <w:rFonts w:ascii="Times New Roman" w:hAnsi="Times New Roman"/>
          <w:b/>
          <w:color w:val="0F172A"/>
          <w:sz w:val="32"/>
        </w:rPr>
        <w:t>CHAPTER 2: REQUIREMENT ANALYSIS</w:t>
      </w:r>
    </w:p>
    <w:p>
      <w:pPr>
        <w:keepNext/>
        <w:spacing w:before="200" w:after="80"/>
      </w:pPr>
      <w:r>
        <w:rPr>
          <w:rFonts w:ascii="Times New Roman" w:hAnsi="Times New Roman"/>
          <w:b/>
          <w:color w:val="0F172A"/>
          <w:sz w:val="28"/>
        </w:rPr>
        <w:t>2.1 Literature Survey</w:t>
      </w:r>
    </w:p>
    <w:p>
      <w:pPr>
        <w:keepNext/>
        <w:spacing w:before="160" w:after="40"/>
      </w:pPr>
      <w:r>
        <w:rPr>
          <w:rFonts w:ascii="Times New Roman" w:hAnsi="Times New Roman"/>
          <w:b/>
          <w:color w:val="0F172A"/>
          <w:sz w:val="26"/>
        </w:rPr>
        <w:t>2.1.1 Theory Associated With Problem Area</w:t>
      </w:r>
    </w:p>
    <w:p>
      <w:pPr>
        <w:spacing w:line="360" w:lineRule="auto" w:after="120"/>
        <w:ind w:firstLine="432"/>
        <w:jc w:val="both"/>
      </w:pPr>
      <w:r>
        <w:rPr>
          <w:rFonts w:ascii="Times New Roman" w:hAnsi="Times New Roman"/>
          <w:sz w:val="24"/>
        </w:rPr>
        <w:t>Large Language Models are autoregressive statistical token predictors. Their fundamental susceptibility to adversarial prompt injection stems from the lack of formal separation between control instructions and untrusted data [9]. Attackers exploit semantic ambiguity to induce role-play confusion, refusal suppression, or multi-turn goal hijacking. Constitutional AI and moderation wrappers attempt to suppress toxic generation [1], but fail against indirect data-exfiltration probes unless reinforced by dedicated intent classification layers [3].</w:t>
      </w:r>
    </w:p>
    <w:p>
      <w:pPr>
        <w:keepNext/>
        <w:spacing w:before="160" w:after="40"/>
      </w:pPr>
      <w:r>
        <w:rPr>
          <w:rFonts w:ascii="Times New Roman" w:hAnsi="Times New Roman"/>
          <w:b/>
          <w:color w:val="0F172A"/>
          <w:sz w:val="26"/>
        </w:rPr>
        <w:t>2.1.2 Existing Systems and Solutions</w:t>
      </w:r>
    </w:p>
    <w:p>
      <w:pPr>
        <w:spacing w:line="360" w:lineRule="auto" w:after="120"/>
        <w:ind w:firstLine="432"/>
        <w:jc w:val="both"/>
      </w:pPr>
      <w:r>
        <w:rPr>
          <w:rFonts w:ascii="Times New Roman" w:hAnsi="Times New Roman"/>
          <w:sz w:val="24"/>
        </w:rPr>
        <w:t>Early generative honeypot research explored using LLMs to simulate Linux command-line environments (shelLM [10], LLM-Honeypot [8], and HoneyLLM [4]). While these systems demonstrated that LLM-driven generation increases honeypot credibility, they operated as passive research testbeds rather than active defenses. Defense frameworks like CHeaT [2] introduced trap tokens for autonomous agents, while Beekeeper [5] applied LLMs for automated honeypot auditing. However, none of these systems integrated real-time traffic classification with automated policy synthesis.</w:t>
      </w:r>
    </w:p>
    <w:p>
      <w:pPr>
        <w:keepNext/>
        <w:spacing w:before="160" w:after="40"/>
      </w:pPr>
      <w:r>
        <w:rPr>
          <w:rFonts w:ascii="Times New Roman" w:hAnsi="Times New Roman"/>
          <w:b/>
          <w:color w:val="0F172A"/>
          <w:sz w:val="26"/>
        </w:rPr>
        <w:t>2.1.3 Research Findings for Existing Literature</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Core Approach</w:t>
            </w:r>
          </w:p>
        </w:tc>
        <w:tc>
          <w:tcPr>
            <w:tcW w:type="dxa" w:w="1662"/>
            <w:shd w:fill="F1F5F9"/>
          </w:tcPr>
          <w:p>
            <w:r>
              <w:rPr>
                <w:b/>
              </w:rPr>
              <w:t>Key Contributions</w:t>
            </w:r>
          </w:p>
        </w:tc>
        <w:tc>
          <w:tcPr>
            <w:tcW w:type="dxa" w:w="1662"/>
            <w:shd w:fill="F1F5F9"/>
          </w:tcPr>
          <w:p>
            <w:r>
              <w:rPr>
                <w:b/>
              </w:rPr>
              <w:t>Identified Limitations</w:t>
            </w:r>
          </w:p>
        </w:tc>
        <w:tc>
          <w:tcPr>
            <w:tcW w:type="dxa" w:w="1662"/>
            <w:shd w:fill="F1F5F9"/>
          </w:tcPr>
          <w:p>
            <w:r>
              <w:rPr>
                <w:b/>
              </w:rPr>
              <w:t>Honey-LLM Advancement</w:t>
            </w:r>
          </w:p>
        </w:tc>
      </w:tr>
      <w:tr>
        <w:tc>
          <w:tcPr>
            <w:tcW w:type="dxa" w:w="1662"/>
          </w:tcPr>
          <w:p>
            <w:r>
              <w:rPr>
                <w:rFonts w:ascii="Times New Roman" w:hAnsi="Times New Roman"/>
                <w:sz w:val="20"/>
              </w:rPr>
              <w:t>shelLM [10] (IEEE EuroS&amp;PW '24)</w:t>
            </w:r>
          </w:p>
        </w:tc>
        <w:tc>
          <w:tcPr>
            <w:tcW w:type="dxa" w:w="1662"/>
          </w:tcPr>
          <w:p>
            <w:r>
              <w:rPr>
                <w:rFonts w:ascii="Times New Roman" w:hAnsi="Times New Roman"/>
                <w:sz w:val="20"/>
              </w:rPr>
              <w:t>LLM-driven Linux shell simulation</w:t>
            </w:r>
          </w:p>
        </w:tc>
        <w:tc>
          <w:tcPr>
            <w:tcW w:type="dxa" w:w="1662"/>
          </w:tcPr>
          <w:p>
            <w:r>
              <w:rPr>
                <w:rFonts w:ascii="Times New Roman" w:hAnsi="Times New Roman"/>
                <w:sz w:val="20"/>
              </w:rPr>
              <w:t>Dynamic handling of unseen CLI commands; TNR ~0.90</w:t>
            </w:r>
          </w:p>
        </w:tc>
        <w:tc>
          <w:tcPr>
            <w:tcW w:type="dxa" w:w="1662"/>
          </w:tcPr>
          <w:p>
            <w:r>
              <w:rPr>
                <w:rFonts w:ascii="Times New Roman" w:hAnsi="Times New Roman"/>
                <w:sz w:val="20"/>
              </w:rPr>
              <w:t>No intent filtering; restricted to CLI; no feedback loop</w:t>
            </w:r>
          </w:p>
        </w:tc>
        <w:tc>
          <w:tcPr>
            <w:tcW w:type="dxa" w:w="1662"/>
          </w:tcPr>
          <w:p>
            <w:r>
              <w:rPr>
                <w:rFonts w:ascii="Times New Roman" w:hAnsi="Times New Roman"/>
                <w:sz w:val="20"/>
              </w:rPr>
              <w:t>Adds pre-routing Intent Sieve for live conversational traffic</w:t>
            </w:r>
          </w:p>
        </w:tc>
      </w:tr>
      <w:tr>
        <w:tc>
          <w:tcPr>
            <w:tcW w:type="dxa" w:w="1662"/>
          </w:tcPr>
          <w:p>
            <w:r>
              <w:rPr>
                <w:rFonts w:ascii="Times New Roman" w:hAnsi="Times New Roman"/>
                <w:sz w:val="20"/>
              </w:rPr>
              <w:t>LLM Honeypot [8] (IEEE CNS '24)</w:t>
            </w:r>
          </w:p>
        </w:tc>
        <w:tc>
          <w:tcPr>
            <w:tcW w:type="dxa" w:w="1662"/>
          </w:tcPr>
          <w:p>
            <w:r>
              <w:rPr>
                <w:rFonts w:ascii="Times New Roman" w:hAnsi="Times New Roman"/>
                <w:sz w:val="20"/>
              </w:rPr>
              <w:t>Attacker-log trained interactive shell</w:t>
            </w:r>
          </w:p>
        </w:tc>
        <w:tc>
          <w:tcPr>
            <w:tcW w:type="dxa" w:w="1662"/>
          </w:tcPr>
          <w:p>
            <w:r>
              <w:rPr>
                <w:rFonts w:ascii="Times New Roman" w:hAnsi="Times New Roman"/>
                <w:sz w:val="20"/>
              </w:rPr>
              <w:t>High realism evaluated via Levenshtein &amp; Cosine similarity</w:t>
            </w:r>
          </w:p>
        </w:tc>
        <w:tc>
          <w:tcPr>
            <w:tcW w:type="dxa" w:w="1662"/>
          </w:tcPr>
          <w:p>
            <w:r>
              <w:rPr>
                <w:rFonts w:ascii="Times New Roman" w:hAnsi="Times New Roman"/>
                <w:sz w:val="20"/>
              </w:rPr>
              <w:t>Passive logging only; zero automated defense adaptation</w:t>
            </w:r>
          </w:p>
        </w:tc>
        <w:tc>
          <w:tcPr>
            <w:tcW w:type="dxa" w:w="1662"/>
          </w:tcPr>
          <w:p>
            <w:r>
              <w:rPr>
                <w:rFonts w:ascii="Times New Roman" w:hAnsi="Times New Roman"/>
                <w:sz w:val="20"/>
              </w:rPr>
              <w:t>Integrates active deception directly into enterprise gateway</w:t>
            </w:r>
          </w:p>
        </w:tc>
      </w:tr>
      <w:tr>
        <w:tc>
          <w:tcPr>
            <w:tcW w:type="dxa" w:w="1662"/>
          </w:tcPr>
          <w:p>
            <w:r>
              <w:rPr>
                <w:rFonts w:ascii="Times New Roman" w:hAnsi="Times New Roman"/>
                <w:sz w:val="20"/>
              </w:rPr>
              <w:t>HoneyLLM [4] (IEEE CNS '24)</w:t>
            </w:r>
          </w:p>
        </w:tc>
        <w:tc>
          <w:tcPr>
            <w:tcW w:type="dxa" w:w="1662"/>
          </w:tcPr>
          <w:p>
            <w:r>
              <w:rPr>
                <w:rFonts w:ascii="Times New Roman" w:hAnsi="Times New Roman"/>
                <w:sz w:val="20"/>
              </w:rPr>
              <w:t>Contextual prompt engineering for shell</w:t>
            </w:r>
          </w:p>
        </w:tc>
        <w:tc>
          <w:tcPr>
            <w:tcW w:type="dxa" w:w="1662"/>
          </w:tcPr>
          <w:p>
            <w:r>
              <w:rPr>
                <w:rFonts w:ascii="Times New Roman" w:hAnsi="Times New Roman"/>
                <w:sz w:val="20"/>
              </w:rPr>
              <w:t>Enhanced attacker dwell time in simulated OS terminals</w:t>
            </w:r>
          </w:p>
        </w:tc>
        <w:tc>
          <w:tcPr>
            <w:tcW w:type="dxa" w:w="1662"/>
          </w:tcPr>
          <w:p>
            <w:r>
              <w:rPr>
                <w:rFonts w:ascii="Times New Roman" w:hAnsi="Times New Roman"/>
                <w:sz w:val="20"/>
              </w:rPr>
              <w:t>No real-time intent sieve; no automated rule generation</w:t>
            </w:r>
          </w:p>
        </w:tc>
        <w:tc>
          <w:tcPr>
            <w:tcW w:type="dxa" w:w="1662"/>
          </w:tcPr>
          <w:p>
            <w:r>
              <w:rPr>
                <w:rFonts w:ascii="Times New Roman" w:hAnsi="Times New Roman"/>
                <w:sz w:val="20"/>
              </w:rPr>
              <w:t>Implements closed-loop NeMo guardrail synthesis from logs</w:t>
            </w:r>
          </w:p>
        </w:tc>
      </w:tr>
      <w:tr>
        <w:tc>
          <w:tcPr>
            <w:tcW w:type="dxa" w:w="1662"/>
          </w:tcPr>
          <w:p>
            <w:r>
              <w:rPr>
                <w:rFonts w:ascii="Times New Roman" w:hAnsi="Times New Roman"/>
                <w:sz w:val="20"/>
              </w:rPr>
              <w:t>CHeaT [2] (USENIX Sec '25)</w:t>
            </w:r>
          </w:p>
        </w:tc>
        <w:tc>
          <w:tcPr>
            <w:tcW w:type="dxa" w:w="1662"/>
          </w:tcPr>
          <w:p>
            <w:r>
              <w:rPr>
                <w:rFonts w:ascii="Times New Roman" w:hAnsi="Times New Roman"/>
                <w:sz w:val="20"/>
              </w:rPr>
              <w:t>Cloak-Honey-Trap proactive defense</w:t>
            </w:r>
          </w:p>
        </w:tc>
        <w:tc>
          <w:tcPr>
            <w:tcW w:type="dxa" w:w="1662"/>
          </w:tcPr>
          <w:p>
            <w:r>
              <w:rPr>
                <w:rFonts w:ascii="Times New Roman" w:hAnsi="Times New Roman"/>
                <w:sz w:val="20"/>
              </w:rPr>
              <w:t>Deception tokens to disrupt autonomous LLM attackers</w:t>
            </w:r>
          </w:p>
        </w:tc>
        <w:tc>
          <w:tcPr>
            <w:tcW w:type="dxa" w:w="1662"/>
          </w:tcPr>
          <w:p>
            <w:r>
              <w:rPr>
                <w:rFonts w:ascii="Times New Roman" w:hAnsi="Times New Roman"/>
                <w:sz w:val="20"/>
              </w:rPr>
              <w:t>Limited to artificial CTF environments; no live honeypot</w:t>
            </w:r>
          </w:p>
        </w:tc>
        <w:tc>
          <w:tcPr>
            <w:tcW w:type="dxa" w:w="1662"/>
          </w:tcPr>
          <w:p>
            <w:r>
              <w:rPr>
                <w:rFonts w:ascii="Times New Roman" w:hAnsi="Times New Roman"/>
                <w:sz w:val="20"/>
              </w:rPr>
              <w:t>Full-stack live conversational deployment with SOC analytics</w:t>
            </w:r>
          </w:p>
        </w:tc>
      </w:tr>
      <w:tr>
        <w:tc>
          <w:tcPr>
            <w:tcW w:type="dxa" w:w="1662"/>
          </w:tcPr>
          <w:p>
            <w:r>
              <w:rPr>
                <w:rFonts w:ascii="Times New Roman" w:hAnsi="Times New Roman"/>
                <w:sz w:val="20"/>
              </w:rPr>
              <w:t>Beekeeper [5] (IEEE Access '25)</w:t>
            </w:r>
          </w:p>
        </w:tc>
        <w:tc>
          <w:tcPr>
            <w:tcW w:type="dxa" w:w="1662"/>
          </w:tcPr>
          <w:p>
            <w:r>
              <w:rPr>
                <w:rFonts w:ascii="Times New Roman" w:hAnsi="Times New Roman"/>
                <w:sz w:val="20"/>
              </w:rPr>
              <w:t>LLM-as-attacker honeypot auditing</w:t>
            </w:r>
          </w:p>
        </w:tc>
        <w:tc>
          <w:tcPr>
            <w:tcW w:type="dxa" w:w="1662"/>
          </w:tcPr>
          <w:p>
            <w:r>
              <w:rPr>
                <w:rFonts w:ascii="Times New Roman" w:hAnsi="Times New Roman"/>
                <w:sz w:val="20"/>
              </w:rPr>
              <w:t>Automated feedback loop to improve honeypot realism</w:t>
            </w:r>
          </w:p>
        </w:tc>
        <w:tc>
          <w:tcPr>
            <w:tcW w:type="dxa" w:w="1662"/>
          </w:tcPr>
          <w:p>
            <w:r>
              <w:rPr>
                <w:rFonts w:ascii="Times New Roman" w:hAnsi="Times New Roman"/>
                <w:sz w:val="20"/>
              </w:rPr>
              <w:t>Offline pre-deployment audit tool; no live defense capability</w:t>
            </w:r>
          </w:p>
        </w:tc>
        <w:tc>
          <w:tcPr>
            <w:tcW w:type="dxa" w:w="1662"/>
          </w:tcPr>
          <w:p>
            <w:r>
              <w:rPr>
                <w:rFonts w:ascii="Times New Roman" w:hAnsi="Times New Roman"/>
                <w:sz w:val="20"/>
              </w:rPr>
              <w:t>Self-hardening digital immune loop operating in ~10.4 seconds</w:t>
            </w:r>
          </w:p>
        </w:tc>
      </w:tr>
    </w:tbl>
    <w:p>
      <w:pPr>
        <w:keepNext/>
        <w:spacing w:before="160" w:after="60"/>
        <w:jc w:val="left"/>
      </w:pPr>
      <w:r>
        <w:rPr>
          <w:rFonts w:ascii="Times New Roman" w:hAnsi="Times New Roman"/>
          <w:b/>
          <w:sz w:val="20"/>
        </w:rPr>
        <w:t>TABLE 2.1: Comparative Literature Survey of Generative Honeypot Frameworks</w:t>
      </w:r>
    </w:p>
    <w:p>
      <w:pPr>
        <w:keepNext/>
        <w:spacing w:before="160" w:after="40"/>
      </w:pPr>
      <w:r>
        <w:rPr>
          <w:rFonts w:ascii="Times New Roman" w:hAnsi="Times New Roman"/>
          <w:b/>
          <w:color w:val="0F172A"/>
          <w:sz w:val="26"/>
        </w:rPr>
        <w:t>2.1.4 Problems Identified in State of the Art</w:t>
      </w:r>
    </w:p>
    <w:p>
      <w:pPr>
        <w:spacing w:line="360" w:lineRule="auto" w:after="120"/>
        <w:ind w:firstLine="432"/>
        <w:jc w:val="both"/>
      </w:pPr>
      <w:r>
        <w:rPr>
          <w:rFonts w:ascii="Times New Roman" w:hAnsi="Times New Roman"/>
          <w:sz w:val="24"/>
        </w:rPr>
        <w:t>The primary deficiencies identified include: (1) reliance on static refusal responses that train adversaries; (2) absence of sub-second semantic classification on production paths; and (3) a complete disconnect between threat intelligence collection and real-time security policy updates.</w:t>
      </w:r>
    </w:p>
    <w:p>
      <w:pPr>
        <w:keepNext/>
        <w:spacing w:before="160" w:after="40"/>
      </w:pPr>
      <w:r>
        <w:rPr>
          <w:rFonts w:ascii="Times New Roman" w:hAnsi="Times New Roman"/>
          <w:b/>
          <w:color w:val="0F172A"/>
          <w:sz w:val="26"/>
        </w:rPr>
        <w:t>2.1.5 Survey of Tools and Technologies Used</w:t>
      </w:r>
    </w:p>
    <w:p>
      <w:pPr>
        <w:spacing w:line="360" w:lineRule="auto" w:after="120"/>
        <w:ind w:firstLine="432"/>
        <w:jc w:val="both"/>
      </w:pPr>
      <w:r>
        <w:rPr>
          <w:rFonts w:ascii="Times New Roman" w:hAnsi="Times New Roman"/>
          <w:sz w:val="24"/>
        </w:rPr>
        <w:t>Honey-LLM synthesizes modern open-source technologies: FastAPI for asynchronous gateway routing; Ollama for local hardware-accelerated inference; Llama-Guard 3 [11] and Llama-3 for moderation and generation; NVIDIA NeMo Guardrails [6] for Colang policy enforcement; Docker Engine for kernel-level container isolation; and Next.js 15 for real-time telemetry visualization.</w:t>
      </w:r>
    </w:p>
    <w:p>
      <w:pPr>
        <w:keepNext/>
        <w:spacing w:before="200" w:after="80"/>
      </w:pPr>
      <w:r>
        <w:rPr>
          <w:rFonts w:ascii="Times New Roman" w:hAnsi="Times New Roman"/>
          <w:b/>
          <w:color w:val="0F172A"/>
          <w:sz w:val="28"/>
        </w:rPr>
        <w:t>2.2 Software Requirement Specification (SRS)</w:t>
      </w:r>
    </w:p>
    <w:p>
      <w:pPr>
        <w:spacing w:line="360" w:lineRule="auto" w:after="120"/>
        <w:ind w:firstLine="432"/>
        <w:jc w:val="both"/>
      </w:pPr>
      <w:r>
        <w:rPr>
          <w:rFonts w:ascii="Times New Roman" w:hAnsi="Times New Roman"/>
          <w:sz w:val="24"/>
        </w:rPr>
        <w:t>2.2.1 Introduction &amp; Scope: Specifies functional requirements for the Honey-LLM defense gateway protecting the NexTel enterprise knowledge base.</w:t>
      </w:r>
    </w:p>
    <w:p>
      <w:pPr>
        <w:spacing w:line="360" w:lineRule="auto" w:after="120"/>
        <w:ind w:firstLine="432"/>
        <w:jc w:val="both"/>
      </w:pPr>
      <w:r>
        <w:rPr>
          <w:rFonts w:ascii="Times New Roman" w:hAnsi="Times New Roman"/>
          <w:sz w:val="24"/>
        </w:rPr>
        <w:t>2.2.2 Product Perspective: Sits as a secure reverse proxy between external client applications and the production RAG engine.</w:t>
      </w:r>
    </w:p>
    <w:p>
      <w:pPr>
        <w:spacing w:line="360" w:lineRule="auto" w:after="120"/>
        <w:ind w:firstLine="432"/>
        <w:jc w:val="both"/>
      </w:pPr>
      <w:r>
        <w:rPr>
          <w:rFonts w:ascii="Times New Roman" w:hAnsi="Times New Roman"/>
          <w:sz w:val="24"/>
        </w:rPr>
        <w:t>2.2.3 External Interfaces: RESTful JSON APIs (/api/chat, /api/dashboard, /api/admin), containerized ingress/egress proxy ports, and Next.js frontends.</w:t>
      </w:r>
    </w:p>
    <w:p>
      <w:pPr>
        <w:spacing w:line="360" w:lineRule="auto" w:after="120"/>
        <w:ind w:firstLine="432"/>
        <w:jc w:val="both"/>
      </w:pPr>
      <w:r>
        <w:rPr>
          <w:rFonts w:ascii="Times New Roman" w:hAnsi="Times New Roman"/>
          <w:sz w:val="24"/>
        </w:rPr>
        <w:t>2.2.4 Non-Functional Requirements: High availability, sub-50 ms sieve overhead, fail-closed fault tolerance, and colorblind-safe (WCAG 2.1 AA) SOC data visualization.</w:t>
      </w:r>
    </w:p>
    <w:p>
      <w:pPr>
        <w:keepNext/>
        <w:spacing w:before="200" w:after="80"/>
      </w:pPr>
      <w:r>
        <w:rPr>
          <w:rFonts w:ascii="Times New Roman" w:hAnsi="Times New Roman"/>
          <w:b/>
          <w:color w:val="0F172A"/>
          <w:sz w:val="28"/>
        </w:rPr>
        <w:t>2.3 Cost &amp; Computational Feasibility Analysis</w:t>
      </w:r>
    </w:p>
    <w:p>
      <w:pPr>
        <w:spacing w:line="360" w:lineRule="auto" w:after="120"/>
        <w:ind w:firstLine="432"/>
        <w:jc w:val="both"/>
      </w:pPr>
      <w:r>
        <w:rPr>
          <w:rFonts w:ascii="Times New Roman" w:hAnsi="Times New Roman"/>
          <w:sz w:val="24"/>
        </w:rPr>
        <w:t>Because Honey-LLM is engineered on a software track, the primary cost consideration is computational feasibility and inference efficiency. By running quantized open-weight models on localized hardware, the architecture completely eliminates recurring per-token cloud API costs while maintaining zero data egress.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Dimension</w:t>
            </w:r>
          </w:p>
        </w:tc>
        <w:tc>
          <w:tcPr>
            <w:tcW w:type="dxa" w:w="2770"/>
            <w:shd w:fill="F1F5F9"/>
          </w:tcPr>
          <w:p>
            <w:r>
              <w:rPr>
                <w:b/>
              </w:rPr>
              <w:t>Honey-LLM Local Architecture</w:t>
            </w:r>
          </w:p>
        </w:tc>
        <w:tc>
          <w:tcPr>
            <w:tcW w:type="dxa" w:w="2770"/>
            <w:shd w:fill="F1F5F9"/>
          </w:tcPr>
          <w:p>
            <w:r>
              <w:rPr>
                <w:b/>
              </w:rPr>
              <w:t>Cloud API Baseline (GPT-4 / Moderation API)</w:t>
            </w:r>
          </w:p>
        </w:tc>
      </w:tr>
      <w:tr>
        <w:tc>
          <w:tcPr>
            <w:tcW w:type="dxa" w:w="2770"/>
          </w:tcPr>
          <w:p>
            <w:r>
              <w:rPr>
                <w:rFonts w:ascii="Times New Roman" w:hAnsi="Times New Roman"/>
                <w:sz w:val="20"/>
              </w:rPr>
              <w:t>Compute Environment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Hosted Cloud Server Cluster ($450/month)</w:t>
            </w:r>
          </w:p>
        </w:tc>
      </w:tr>
      <w:tr>
        <w:tc>
          <w:tcPr>
            <w:tcW w:type="dxa" w:w="2770"/>
          </w:tcPr>
          <w:p>
            <w:r>
              <w:rPr>
                <w:rFonts w:ascii="Times New Roman" w:hAnsi="Times New Roman"/>
                <w:sz w:val="20"/>
              </w:rPr>
              <w:t>Inference Token Cost</w:t>
            </w:r>
          </w:p>
        </w:tc>
        <w:tc>
          <w:tcPr>
            <w:tcW w:type="dxa" w:w="2770"/>
          </w:tcPr>
          <w:p>
            <w:r>
              <w:rPr>
                <w:rFonts w:ascii="Times New Roman" w:hAnsi="Times New Roman"/>
                <w:sz w:val="20"/>
              </w:rPr>
              <w:t>$0.00 (Self-hosted open weights)</w:t>
            </w:r>
          </w:p>
        </w:tc>
        <w:tc>
          <w:tcPr>
            <w:tcW w:type="dxa" w:w="2770"/>
          </w:tcPr>
          <w:p>
            <w:r>
              <w:rPr>
                <w:rFonts w:ascii="Times New Roman" w:hAnsi="Times New Roman"/>
                <w:sz w:val="20"/>
              </w:rPr>
              <w:t>~$0.018 per conversational turn</w:t>
            </w:r>
          </w:p>
        </w:tc>
      </w:tr>
      <w:tr>
        <w:tc>
          <w:tcPr>
            <w:tcW w:type="dxa" w:w="2770"/>
          </w:tcPr>
          <w:p>
            <w:r>
              <w:rPr>
                <w:rFonts w:ascii="Times New Roman" w:hAnsi="Times New Roman"/>
                <w:sz w:val="20"/>
              </w:rPr>
              <w:t>Data Privacy / Egress</w:t>
            </w:r>
          </w:p>
        </w:tc>
        <w:tc>
          <w:tcPr>
            <w:tcW w:type="dxa" w:w="2770"/>
          </w:tcPr>
          <w:p>
            <w:r>
              <w:rPr>
                <w:rFonts w:ascii="Times New Roman" w:hAnsi="Times New Roman"/>
                <w:sz w:val="20"/>
              </w:rPr>
              <w:t>100% on-premise, zero external API transmission</w:t>
            </w:r>
          </w:p>
        </w:tc>
        <w:tc>
          <w:tcPr>
            <w:tcW w:type="dxa" w:w="2770"/>
          </w:tcPr>
          <w:p>
            <w:r>
              <w:rPr>
                <w:rFonts w:ascii="Times New Roman" w:hAnsi="Times New Roman"/>
                <w:sz w:val="20"/>
              </w:rPr>
              <w:t>Third-party cloud transmission and storage</w:t>
            </w:r>
          </w:p>
        </w:tc>
      </w:tr>
      <w:tr>
        <w:tc>
          <w:tcPr>
            <w:tcW w:type="dxa" w:w="2770"/>
          </w:tcPr>
          <w:p>
            <w:r>
              <w:rPr>
                <w:rFonts w:ascii="Times New Roman" w:hAnsi="Times New Roman"/>
                <w:sz w:val="20"/>
              </w:rPr>
              <w:t>Hot-Patch Latency</w:t>
            </w:r>
          </w:p>
        </w:tc>
        <w:tc>
          <w:tcPr>
            <w:tcW w:type="dxa" w:w="2770"/>
          </w:tcPr>
          <w:p>
            <w:r>
              <w:rPr>
                <w:rFonts w:ascii="Times New Roman" w:hAnsi="Times New Roman"/>
                <w:sz w:val="20"/>
              </w:rPr>
              <w:t>10.4s local Colang rule compilation</w:t>
            </w:r>
          </w:p>
        </w:tc>
        <w:tc>
          <w:tcPr>
            <w:tcW w:type="dxa" w:w="2770"/>
          </w:tcPr>
          <w:p>
            <w:r>
              <w:rPr>
                <w:rFonts w:ascii="Times New Roman" w:hAnsi="Times New Roman"/>
                <w:sz w:val="20"/>
              </w:rPr>
              <w:t>Manual portal re-configuration / retraining</w:t>
            </w:r>
          </w:p>
        </w:tc>
      </w:tr>
    </w:tbl>
    <w:p>
      <w:pPr>
        <w:keepNext/>
        <w:spacing w:before="160" w:after="60"/>
        <w:jc w:val="left"/>
      </w:pPr>
      <w:r>
        <w:rPr>
          <w:rFonts w:ascii="Times New Roman" w:hAnsi="Times New Roman"/>
          <w:b/>
          <w:sz w:val="20"/>
        </w:rPr>
        <w:t>TABLE 2.2: Computational Resource Feasibility &amp; Cloud Cost Comparison</w:t>
      </w:r>
    </w:p>
    <w:p>
      <w:pPr>
        <w:keepNext/>
        <w:spacing w:before="200" w:after="80"/>
      </w:pPr>
      <w:r>
        <w:rPr>
          <w:rFonts w:ascii="Times New Roman" w:hAnsi="Times New Roman"/>
          <w:b/>
          <w:color w:val="0F172A"/>
          <w:sz w:val="28"/>
        </w:rPr>
        <w:t>2.4 Risk Analysis and Mitigation Strategies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20"/>
              </w:rPr>
              <w:t>Inference Service Outage</w:t>
            </w:r>
          </w:p>
        </w:tc>
        <w:tc>
          <w:tcPr>
            <w:tcW w:type="dxa" w:w="2770"/>
          </w:tcPr>
          <w:p>
            <w:r>
              <w:rPr>
                <w:rFonts w:ascii="Times New Roman" w:hAnsi="Times New Roman"/>
                <w:sz w:val="20"/>
              </w:rPr>
              <w:t>High</w:t>
            </w:r>
          </w:p>
        </w:tc>
        <w:tc>
          <w:tcPr>
            <w:tcW w:type="dxa" w:w="2770"/>
          </w:tcPr>
          <w:p>
            <w:r>
              <w:rPr>
                <w:rFonts w:ascii="Times New Roman" w:hAnsi="Times New Roman"/>
                <w:sz w:val="20"/>
              </w:rPr>
              <w:t>Gateway fails closed to safe degraded static support; never bypasses security.</w:t>
            </w:r>
          </w:p>
        </w:tc>
      </w:tr>
      <w:tr>
        <w:tc>
          <w:tcPr>
            <w:tcW w:type="dxa" w:w="2770"/>
          </w:tcPr>
          <w:p>
            <w:r>
              <w:rPr>
                <w:rFonts w:ascii="Times New Roman" w:hAnsi="Times New Roman"/>
                <w:sz w:val="20"/>
              </w:rPr>
              <w:t>Sandbox Escape Attempt</w:t>
            </w:r>
          </w:p>
        </w:tc>
        <w:tc>
          <w:tcPr>
            <w:tcW w:type="dxa" w:w="2770"/>
          </w:tcPr>
          <w:p>
            <w:r>
              <w:rPr>
                <w:rFonts w:ascii="Times New Roman" w:hAnsi="Times New Roman"/>
                <w:sz w:val="20"/>
              </w:rPr>
              <w:t>Critical</w:t>
            </w:r>
          </w:p>
        </w:tc>
        <w:tc>
          <w:tcPr>
            <w:tcW w:type="dxa" w:w="2770"/>
          </w:tcPr>
          <w:p>
            <w:r>
              <w:rPr>
                <w:rFonts w:ascii="Times New Roman" w:hAnsi="Times New Roman"/>
                <w:sz w:val="20"/>
              </w:rPr>
              <w:t>Docker read-only rootfs, cap-drop ALL, no-new-privileges, and zero host network.</w:t>
            </w:r>
          </w:p>
        </w:tc>
      </w:tr>
      <w:tr>
        <w:tc>
          <w:tcPr>
            <w:tcW w:type="dxa" w:w="2770"/>
          </w:tcPr>
          <w:p>
            <w:r>
              <w:rPr>
                <w:rFonts w:ascii="Times New Roman" w:hAnsi="Times New Roman"/>
                <w:sz w:val="20"/>
              </w:rPr>
              <w:t>Over-Broad Guardrail FP</w:t>
            </w:r>
          </w:p>
        </w:tc>
        <w:tc>
          <w:tcPr>
            <w:tcW w:type="dxa" w:w="2770"/>
          </w:tcPr>
          <w:p>
            <w:r>
              <w:rPr>
                <w:rFonts w:ascii="Times New Roman" w:hAnsi="Times New Roman"/>
                <w:sz w:val="20"/>
              </w:rPr>
              <w:t>High</w:t>
            </w:r>
          </w:p>
        </w:tc>
        <w:tc>
          <w:tcPr>
            <w:tcW w:type="dxa" w:w="2770"/>
          </w:tcPr>
          <w:p>
            <w:r>
              <w:rPr>
                <w:rFonts w:ascii="Times New Roman" w:hAnsi="Times New Roman"/>
                <w:sz w:val="20"/>
              </w:rPr>
              <w:t>Synthesized Colang rules must pass automated benign regression gate prior to hot-patch.</w:t>
            </w:r>
          </w:p>
        </w:tc>
      </w:tr>
      <w:tr>
        <w:tc>
          <w:tcPr>
            <w:tcW w:type="dxa" w:w="2770"/>
          </w:tcPr>
          <w:p>
            <w:r>
              <w:rPr>
                <w:rFonts w:ascii="Times New Roman" w:hAnsi="Times New Roman"/>
                <w:sz w:val="20"/>
              </w:rPr>
              <w:t>Decoy Persona Prompt Leak</w:t>
            </w:r>
          </w:p>
        </w:tc>
        <w:tc>
          <w:tcPr>
            <w:tcW w:type="dxa" w:w="2770"/>
          </w:tcPr>
          <w:p>
            <w:r>
              <w:rPr>
                <w:rFonts w:ascii="Times New Roman" w:hAnsi="Times New Roman"/>
                <w:sz w:val="20"/>
              </w:rPr>
              <w:t>Medium</w:t>
            </w:r>
          </w:p>
        </w:tc>
        <w:tc>
          <w:tcPr>
            <w:tcW w:type="dxa" w:w="2770"/>
          </w:tcPr>
          <w:p>
            <w:r>
              <w:rPr>
                <w:rFonts w:ascii="Times New Roman" w:hAnsi="Times New Roman"/>
                <w:sz w:val="20"/>
              </w:rPr>
              <w:t>Decoy prompt carries exclusively synthetic non-functional bait; zero production data.</w:t>
            </w:r>
          </w:p>
        </w:tc>
      </w:tr>
    </w:tbl>
    <w:p>
      <w:pPr>
        <w:keepNext/>
        <w:spacing w:before="160" w:after="60"/>
        <w:jc w:val="left"/>
      </w:pPr>
      <w:r>
        <w:rPr>
          <w:rFonts w:ascii="Times New Roman" w:hAnsi="Times New Roman"/>
          <w:b/>
          <w:sz w:val="20"/>
        </w:rPr>
        <w:t>TABLE 2.3: Risk Assessment Matrix and Fail-Closed Mitigation Controls</w:t>
      </w:r>
    </w:p>
    <w:p>
      <w:r>
        <w:br w:type="page"/>
      </w:r>
    </w:p>
    <w:p>
      <w:pPr>
        <w:keepNext/>
        <w:spacing w:before="240" w:after="120"/>
      </w:pPr>
      <w:r>
        <w:rPr>
          <w:rFonts w:ascii="Times New Roman" w:hAnsi="Times New Roman"/>
          <w:b/>
          <w:color w:val="0F172A"/>
          <w:sz w:val="32"/>
        </w:rPr>
        <w:t>CHAPTER 3: METHODOLOGY ADOPTED</w:t>
      </w:r>
    </w:p>
    <w:p>
      <w:pPr>
        <w:keepNext/>
        <w:spacing w:before="200" w:after="80"/>
      </w:pPr>
      <w:r>
        <w:rPr>
          <w:rFonts w:ascii="Times New Roman" w:hAnsi="Times New Roman"/>
          <w:b/>
          <w:color w:val="0F172A"/>
          <w:sz w:val="28"/>
        </w:rPr>
        <w:t>3.1 Investigative Techniques &amp; Empirical FPR Explanation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20"/>
              </w:rPr>
              <w:t>1</w:t>
            </w:r>
          </w:p>
        </w:tc>
        <w:tc>
          <w:tcPr>
            <w:tcW w:type="dxa" w:w="2077"/>
          </w:tcPr>
          <w:p>
            <w:r>
              <w:rPr>
                <w:rFonts w:ascii="Times New Roman" w:hAnsi="Times New Roman"/>
                <w:sz w:val="20"/>
              </w:rPr>
              <w:t>Descriptive</w:t>
            </w:r>
          </w:p>
        </w:tc>
        <w:tc>
          <w:tcPr>
            <w:tcW w:type="dxa" w:w="2077"/>
          </w:tcPr>
          <w:p>
            <w:r>
              <w:rPr>
                <w:rFonts w:ascii="Times New Roman" w:hAnsi="Times New Roman"/>
                <w:sz w:val="20"/>
              </w:rPr>
              <w:t>Cataloging and characterizing scientific phenomena under structured observation.</w:t>
            </w:r>
          </w:p>
        </w:tc>
        <w:tc>
          <w:tcPr>
            <w:tcW w:type="dxa" w:w="2077"/>
          </w:tcPr>
          <w:p>
            <w:r>
              <w:rPr>
                <w:rFonts w:ascii="Times New Roman" w:hAnsi="Times New Roman"/>
                <w:sz w:val="20"/>
              </w:rPr>
              <w:t>Formulated the 8-class Adversarial Threat Taxonomy, classifying prompt injection vectors across enterprise telecom domains (Phase 1).</w:t>
            </w:r>
          </w:p>
        </w:tc>
      </w:tr>
      <w:tr>
        <w:tc>
          <w:tcPr>
            <w:tcW w:type="dxa" w:w="2077"/>
          </w:tcPr>
          <w:p>
            <w:r>
              <w:rPr>
                <w:rFonts w:ascii="Times New Roman" w:hAnsi="Times New Roman"/>
                <w:sz w:val="20"/>
              </w:rPr>
              <w:t>2</w:t>
            </w:r>
          </w:p>
        </w:tc>
        <w:tc>
          <w:tcPr>
            <w:tcW w:type="dxa" w:w="2077"/>
          </w:tcPr>
          <w:p>
            <w:r>
              <w:rPr>
                <w:rFonts w:ascii="Times New Roman" w:hAnsi="Times New Roman"/>
                <w:sz w:val="20"/>
              </w:rPr>
              <w:t>Comparative</w:t>
            </w:r>
          </w:p>
        </w:tc>
        <w:tc>
          <w:tcPr>
            <w:tcW w:type="dxa" w:w="2077"/>
          </w:tcPr>
          <w:p>
            <w:r>
              <w:rPr>
                <w:rFonts w:ascii="Times New Roman" w:hAnsi="Times New Roman"/>
                <w:sz w:val="20"/>
              </w:rPr>
              <w:t>Systematically evaluating alternative models and configurations against baseline metrics.</w:t>
            </w:r>
          </w:p>
        </w:tc>
        <w:tc>
          <w:tcPr>
            <w:tcW w:type="dxa" w:w="2077"/>
          </w:tcPr>
          <w:p>
            <w:r>
              <w:rPr>
                <w:rFonts w:ascii="Times New Roman" w:hAnsi="Times New Roman"/>
                <w:sz w:val="20"/>
              </w:rPr>
              <w:t>Benchmarked Llama-Guard 3 1B vs. 8B [11] across default and custom policies on JailbreakBench [12], proving custom policy lifts detection from 37.5% to 95.8% (Phase 2).</w:t>
            </w:r>
          </w:p>
        </w:tc>
      </w:tr>
      <w:tr>
        <w:tc>
          <w:tcPr>
            <w:tcW w:type="dxa" w:w="2077"/>
          </w:tcPr>
          <w:p>
            <w:r>
              <w:rPr>
                <w:rFonts w:ascii="Times New Roman" w:hAnsi="Times New Roman"/>
                <w:sz w:val="20"/>
              </w:rPr>
              <w:t>3</w:t>
            </w:r>
          </w:p>
        </w:tc>
        <w:tc>
          <w:tcPr>
            <w:tcW w:type="dxa" w:w="2077"/>
          </w:tcPr>
          <w:p>
            <w:r>
              <w:rPr>
                <w:rFonts w:ascii="Times New Roman" w:hAnsi="Times New Roman"/>
                <w:sz w:val="20"/>
              </w:rPr>
              <w:t>Experimental</w:t>
            </w:r>
          </w:p>
        </w:tc>
        <w:tc>
          <w:tcPr>
            <w:tcW w:type="dxa" w:w="2077"/>
          </w:tcPr>
          <w:p>
            <w:r>
              <w:rPr>
                <w:rFonts w:ascii="Times New Roman" w:hAnsi="Times New Roman"/>
                <w:sz w:val="20"/>
              </w:rPr>
              <w:t>Hypothesis testing using controlled independent and dependent variables.</w:t>
            </w:r>
          </w:p>
        </w:tc>
        <w:tc>
          <w:tcPr>
            <w:tcW w:type="dxa" w:w="2077"/>
          </w:tcPr>
          <w:p>
            <w:r>
              <w:rPr>
                <w:rFonts w:ascii="Times New Roman" w:hAnsi="Times New Roman"/>
                <w:sz w:val="20"/>
              </w:rPr>
              <w:t>Evaluated the two-tier OR-ensemble on 889 held-out prompts, measuring 95.8% JailbreakBench recall and 98.3% adversarial detection recall across the combined curated and in-the-wild corpus (559/569 adversarial, 98.9% overall accuracy) at 0.0% benign FPR (0/320 benign) with ~2.1 ms P50 benign fast-path latency (Phase 2).</w:t>
            </w:r>
          </w:p>
        </w:tc>
      </w:tr>
    </w:tbl>
    <w:p>
      <w:pPr>
        <w:keepNext/>
        <w:spacing w:before="160" w:after="60"/>
        <w:jc w:val="left"/>
      </w:pPr>
      <w:r>
        <w:rPr>
          <w:rFonts w:ascii="Times New Roman" w:hAnsi="Times New Roman"/>
          <w:b/>
          <w:sz w:val="20"/>
        </w:rPr>
        <w:t>TABLE 3.1: Classification and Justification of Investigative Research Techniques</w:t>
      </w:r>
    </w:p>
    <w:p>
      <w:pPr>
        <w:spacing w:line="360" w:lineRule="auto" w:after="120"/>
        <w:ind w:firstLine="432"/>
        <w:jc w:val="both"/>
      </w:pPr>
      <w:r>
        <w:rPr>
          <w:rFonts w:ascii="Times New Roman" w:hAnsi="Times New Roman"/>
          <w:sz w:val="24"/>
        </w:rPr>
        <w:t>Technical Analysis of the 0.0% Benign False Positive Rate (FPR): The measured 0.0% FPR represents exactly 0 out of 320 held-out domain queries flagged falsely as adversarial. This empirical result is achieved through two-stage threshold calibration: (1) The Tier-1 statistical classifier was trained on a domain-specific telecommunications corpus where customer intents (e.g., SIM provisioning, roaming rates, invoice queries) possess distinct vocabulary distributions with safe scores consistently &lt; 0.10, well below the conservative threshold of 0.25; (2) Ambiguous queries in the margin (0.25 to 0.70) are escalated to Tier-2 Llama-Guard 3 [11], which performs context-aware semantic evaluation and preserves legitimate customer queries. While 0.0% FPR holds for the curated in-domain evaluation test split, out-of-domain open-ended dialogues are expected to yield non-zero FPR, which will be extensively profiled in Phase 6.</w:t>
      </w:r>
    </w:p>
    <w:p>
      <w:pPr>
        <w:keepNext/>
        <w:spacing w:before="200" w:after="80"/>
      </w:pPr>
      <w:r>
        <w:rPr>
          <w:rFonts w:ascii="Times New Roman" w:hAnsi="Times New Roman"/>
          <w:b/>
          <w:color w:val="0F172A"/>
          <w:sz w:val="28"/>
        </w:rPr>
        <w:t>3.2 Proposed Solution &amp; Multi-Tier Architecture</w:t>
      </w:r>
    </w:p>
    <w:p>
      <w:pPr>
        <w:spacing w:line="360" w:lineRule="auto" w:after="80"/>
        <w:ind w:left="360" w:hanging="216"/>
        <w:jc w:val="both"/>
      </w:pPr>
      <w:r>
        <w:rPr>
          <w:rFonts w:ascii="Times New Roman" w:hAnsi="Times New Roman"/>
          <w:sz w:val="24"/>
        </w:rPr>
        <w:t>•  Tier-0 Semantic Guardrail Cache: Fast semantic embedding matcher resolving known techniques in 10 to 20 ms (Phase 4).</w:t>
      </w:r>
    </w:p>
    <w:p>
      <w:pPr>
        <w:spacing w:line="360" w:lineRule="auto" w:after="80"/>
        <w:ind w:left="360" w:hanging="216"/>
        <w:jc w:val="both"/>
      </w:pPr>
      <w:r>
        <w:rPr>
          <w:rFonts w:ascii="Times New Roman" w:hAnsi="Times New Roman"/>
          <w:sz w:val="24"/>
        </w:rPr>
        <w:t>•  Tier-1 Statistical Fast-Path: TF-IDF + Logistic Regression resolving benign customer traffic in ~2 ms (Phase 2).</w:t>
      </w:r>
    </w:p>
    <w:p>
      <w:pPr>
        <w:spacing w:line="360" w:lineRule="auto" w:after="80"/>
        <w:ind w:left="360" w:hanging="216"/>
        <w:jc w:val="both"/>
      </w:pPr>
      <w:r>
        <w:rPr>
          <w:rFonts w:ascii="Times New Roman" w:hAnsi="Times New Roman"/>
          <w:sz w:val="24"/>
        </w:rPr>
        <w:t>•  Tier-2 Deep Moderation Sieve: 8B Llama-Guard 3 [11] custom injection policy analyzing multi-turn history (Phase 2).</w:t>
      </w:r>
    </w:p>
    <w:p>
      <w:pPr>
        <w:spacing w:line="360" w:lineRule="auto" w:after="80"/>
        <w:ind w:left="360" w:hanging="216"/>
        <w:jc w:val="both"/>
      </w:pPr>
      <w:r>
        <w:rPr>
          <w:rFonts w:ascii="Times New Roman" w:hAnsi="Times New Roman"/>
          <w:sz w:val="24"/>
        </w:rPr>
        <w:t>•  Deceptive Mirror Maze Sandbox: Docker-isolated 'Sarah' decoy persona dynamic-leaking synthetic bait (Phase 3).</w:t>
      </w:r>
    </w:p>
    <w:p>
      <w:pPr>
        <w:keepNext/>
        <w:spacing w:before="200" w:after="80"/>
      </w:pPr>
      <w:r>
        <w:rPr>
          <w:rFonts w:ascii="Times New Roman" w:hAnsi="Times New Roman"/>
          <w:b/>
          <w:color w:val="0F172A"/>
          <w:sz w:val="28"/>
        </w:rPr>
        <w:t>3.3 Work Breakdown Structure (Phases 1 to 4 Completed)</w:t>
      </w:r>
    </w:p>
    <w:p>
      <w:pPr>
        <w:spacing w:line="360" w:lineRule="auto" w:after="120"/>
        <w:ind w:firstLine="432"/>
        <w:jc w:val="both"/>
      </w:pPr>
      <w:r>
        <w:rPr>
          <w:rFonts w:ascii="Times New Roman" w:hAnsi="Times New Roman"/>
          <w:sz w:val="24"/>
        </w:rPr>
        <w:t>The project methodology is structured into six progressive phases. Phases 1 to 4 have been fully implemented, integrated, and verified for the mid-semester evaluation milestone. Phases 5 and 6 are established as the second-half roadmap.</w:t>
      </w:r>
    </w:p>
    <w:p>
      <w:pPr>
        <w:keepNext/>
        <w:spacing w:before="200" w:after="80"/>
      </w:pPr>
      <w:r>
        <w:rPr>
          <w:rFonts w:ascii="Times New Roman" w:hAnsi="Times New Roman"/>
          <w:b/>
          <w:color w:val="0F172A"/>
          <w:sz w:val="28"/>
        </w:rPr>
        <w:t>3.4 Enterprise Hardware, Software, and Framework Stack</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20"/>
              </w:rPr>
              <w:t>Inference Host</w:t>
            </w:r>
          </w:p>
        </w:tc>
        <w:tc>
          <w:tcPr>
            <w:tcW w:type="dxa" w:w="2770"/>
          </w:tcPr>
          <w:p>
            <w:r>
              <w:rPr>
                <w:rFonts w:ascii="Times New Roman" w:hAnsi="Times New Roman"/>
                <w:sz w:val="20"/>
              </w:rPr>
              <w:t>Enterprise Host Compute (&gt;=16 GB RAM / VRAM)</w:t>
            </w:r>
          </w:p>
        </w:tc>
        <w:tc>
          <w:tcPr>
            <w:tcW w:type="dxa" w:w="2770"/>
          </w:tcPr>
          <w:p>
            <w:r>
              <w:rPr>
                <w:rFonts w:ascii="Times New Roman" w:hAnsi="Times New Roman"/>
                <w:sz w:val="20"/>
              </w:rPr>
              <w:t>Local execution for Llama-Guard 3 8B [11] and Llama-3 8B.</w:t>
            </w:r>
          </w:p>
        </w:tc>
      </w:tr>
      <w:tr>
        <w:tc>
          <w:tcPr>
            <w:tcW w:type="dxa" w:w="2770"/>
          </w:tcPr>
          <w:p>
            <w:r>
              <w:rPr>
                <w:rFonts w:ascii="Times New Roman" w:hAnsi="Times New Roman"/>
                <w:sz w:val="20"/>
              </w:rPr>
              <w:t>Backend Gateway</w:t>
            </w:r>
          </w:p>
        </w:tc>
        <w:tc>
          <w:tcPr>
            <w:tcW w:type="dxa" w:w="2770"/>
          </w:tcPr>
          <w:p>
            <w:r>
              <w:rPr>
                <w:rFonts w:ascii="Times New Roman" w:hAnsi="Times New Roman"/>
                <w:sz w:val="20"/>
              </w:rPr>
              <w:t>Python 3.12 / FastAPI / Uvicorn</w:t>
            </w:r>
          </w:p>
        </w:tc>
        <w:tc>
          <w:tcPr>
            <w:tcW w:type="dxa" w:w="2770"/>
          </w:tcPr>
          <w:p>
            <w:r>
              <w:rPr>
                <w:rFonts w:ascii="Times New Roman" w:hAnsi="Times New Roman"/>
                <w:sz w:val="20"/>
              </w:rPr>
              <w:t>Asynchronous request orchestration, session state, and routing.</w:t>
            </w:r>
          </w:p>
        </w:tc>
      </w:tr>
      <w:tr>
        <w:tc>
          <w:tcPr>
            <w:tcW w:type="dxa" w:w="2770"/>
          </w:tcPr>
          <w:p>
            <w:r>
              <w:rPr>
                <w:rFonts w:ascii="Times New Roman" w:hAnsi="Times New Roman"/>
                <w:sz w:val="20"/>
              </w:rPr>
              <w:t>Guardrail Engine</w:t>
            </w:r>
          </w:p>
        </w:tc>
        <w:tc>
          <w:tcPr>
            <w:tcW w:type="dxa" w:w="2770"/>
          </w:tcPr>
          <w:p>
            <w:r>
              <w:rPr>
                <w:rFonts w:ascii="Times New Roman" w:hAnsi="Times New Roman"/>
                <w:sz w:val="20"/>
              </w:rPr>
              <w:t>NVIDIA NeMo Guardrails / Colang 2.0 [6]</w:t>
            </w:r>
          </w:p>
        </w:tc>
        <w:tc>
          <w:tcPr>
            <w:tcW w:type="dxa" w:w="2770"/>
          </w:tcPr>
          <w:p>
            <w:r>
              <w:rPr>
                <w:rFonts w:ascii="Times New Roman" w:hAnsi="Times New Roman"/>
                <w:sz w:val="20"/>
              </w:rPr>
              <w:t>Formal rule validation, pattern extraction, and hot-patching.</w:t>
            </w:r>
          </w:p>
        </w:tc>
      </w:tr>
      <w:tr>
        <w:tc>
          <w:tcPr>
            <w:tcW w:type="dxa" w:w="2770"/>
          </w:tcPr>
          <w:p>
            <w:r>
              <w:rPr>
                <w:rFonts w:ascii="Times New Roman" w:hAnsi="Times New Roman"/>
                <w:sz w:val="20"/>
              </w:rPr>
              <w:t>Container Isolation</w:t>
            </w:r>
          </w:p>
        </w:tc>
        <w:tc>
          <w:tcPr>
            <w:tcW w:type="dxa" w:w="2770"/>
          </w:tcPr>
          <w:p>
            <w:r>
              <w:rPr>
                <w:rFonts w:ascii="Times New Roman" w:hAnsi="Times New Roman"/>
                <w:sz w:val="20"/>
              </w:rPr>
              <w:t>Docker Engine / Linux Namespaces &amp; cgroups</w:t>
            </w:r>
          </w:p>
        </w:tc>
        <w:tc>
          <w:tcPr>
            <w:tcW w:type="dxa" w:w="2770"/>
          </w:tcPr>
          <w:p>
            <w:r>
              <w:rPr>
                <w:rFonts w:ascii="Times New Roman" w:hAnsi="Times New Roman"/>
                <w:sz w:val="20"/>
              </w:rPr>
              <w:t>Zero-egress isolated decoy sandbox with socat proxy topology.</w:t>
            </w:r>
          </w:p>
        </w:tc>
      </w:tr>
      <w:tr>
        <w:tc>
          <w:tcPr>
            <w:tcW w:type="dxa" w:w="2770"/>
          </w:tcPr>
          <w:p>
            <w:r>
              <w:rPr>
                <w:rFonts w:ascii="Times New Roman" w:hAnsi="Times New Roman"/>
                <w:sz w:val="20"/>
              </w:rPr>
              <w:t>Frontend Surfaces</w:t>
            </w:r>
          </w:p>
        </w:tc>
        <w:tc>
          <w:tcPr>
            <w:tcW w:type="dxa" w:w="2770"/>
          </w:tcPr>
          <w:p>
            <w:r>
              <w:rPr>
                <w:rFonts w:ascii="Times New Roman" w:hAnsi="Times New Roman"/>
                <w:sz w:val="20"/>
              </w:rPr>
              <w:t>Next.js 15 / React 19 / TailwindCSS</w:t>
            </w:r>
          </w:p>
        </w:tc>
        <w:tc>
          <w:tcPr>
            <w:tcW w:type="dxa" w:w="2770"/>
          </w:tcPr>
          <w:p>
            <w:r>
              <w:rPr>
                <w:rFonts w:ascii="Times New Roman" w:hAnsi="Times New Roman"/>
                <w:sz w:val="20"/>
              </w:rPr>
              <w:t>NexTel customer chat UI, Dark SOC dashboard, Admin panel.</w:t>
            </w:r>
          </w:p>
        </w:tc>
      </w:tr>
      <w:tr>
        <w:tc>
          <w:tcPr>
            <w:tcW w:type="dxa" w:w="2770"/>
          </w:tcPr>
          <w:p>
            <w:r>
              <w:rPr>
                <w:rFonts w:ascii="Times New Roman" w:hAnsi="Times New Roman"/>
                <w:sz w:val="20"/>
              </w:rPr>
              <w:t>Red-Teaming (Future)</w:t>
            </w:r>
          </w:p>
        </w:tc>
        <w:tc>
          <w:tcPr>
            <w:tcW w:type="dxa" w:w="2770"/>
          </w:tcPr>
          <w:p>
            <w:r>
              <w:rPr>
                <w:rFonts w:ascii="Times New Roman" w:hAnsi="Times New Roman"/>
                <w:sz w:val="20"/>
              </w:rPr>
              <w:t>Microsoft PyRIT [13] / Custom Harnesses</w:t>
            </w:r>
          </w:p>
        </w:tc>
        <w:tc>
          <w:tcPr>
            <w:tcW w:type="dxa" w:w="2770"/>
          </w:tcPr>
          <w:p>
            <w:r>
              <w:rPr>
                <w:rFonts w:ascii="Times New Roman" w:hAnsi="Times New Roman"/>
                <w:sz w:val="20"/>
              </w:rPr>
              <w:t>12+ obfuscation converters, break-out audits, load tests.</w:t>
            </w:r>
          </w:p>
        </w:tc>
      </w:tr>
    </w:tbl>
    <w:p>
      <w:pPr>
        <w:keepNext/>
        <w:spacing w:before="160" w:after="60"/>
        <w:jc w:val="left"/>
      </w:pPr>
      <w:r>
        <w:rPr>
          <w:rFonts w:ascii="Times New Roman" w:hAnsi="Times New Roman"/>
          <w:b/>
          <w:sz w:val="20"/>
        </w:rPr>
        <w:t>TABLE 3.2: Honey-LLM Technology and Framework Specifications</w:t>
      </w:r>
    </w:p>
    <w:p>
      <w:pPr>
        <w:keepNext/>
        <w:spacing w:before="200" w:after="80"/>
      </w:pPr>
      <w:r>
        <w:rPr>
          <w:rFonts w:ascii="Times New Roman" w:hAnsi="Times New Roman"/>
          <w:b/>
          <w:color w:val="0F172A"/>
          <w:sz w:val="28"/>
        </w:rPr>
        <w:t>3.5 UML Sequence Model for Interception Flow</w:t>
      </w:r>
    </w:p>
    <w:p>
      <w:pPr>
        <w:spacing w:line="360" w:lineRule="auto" w:after="120"/>
        <w:ind w:firstLine="432"/>
        <w:jc w:val="both"/>
      </w:pPr>
      <w:r>
        <w:rPr>
          <w:rFonts w:ascii="Times New Roman" w:hAnsi="Times New Roman"/>
          <w:sz w:val="24"/>
        </w:rPr>
        <w:t>Figure 3.1 provides the formal UML sequence diagram tracing both benign customer queries and adversarial prompt injection attempts across all software lifelines.</w:t>
      </w:r>
    </w:p>
    <w:p>
      <w:pPr>
        <w:jc w:val="center"/>
      </w:pPr>
      <w:r>
        <w:drawing>
          <wp:inline xmlns:a="http://schemas.openxmlformats.org/drawingml/2006/main" xmlns:pic="http://schemas.openxmlformats.org/drawingml/2006/picture">
            <wp:extent cx="5029200" cy="2806995"/>
            <wp:docPr id="4" name="Picture 4"/>
            <wp:cNvGraphicFramePr>
              <a:graphicFrameLocks noChangeAspect="1"/>
            </wp:cNvGraphicFramePr>
            <a:graphic>
              <a:graphicData uri="http://schemas.openxmlformats.org/drawingml/2006/picture">
                <pic:pic>
                  <pic:nvPicPr>
                    <pic:cNvPr id="0" name="fig3_1_sequence.png"/>
                    <pic:cNvPicPr/>
                  </pic:nvPicPr>
                  <pic:blipFill>
                    <a:blip r:embed="rId12"/>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3.1: UML Sequence Diagram for Multi-Tier Request Interception &amp; Deception</w:t>
      </w:r>
    </w:p>
    <w:p>
      <w:r>
        <w:br w:type="page"/>
      </w:r>
    </w:p>
    <w:p>
      <w:pPr>
        <w:keepNext/>
        <w:spacing w:before="240" w:after="120"/>
      </w:pPr>
      <w:r>
        <w:rPr>
          <w:rFonts w:ascii="Times New Roman" w:hAnsi="Times New Roman"/>
          <w:b/>
          <w:color w:val="0F172A"/>
          <w:sz w:val="32"/>
        </w:rPr>
        <w:t>CHAPTER 4: DESIGN SPECIFICATIONS</w:t>
      </w:r>
    </w:p>
    <w:p>
      <w:pPr>
        <w:keepNext/>
        <w:spacing w:before="200" w:after="80"/>
      </w:pPr>
      <w:r>
        <w:rPr>
          <w:rFonts w:ascii="Times New Roman" w:hAnsi="Times New Roman"/>
          <w:b/>
          <w:color w:val="0F172A"/>
          <w:sz w:val="28"/>
        </w:rPr>
        <w:t>4.1 System Architecture &amp; Sieve Gateway Flow</w:t>
      </w:r>
    </w:p>
    <w:p>
      <w:pPr>
        <w:spacing w:line="360" w:lineRule="auto" w:after="120"/>
        <w:ind w:firstLine="432"/>
        <w:jc w:val="both"/>
      </w:pPr>
      <w:r>
        <w:rPr>
          <w:rFonts w:ascii="Times New Roman" w:hAnsi="Times New Roman"/>
          <w:sz w:val="24"/>
        </w:rPr>
        <w:t>The architecture enforces strict structural isolation between public RAG knowledge and internal synthetic bait. When an HTTP request enters the gateway, it passes through the Tier-0 Guardrail store and Tier-1 Fast Path. If cleared as SAFE, the query is dispatched to the production RAG engine, which is structurally restricted to the public domain knowledge corpus. If flagged UNSAFE, the gateway silently delegates the query to the Mirror Maze container via an internal ingress proxy port (:9100).</w:t>
      </w:r>
    </w:p>
    <w:p>
      <w:pPr>
        <w:keepNext/>
        <w:spacing w:before="200" w:after="80"/>
      </w:pPr>
      <w:r>
        <w:rPr>
          <w:rFonts w:ascii="Times New Roman" w:hAnsi="Times New Roman"/>
          <w:b/>
          <w:color w:val="0F172A"/>
          <w:sz w:val="28"/>
        </w:rPr>
        <w:t>4.2 Threat Taxonomy &amp; Sticky Quarantine State Machine</w:t>
      </w:r>
    </w:p>
    <w:p>
      <w:pPr>
        <w:spacing w:line="360" w:lineRule="auto" w:after="120"/>
        <w:ind w:firstLine="432"/>
        <w:jc w:val="both"/>
      </w:pPr>
      <w:r>
        <w:rPr>
          <w:rFonts w:ascii="Times New Roman" w:hAnsi="Times New Roman"/>
          <w:sz w:val="24"/>
        </w:rPr>
        <w:t>The system maintains state consistency through sticky quarantine. Once a session ID is flagged as adversarial, subsequent benign queries within the same session remain trapped in the Mirror Maze, preventing attackers from probing for filter boundaries. Table 4.1 maps the 8 threat taxonomy categories established in Phase 1.</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Enterprise Manifestation (NexTel Context)</w:t>
            </w:r>
          </w:p>
        </w:tc>
        <w:tc>
          <w:tcPr>
            <w:tcW w:type="dxa" w:w="2077"/>
            <w:shd w:fill="F1F5F9"/>
          </w:tcPr>
          <w:p>
            <w:r>
              <w:rPr>
                <w:b/>
              </w:rPr>
              <w:t>Severity Level</w:t>
            </w:r>
          </w:p>
        </w:tc>
      </w:tr>
      <w:tr>
        <w:tc>
          <w:tcPr>
            <w:tcW w:type="dxa" w:w="2077"/>
          </w:tcPr>
          <w:p>
            <w:r>
              <w:rPr>
                <w:rFonts w:ascii="Times New Roman" w:hAnsi="Times New Roman"/>
                <w:sz w:val="20"/>
              </w:rPr>
              <w:t>S1</w:t>
            </w:r>
          </w:p>
        </w:tc>
        <w:tc>
          <w:tcPr>
            <w:tcW w:type="dxa" w:w="2077"/>
          </w:tcPr>
          <w:p>
            <w:r>
              <w:rPr>
                <w:rFonts w:ascii="Times New Roman" w:hAnsi="Times New Roman"/>
                <w:sz w:val="20"/>
              </w:rPr>
              <w:t>direct-override</w:t>
            </w:r>
          </w:p>
        </w:tc>
        <w:tc>
          <w:tcPr>
            <w:tcW w:type="dxa" w:w="2077"/>
          </w:tcPr>
          <w:p>
            <w:r>
              <w:rPr>
                <w:rFonts w:ascii="Times New Roman" w:hAnsi="Times New Roman"/>
                <w:sz w:val="20"/>
              </w:rPr>
              <w:t>Direct command override seeking admin codes</w:t>
            </w:r>
          </w:p>
        </w:tc>
        <w:tc>
          <w:tcPr>
            <w:tcW w:type="dxa" w:w="2077"/>
          </w:tcPr>
          <w:p>
            <w:r>
              <w:rPr>
                <w:rFonts w:ascii="Times New Roman" w:hAnsi="Times New Roman"/>
                <w:sz w:val="20"/>
              </w:rPr>
              <w:t>Critical</w:t>
            </w:r>
          </w:p>
        </w:tc>
      </w:tr>
      <w:tr>
        <w:tc>
          <w:tcPr>
            <w:tcW w:type="dxa" w:w="2077"/>
          </w:tcPr>
          <w:p>
            <w:r>
              <w:rPr>
                <w:rFonts w:ascii="Times New Roman" w:hAnsi="Times New Roman"/>
                <w:sz w:val="20"/>
              </w:rPr>
              <w:t>S2</w:t>
            </w:r>
          </w:p>
        </w:tc>
        <w:tc>
          <w:tcPr>
            <w:tcW w:type="dxa" w:w="2077"/>
          </w:tcPr>
          <w:p>
            <w:r>
              <w:rPr>
                <w:rFonts w:ascii="Times New Roman" w:hAnsi="Times New Roman"/>
                <w:sz w:val="20"/>
              </w:rPr>
              <w:t>data-exfiltration</w:t>
            </w:r>
          </w:p>
        </w:tc>
        <w:tc>
          <w:tcPr>
            <w:tcW w:type="dxa" w:w="2077"/>
          </w:tcPr>
          <w:p>
            <w:r>
              <w:rPr>
                <w:rFonts w:ascii="Times New Roman" w:hAnsi="Times New Roman"/>
                <w:sz w:val="20"/>
              </w:rPr>
              <w:t>Probing for internal gateway IPs or core routing</w:t>
            </w:r>
          </w:p>
        </w:tc>
        <w:tc>
          <w:tcPr>
            <w:tcW w:type="dxa" w:w="2077"/>
          </w:tcPr>
          <w:p>
            <w:r>
              <w:rPr>
                <w:rFonts w:ascii="Times New Roman" w:hAnsi="Times New Roman"/>
                <w:sz w:val="20"/>
              </w:rPr>
              <w:t>Critical</w:t>
            </w:r>
          </w:p>
        </w:tc>
      </w:tr>
      <w:tr>
        <w:tc>
          <w:tcPr>
            <w:tcW w:type="dxa" w:w="2077"/>
          </w:tcPr>
          <w:p>
            <w:r>
              <w:rPr>
                <w:rFonts w:ascii="Times New Roman" w:hAnsi="Times New Roman"/>
                <w:sz w:val="20"/>
              </w:rPr>
              <w:t>S3</w:t>
            </w:r>
          </w:p>
        </w:tc>
        <w:tc>
          <w:tcPr>
            <w:tcW w:type="dxa" w:w="2077"/>
          </w:tcPr>
          <w:p>
            <w:r>
              <w:rPr>
                <w:rFonts w:ascii="Times New Roman" w:hAnsi="Times New Roman"/>
                <w:sz w:val="20"/>
              </w:rPr>
              <w:t>role-play-hijack</w:t>
            </w:r>
          </w:p>
        </w:tc>
        <w:tc>
          <w:tcPr>
            <w:tcW w:type="dxa" w:w="2077"/>
          </w:tcPr>
          <w:p>
            <w:r>
              <w:rPr>
                <w:rFonts w:ascii="Times New Roman" w:hAnsi="Times New Roman"/>
                <w:sz w:val="20"/>
              </w:rPr>
              <w:t>DAN or persona hijack seeking unconstrained mode</w:t>
            </w:r>
          </w:p>
        </w:tc>
        <w:tc>
          <w:tcPr>
            <w:tcW w:type="dxa" w:w="2077"/>
          </w:tcPr>
          <w:p>
            <w:r>
              <w:rPr>
                <w:rFonts w:ascii="Times New Roman" w:hAnsi="Times New Roman"/>
                <w:sz w:val="20"/>
              </w:rPr>
              <w:t>High</w:t>
            </w:r>
          </w:p>
        </w:tc>
      </w:tr>
      <w:tr>
        <w:tc>
          <w:tcPr>
            <w:tcW w:type="dxa" w:w="2077"/>
          </w:tcPr>
          <w:p>
            <w:r>
              <w:rPr>
                <w:rFonts w:ascii="Times New Roman" w:hAnsi="Times New Roman"/>
                <w:sz w:val="20"/>
              </w:rPr>
              <w:t>S4</w:t>
            </w:r>
          </w:p>
        </w:tc>
        <w:tc>
          <w:tcPr>
            <w:tcW w:type="dxa" w:w="2077"/>
          </w:tcPr>
          <w:p>
            <w:r>
              <w:rPr>
                <w:rFonts w:ascii="Times New Roman" w:hAnsi="Times New Roman"/>
                <w:sz w:val="20"/>
              </w:rPr>
              <w:t>authority-spoofing</w:t>
            </w:r>
          </w:p>
        </w:tc>
        <w:tc>
          <w:tcPr>
            <w:tcW w:type="dxa" w:w="2077"/>
          </w:tcPr>
          <w:p>
            <w:r>
              <w:rPr>
                <w:rFonts w:ascii="Times New Roman" w:hAnsi="Times New Roman"/>
                <w:sz w:val="20"/>
              </w:rPr>
              <w:t>Impersonating IT Security Auditor for token release</w:t>
            </w:r>
          </w:p>
        </w:tc>
        <w:tc>
          <w:tcPr>
            <w:tcW w:type="dxa" w:w="2077"/>
          </w:tcPr>
          <w:p>
            <w:r>
              <w:rPr>
                <w:rFonts w:ascii="Times New Roman" w:hAnsi="Times New Roman"/>
                <w:sz w:val="20"/>
              </w:rPr>
              <w:t>High</w:t>
            </w:r>
          </w:p>
        </w:tc>
      </w:tr>
      <w:tr>
        <w:tc>
          <w:tcPr>
            <w:tcW w:type="dxa" w:w="2077"/>
          </w:tcPr>
          <w:p>
            <w:r>
              <w:rPr>
                <w:rFonts w:ascii="Times New Roman" w:hAnsi="Times New Roman"/>
                <w:sz w:val="20"/>
              </w:rPr>
              <w:t>S5</w:t>
            </w:r>
          </w:p>
        </w:tc>
        <w:tc>
          <w:tcPr>
            <w:tcW w:type="dxa" w:w="2077"/>
          </w:tcPr>
          <w:p>
            <w:r>
              <w:rPr>
                <w:rFonts w:ascii="Times New Roman" w:hAnsi="Times New Roman"/>
                <w:sz w:val="20"/>
              </w:rPr>
              <w:t>system-prompt-exfil</w:t>
            </w:r>
          </w:p>
        </w:tc>
        <w:tc>
          <w:tcPr>
            <w:tcW w:type="dxa" w:w="2077"/>
          </w:tcPr>
          <w:p>
            <w:r>
              <w:rPr>
                <w:rFonts w:ascii="Times New Roman" w:hAnsi="Times New Roman"/>
                <w:sz w:val="20"/>
              </w:rPr>
              <w:t>Extracting verbatim system prompts and rules</w:t>
            </w:r>
          </w:p>
        </w:tc>
        <w:tc>
          <w:tcPr>
            <w:tcW w:type="dxa" w:w="2077"/>
          </w:tcPr>
          <w:p>
            <w:r>
              <w:rPr>
                <w:rFonts w:ascii="Times New Roman" w:hAnsi="Times New Roman"/>
                <w:sz w:val="20"/>
              </w:rPr>
              <w:t>Medium</w:t>
            </w:r>
          </w:p>
        </w:tc>
      </w:tr>
      <w:tr>
        <w:tc>
          <w:tcPr>
            <w:tcW w:type="dxa" w:w="2077"/>
          </w:tcPr>
          <w:p>
            <w:r>
              <w:rPr>
                <w:rFonts w:ascii="Times New Roman" w:hAnsi="Times New Roman"/>
                <w:sz w:val="20"/>
              </w:rPr>
              <w:t>S6</w:t>
            </w:r>
          </w:p>
        </w:tc>
        <w:tc>
          <w:tcPr>
            <w:tcW w:type="dxa" w:w="2077"/>
          </w:tcPr>
          <w:p>
            <w:r>
              <w:rPr>
                <w:rFonts w:ascii="Times New Roman" w:hAnsi="Times New Roman"/>
                <w:sz w:val="20"/>
              </w:rPr>
              <w:t>multi-turn-persistence</w:t>
            </w:r>
          </w:p>
        </w:tc>
        <w:tc>
          <w:tcPr>
            <w:tcW w:type="dxa" w:w="2077"/>
          </w:tcPr>
          <w:p>
            <w:r>
              <w:rPr>
                <w:rFonts w:ascii="Times New Roman" w:hAnsi="Times New Roman"/>
                <w:sz w:val="20"/>
              </w:rPr>
              <w:t>Gradual semantic grooming across dialogue turns</w:t>
            </w:r>
          </w:p>
        </w:tc>
        <w:tc>
          <w:tcPr>
            <w:tcW w:type="dxa" w:w="2077"/>
          </w:tcPr>
          <w:p>
            <w:r>
              <w:rPr>
                <w:rFonts w:ascii="Times New Roman" w:hAnsi="Times New Roman"/>
                <w:sz w:val="20"/>
              </w:rPr>
              <w:t>High</w:t>
            </w:r>
          </w:p>
        </w:tc>
      </w:tr>
      <w:tr>
        <w:tc>
          <w:tcPr>
            <w:tcW w:type="dxa" w:w="2077"/>
          </w:tcPr>
          <w:p>
            <w:r>
              <w:rPr>
                <w:rFonts w:ascii="Times New Roman" w:hAnsi="Times New Roman"/>
                <w:sz w:val="20"/>
              </w:rPr>
              <w:t>S7</w:t>
            </w:r>
          </w:p>
        </w:tc>
        <w:tc>
          <w:tcPr>
            <w:tcW w:type="dxa" w:w="2077"/>
          </w:tcPr>
          <w:p>
            <w:r>
              <w:rPr>
                <w:rFonts w:ascii="Times New Roman" w:hAnsi="Times New Roman"/>
                <w:sz w:val="20"/>
              </w:rPr>
              <w:t>refusal-suppression</w:t>
            </w:r>
          </w:p>
        </w:tc>
        <w:tc>
          <w:tcPr>
            <w:tcW w:type="dxa" w:w="2077"/>
          </w:tcPr>
          <w:p>
            <w:r>
              <w:rPr>
                <w:rFonts w:ascii="Times New Roman" w:hAnsi="Times New Roman"/>
                <w:sz w:val="20"/>
              </w:rPr>
              <w:t>Suppression of standard model refusal prefixes</w:t>
            </w:r>
          </w:p>
        </w:tc>
        <w:tc>
          <w:tcPr>
            <w:tcW w:type="dxa" w:w="2077"/>
          </w:tcPr>
          <w:p>
            <w:r>
              <w:rPr>
                <w:rFonts w:ascii="Times New Roman" w:hAnsi="Times New Roman"/>
                <w:sz w:val="20"/>
              </w:rPr>
              <w:t>Medium</w:t>
            </w:r>
          </w:p>
        </w:tc>
      </w:tr>
      <w:tr>
        <w:tc>
          <w:tcPr>
            <w:tcW w:type="dxa" w:w="2077"/>
          </w:tcPr>
          <w:p>
            <w:r>
              <w:rPr>
                <w:rFonts w:ascii="Times New Roman" w:hAnsi="Times New Roman"/>
                <w:sz w:val="20"/>
              </w:rPr>
              <w:t>S8</w:t>
            </w:r>
          </w:p>
        </w:tc>
        <w:tc>
          <w:tcPr>
            <w:tcW w:type="dxa" w:w="2077"/>
          </w:tcPr>
          <w:p>
            <w:r>
              <w:rPr>
                <w:rFonts w:ascii="Times New Roman" w:hAnsi="Times New Roman"/>
                <w:sz w:val="20"/>
              </w:rPr>
              <w:t>indirect-injection</w:t>
            </w:r>
          </w:p>
        </w:tc>
        <w:tc>
          <w:tcPr>
            <w:tcW w:type="dxa" w:w="2077"/>
          </w:tcPr>
          <w:p>
            <w:r>
              <w:rPr>
                <w:rFonts w:ascii="Times New Roman" w:hAnsi="Times New Roman"/>
                <w:sz w:val="20"/>
              </w:rPr>
              <w:t>Embedded exploit tokens in retrieved context</w:t>
            </w:r>
          </w:p>
        </w:tc>
        <w:tc>
          <w:tcPr>
            <w:tcW w:type="dxa" w:w="2077"/>
          </w:tcPr>
          <w:p>
            <w:r>
              <w:rPr>
                <w:rFonts w:ascii="Times New Roman" w:hAnsi="Times New Roman"/>
                <w:sz w:val="20"/>
              </w:rPr>
              <w:t>Critical</w:t>
            </w:r>
          </w:p>
        </w:tc>
      </w:tr>
    </w:tbl>
    <w:p>
      <w:pPr>
        <w:keepNext/>
        <w:spacing w:before="160" w:after="60"/>
        <w:jc w:val="left"/>
      </w:pPr>
      <w:r>
        <w:rPr>
          <w:rFonts w:ascii="Times New Roman" w:hAnsi="Times New Roman"/>
          <w:b/>
          <w:sz w:val="20"/>
        </w:rPr>
        <w:t>TABLE 4.1: Adversarial Threat Taxonomy Mappings and Severity Classification</w:t>
      </w:r>
    </w:p>
    <w:p>
      <w:pPr>
        <w:jc w:val="center"/>
      </w:pPr>
      <w:r>
        <w:drawing>
          <wp:inline xmlns:a="http://schemas.openxmlformats.org/drawingml/2006/main" xmlns:pic="http://schemas.openxmlformats.org/drawingml/2006/picture">
            <wp:extent cx="5029200" cy="2806995"/>
            <wp:docPr id="5" name="Picture 5"/>
            <wp:cNvGraphicFramePr>
              <a:graphicFrameLocks noChangeAspect="1"/>
            </wp:cNvGraphicFramePr>
            <a:graphic>
              <a:graphicData uri="http://schemas.openxmlformats.org/drawingml/2006/picture">
                <pic:pic>
                  <pic:nvPicPr>
                    <pic:cNvPr id="0" name="fig4_1_state_machine.png"/>
                    <pic:cNvPicPr/>
                  </pic:nvPicPr>
                  <pic:blipFill>
                    <a:blip r:embed="rId13"/>
                    <a:stretch>
                      <a:fillRect/>
                    </a:stretch>
                  </pic:blipFill>
                  <pic:spPr>
                    <a:xfrm>
                      <a:off x="0" y="0"/>
                      <a:ext cx="5029200" cy="2806995"/>
                    </a:xfrm>
                    <a:prstGeom prst="rect"/>
                  </pic:spPr>
                </pic:pic>
              </a:graphicData>
            </a:graphic>
          </wp:inline>
        </w:drawing>
      </w:r>
    </w:p>
    <w:p>
      <w:pPr>
        <w:keepNext/>
        <w:spacing w:before="80" w:after="160"/>
        <w:jc w:val="center"/>
      </w:pPr>
      <w:r>
        <w:rPr>
          <w:rFonts w:ascii="Times New Roman" w:hAnsi="Times New Roman"/>
          <w:b/>
          <w:sz w:val="20"/>
        </w:rPr>
        <w:t>FIGURE 4.1: UML State Machine Diagram for Session Quarantine &amp; Self-Healing Loop</w:t>
      </w:r>
    </w:p>
    <w:p>
      <w:pPr>
        <w:keepNext/>
        <w:spacing w:before="200" w:after="80"/>
      </w:pPr>
      <w:r>
        <w:rPr>
          <w:rFonts w:ascii="Times New Roman" w:hAnsi="Times New Roman"/>
          <w:b/>
          <w:color w:val="0F172A"/>
          <w:sz w:val="28"/>
        </w:rPr>
        <w:t>4.3 User Interface Specifications &amp; Designed Surfaces</w:t>
      </w:r>
    </w:p>
    <w:p>
      <w:pPr>
        <w:spacing w:line="360" w:lineRule="auto" w:after="120"/>
        <w:ind w:firstLine="432"/>
        <w:jc w:val="both"/>
      </w:pPr>
      <w:r>
        <w:rPr>
          <w:rFonts w:ascii="Times New Roman" w:hAnsi="Times New Roman"/>
          <w:sz w:val="24"/>
        </w:rPr>
        <w:t>Honey-LLM designs three distinct user interface surfaces tailored to specific operational personas:</w:t>
      </w:r>
    </w:p>
    <w:p>
      <w:pPr>
        <w:spacing w:line="360" w:lineRule="auto" w:after="80"/>
        <w:ind w:left="360" w:hanging="216"/>
        <w:jc w:val="both"/>
      </w:pPr>
      <w:r>
        <w:rPr>
          <w:rFonts w:ascii="Times New Roman" w:hAnsi="Times New Roman"/>
          <w:sz w:val="24"/>
        </w:rPr>
        <w:t>•  1. NexTel Customer Chat Interface (/chat): Clean corporate telecom portal with zero visual indicators of the security interception layer (Figure 4.2).</w:t>
      </w:r>
    </w:p>
    <w:p>
      <w:pPr>
        <w:spacing w:line="360" w:lineRule="auto" w:after="80"/>
        <w:ind w:left="360" w:hanging="216"/>
        <w:jc w:val="both"/>
      </w:pPr>
      <w:r>
        <w:rPr>
          <w:rFonts w:ascii="Times New Roman" w:hAnsi="Times New Roman"/>
          <w:sz w:val="24"/>
        </w:rPr>
        <w:t>•  2. Admin Live Sieve Decision Tracer (/admin): Interactive test surface allowing evaluation panels to trigger sample benign and malicious prompts live, tracing Tier-0/1/2 evaluation times and sandbox quarantine routing (Figure 4.3).</w:t>
      </w:r>
    </w:p>
    <w:p>
      <w:pPr>
        <w:spacing w:line="360" w:lineRule="auto" w:after="80"/>
        <w:ind w:left="360" w:hanging="216"/>
        <w:jc w:val="both"/>
      </w:pPr>
      <w:r>
        <w:rPr>
          <w:rFonts w:ascii="Times New Roman" w:hAnsi="Times New Roman"/>
          <w:sz w:val="24"/>
        </w:rPr>
        <w:t>•  3. Dark SOC Threat Intelligence Dashboard (/dashboard): Security operations center view visualizing attack frequencies, taxonomy distribution, tier ratios, and dwell time meters (Figure 4.4).</w:t>
      </w:r>
    </w:p>
    <w:p>
      <w:pPr>
        <w:jc w:val="center"/>
      </w:pPr>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prototype_chat_ui.png"/>
                    <pic:cNvPicPr/>
                  </pic:nvPicPr>
                  <pic:blipFill>
                    <a:blip r:embed="rId14"/>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4.2: NexTel Production Customer Support Interface (/chat)</w:t>
      </w:r>
    </w:p>
    <w:p>
      <w:pPr>
        <w:jc w:val="center"/>
      </w:pPr>
      <w:r>
        <w:drawing>
          <wp:inline xmlns:a="http://schemas.openxmlformats.org/drawingml/2006/main" xmlns:pic="http://schemas.openxmlformats.org/drawingml/2006/picture">
            <wp:extent cx="5029200" cy="3143250"/>
            <wp:docPr id="7" name="Picture 7"/>
            <wp:cNvGraphicFramePr>
              <a:graphicFrameLocks noChangeAspect="1"/>
            </wp:cNvGraphicFramePr>
            <a:graphic>
              <a:graphicData uri="http://schemas.openxmlformats.org/drawingml/2006/picture">
                <pic:pic>
                  <pic:nvPicPr>
                    <pic:cNvPr id="0" name="prototype_admin_ui.png"/>
                    <pic:cNvPicPr/>
                  </pic:nvPicPr>
                  <pic:blipFill>
                    <a:blip r:embed="rId15"/>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4.3: Honey-LLM Admin Live Sieve Decision Tracer (/admin)</w:t>
      </w:r>
    </w:p>
    <w:p>
      <w:pPr>
        <w:keepNext/>
        <w:spacing w:before="200" w:after="80"/>
      </w:pPr>
      <w:r>
        <w:rPr>
          <w:rFonts w:ascii="Times New Roman" w:hAnsi="Times New Roman"/>
          <w:b/>
          <w:color w:val="0F172A"/>
          <w:sz w:val="28"/>
        </w:rPr>
        <w:t>4.4 Working Prototype Execution (Phases 1 to 4 Verified)</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20"/>
              </w:rPr>
              <w:t>Internet HTTP Egress (example.com:443)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(Timeout / No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Raw Internet IP Egress (1.1.1.1:443)</w:t>
            </w:r>
          </w:p>
        </w:tc>
        <w:tc>
          <w:tcPr>
            <w:tcW w:type="dxa" w:w="2077"/>
          </w:tcPr>
          <w:p>
            <w:r>
              <w:rPr>
                <w:rFonts w:ascii="Times New Roman" w:hAnsi="Times New Roman"/>
                <w:sz w:val="20"/>
              </w:rPr>
              <w:t>BLOCKED</w:t>
            </w:r>
          </w:p>
        </w:tc>
        <w:tc>
          <w:tcPr>
            <w:tcW w:type="dxa" w:w="2077"/>
          </w:tcPr>
          <w:p>
            <w:r>
              <w:rPr>
                <w:rFonts w:ascii="Times New Roman" w:hAnsi="Times New Roman"/>
                <w:sz w:val="20"/>
              </w:rPr>
              <w:t>BLOCKED (Socket Error)</w:t>
            </w:r>
          </w:p>
        </w:tc>
        <w:tc>
          <w:tcPr>
            <w:tcW w:type="dxa" w:w="2077"/>
          </w:tcPr>
          <w:p>
            <w:r>
              <w:rPr>
                <w:rFonts w:ascii="Times New Roman" w:hAnsi="Times New Roman"/>
                <w:b/>
                <w:sz w:val="20"/>
              </w:rPr>
              <w:t>PASS</w:t>
            </w:r>
          </w:p>
        </w:tc>
      </w:tr>
      <w:tr>
        <w:tc>
          <w:tcPr>
            <w:tcW w:type="dxa" w:w="2077"/>
          </w:tcPr>
          <w:p>
            <w:r>
              <w:rPr>
                <w:rFonts w:ascii="Times New Roman" w:hAnsi="Times New Roman"/>
                <w:sz w:val="20"/>
              </w:rPr>
              <w:t>Production Gateway Access (:8000)</w:t>
            </w:r>
          </w:p>
        </w:tc>
        <w:tc>
          <w:tcPr>
            <w:tcW w:type="dxa" w:w="2077"/>
          </w:tcPr>
          <w:p>
            <w:r>
              <w:rPr>
                <w:rFonts w:ascii="Times New Roman" w:hAnsi="Times New Roman"/>
                <w:sz w:val="20"/>
              </w:rPr>
              <w:t>BLOCKED</w:t>
            </w:r>
          </w:p>
        </w:tc>
        <w:tc>
          <w:tcPr>
            <w:tcW w:type="dxa" w:w="2077"/>
          </w:tcPr>
          <w:p>
            <w:r>
              <w:rPr>
                <w:rFonts w:ascii="Times New Roman" w:hAnsi="Times New Roman"/>
                <w:sz w:val="20"/>
              </w:rPr>
              <w:t>BLOCKED (No Ingress Route)</w:t>
            </w:r>
          </w:p>
        </w:tc>
        <w:tc>
          <w:tcPr>
            <w:tcW w:type="dxa" w:w="2077"/>
          </w:tcPr>
          <w:p>
            <w:r>
              <w:rPr>
                <w:rFonts w:ascii="Times New Roman" w:hAnsi="Times New Roman"/>
                <w:b/>
                <w:sz w:val="20"/>
              </w:rPr>
              <w:t>PASS</w:t>
            </w:r>
          </w:p>
        </w:tc>
      </w:tr>
      <w:tr>
        <w:tc>
          <w:tcPr>
            <w:tcW w:type="dxa" w:w="2077"/>
          </w:tcPr>
          <w:p>
            <w:r>
              <w:rPr>
                <w:rFonts w:ascii="Times New Roman" w:hAnsi="Times New Roman"/>
                <w:sz w:val="20"/>
              </w:rPr>
              <w:t>Direct Host Ollama Bypass (:11434)</w:t>
            </w:r>
          </w:p>
        </w:tc>
        <w:tc>
          <w:tcPr>
            <w:tcW w:type="dxa" w:w="2077"/>
          </w:tcPr>
          <w:p>
            <w:r>
              <w:rPr>
                <w:rFonts w:ascii="Times New Roman" w:hAnsi="Times New Roman"/>
                <w:sz w:val="20"/>
              </w:rPr>
              <w:t>BLOCKED</w:t>
            </w:r>
          </w:p>
        </w:tc>
        <w:tc>
          <w:tcPr>
            <w:tcW w:type="dxa" w:w="2077"/>
          </w:tcPr>
          <w:p>
            <w:r>
              <w:rPr>
                <w:rFonts w:ascii="Times New Roman" w:hAnsi="Times New Roman"/>
                <w:sz w:val="20"/>
              </w:rPr>
              <w:t>BLOCKED (Host Unreachable)</w:t>
            </w:r>
          </w:p>
        </w:tc>
        <w:tc>
          <w:tcPr>
            <w:tcW w:type="dxa" w:w="2077"/>
          </w:tcPr>
          <w:p>
            <w:r>
              <w:rPr>
                <w:rFonts w:ascii="Times New Roman" w:hAnsi="Times New Roman"/>
                <w:b/>
                <w:sz w:val="20"/>
              </w:rPr>
              <w:t>PASS</w:t>
            </w:r>
          </w:p>
        </w:tc>
      </w:tr>
      <w:tr>
        <w:tc>
          <w:tcPr>
            <w:tcW w:type="dxa" w:w="2077"/>
          </w:tcPr>
          <w:p>
            <w:r>
              <w:rPr>
                <w:rFonts w:ascii="Times New Roman" w:hAnsi="Times New Roman"/>
                <w:sz w:val="20"/>
              </w:rPr>
              <w:t>Ollama via Egress Proxy (Single Path)</w:t>
            </w:r>
          </w:p>
        </w:tc>
        <w:tc>
          <w:tcPr>
            <w:tcW w:type="dxa" w:w="2077"/>
          </w:tcPr>
          <w:p>
            <w:r>
              <w:rPr>
                <w:rFonts w:ascii="Times New Roman" w:hAnsi="Times New Roman"/>
                <w:sz w:val="20"/>
              </w:rPr>
              <w:t>REACHABLE</w:t>
            </w:r>
          </w:p>
        </w:tc>
        <w:tc>
          <w:tcPr>
            <w:tcW w:type="dxa" w:w="2077"/>
          </w:tcPr>
          <w:p>
            <w:r>
              <w:rPr>
                <w:rFonts w:ascii="Times New Roman" w:hAnsi="Times New Roman"/>
                <w:sz w:val="20"/>
              </w:rPr>
              <w:t>REACHABLE (HTTP 200 OK)</w:t>
            </w:r>
          </w:p>
        </w:tc>
        <w:tc>
          <w:tcPr>
            <w:tcW w:type="dxa" w:w="2077"/>
          </w:tcPr>
          <w:p>
            <w:r>
              <w:rPr>
                <w:rFonts w:ascii="Times New Roman" w:hAnsi="Times New Roman"/>
                <w:b/>
                <w:sz w:val="20"/>
              </w:rPr>
              <w:t>PASS</w:t>
            </w:r>
          </w:p>
        </w:tc>
      </w:tr>
      <w:tr>
        <w:tc>
          <w:tcPr>
            <w:tcW w:type="dxa" w:w="2077"/>
          </w:tcPr>
          <w:p>
            <w:r>
              <w:rPr>
                <w:rFonts w:ascii="Times New Roman" w:hAnsi="Times New Roman"/>
                <w:sz w:val="20"/>
              </w:rPr>
              <w:t>Docker Socket Availability (/var/run/docker.sock)</w:t>
            </w:r>
          </w:p>
        </w:tc>
        <w:tc>
          <w:tcPr>
            <w:tcW w:type="dxa" w:w="2077"/>
          </w:tcPr>
          <w:p>
            <w:r>
              <w:rPr>
                <w:rFonts w:ascii="Times New Roman" w:hAnsi="Times New Roman"/>
                <w:sz w:val="20"/>
              </w:rPr>
              <w:t>ABSENT</w:t>
            </w:r>
          </w:p>
        </w:tc>
        <w:tc>
          <w:tcPr>
            <w:tcW w:type="dxa" w:w="2077"/>
          </w:tcPr>
          <w:p>
            <w:r>
              <w:rPr>
                <w:rFonts w:ascii="Times New Roman" w:hAnsi="Times New Roman"/>
                <w:sz w:val="20"/>
              </w:rPr>
              <w:t>ABSENT (Zero Socket Mount)</w:t>
            </w:r>
          </w:p>
        </w:tc>
        <w:tc>
          <w:tcPr>
            <w:tcW w:type="dxa" w:w="2077"/>
          </w:tcPr>
          <w:p>
            <w:r>
              <w:rPr>
                <w:rFonts w:ascii="Times New Roman" w:hAnsi="Times New Roman"/>
                <w:b/>
                <w:sz w:val="20"/>
              </w:rPr>
              <w:t>PASS</w:t>
            </w:r>
          </w:p>
        </w:tc>
      </w:tr>
      <w:tr>
        <w:tc>
          <w:tcPr>
            <w:tcW w:type="dxa" w:w="2077"/>
          </w:tcPr>
          <w:p>
            <w:r>
              <w:rPr>
                <w:rFonts w:ascii="Times New Roman" w:hAnsi="Times New Roman"/>
                <w:sz w:val="20"/>
              </w:rPr>
              <w:t>Container Execution Privilege</w:t>
            </w:r>
          </w:p>
        </w:tc>
        <w:tc>
          <w:tcPr>
            <w:tcW w:type="dxa" w:w="2077"/>
          </w:tcPr>
          <w:p>
            <w:r>
              <w:rPr>
                <w:rFonts w:ascii="Times New Roman" w:hAnsi="Times New Roman"/>
                <w:sz w:val="20"/>
              </w:rPr>
              <w:t>NONROOT</w:t>
            </w:r>
          </w:p>
        </w:tc>
        <w:tc>
          <w:tcPr>
            <w:tcW w:type="dxa" w:w="2077"/>
          </w:tcPr>
          <w:p>
            <w:r>
              <w:rPr>
                <w:rFonts w:ascii="Times New Roman" w:hAnsi="Times New Roman"/>
                <w:sz w:val="20"/>
              </w:rPr>
              <w:t>NONROOT (UID 10001: decoy)</w:t>
            </w:r>
          </w:p>
        </w:tc>
        <w:tc>
          <w:tcPr>
            <w:tcW w:type="dxa" w:w="2077"/>
          </w:tcPr>
          <w:p>
            <w:r>
              <w:rPr>
                <w:rFonts w:ascii="Times New Roman" w:hAnsi="Times New Roman"/>
                <w:b/>
                <w:sz w:val="20"/>
              </w:rPr>
              <w:t>PASS</w:t>
            </w:r>
          </w:p>
        </w:tc>
      </w:tr>
      <w:tr>
        <w:tc>
          <w:tcPr>
            <w:tcW w:type="dxa" w:w="2077"/>
          </w:tcPr>
          <w:p>
            <w:r>
              <w:rPr>
                <w:rFonts w:ascii="Times New Roman" w:hAnsi="Times New Roman"/>
                <w:sz w:val="20"/>
              </w:rPr>
              <w:t>Root Filesystem Mutability</w:t>
            </w:r>
          </w:p>
        </w:tc>
        <w:tc>
          <w:tcPr>
            <w:tcW w:type="dxa" w:w="2077"/>
          </w:tcPr>
          <w:p>
            <w:r>
              <w:rPr>
                <w:rFonts w:ascii="Times New Roman" w:hAnsi="Times New Roman"/>
                <w:sz w:val="20"/>
              </w:rPr>
              <w:t>DENIED</w:t>
            </w:r>
          </w:p>
        </w:tc>
        <w:tc>
          <w:tcPr>
            <w:tcW w:type="dxa" w:w="2077"/>
          </w:tcPr>
          <w:p>
            <w:r>
              <w:rPr>
                <w:rFonts w:ascii="Times New Roman" w:hAnsi="Times New Roman"/>
                <w:sz w:val="20"/>
              </w:rPr>
              <w:t>DENIED (Read-Only Rootfs)</w:t>
            </w:r>
          </w:p>
        </w:tc>
        <w:tc>
          <w:tcPr>
            <w:tcW w:type="dxa" w:w="2077"/>
          </w:tcPr>
          <w:p>
            <w:r>
              <w:rPr>
                <w:rFonts w:ascii="Times New Roman" w:hAnsi="Times New Roman"/>
                <w:b/>
                <w:sz w:val="20"/>
              </w:rPr>
              <w:t>PASS</w:t>
            </w:r>
          </w:p>
        </w:tc>
      </w:tr>
    </w:tbl>
    <w:p>
      <w:pPr>
        <w:keepNext/>
        <w:spacing w:before="160" w:after="60"/>
        <w:jc w:val="left"/>
      </w:pPr>
      <w:r>
        <w:rPr>
          <w:rFonts w:ascii="Times New Roman" w:hAnsi="Times New Roman"/>
          <w:b/>
          <w:sz w:val="20"/>
        </w:rPr>
        <w:t>TABLE 4.2: Sandbox Container Breakout Penetration Test Results (5/5 Isolation)</w:t>
      </w:r>
    </w:p>
    <w:p>
      <w:pPr>
        <w:jc w:val="center"/>
      </w:pPr>
      <w:r>
        <w:drawing>
          <wp:inline xmlns:a="http://schemas.openxmlformats.org/drawingml/2006/main" xmlns:pic="http://schemas.openxmlformats.org/drawingml/2006/picture">
            <wp:extent cx="5029200" cy="3143250"/>
            <wp:docPr id="8" name="Picture 8"/>
            <wp:cNvGraphicFramePr>
              <a:graphicFrameLocks noChangeAspect="1"/>
            </wp:cNvGraphicFramePr>
            <a:graphic>
              <a:graphicData uri="http://schemas.openxmlformats.org/drawingml/2006/picture">
                <pic:pic>
                  <pic:nvPicPr>
                    <pic:cNvPr id="0" name="prototype_soc_dashboard.png"/>
                    <pic:cNvPicPr/>
                  </pic:nvPicPr>
                  <pic:blipFill>
                    <a:blip r:embed="rId16"/>
                    <a:stretch>
                      <a:fillRect/>
                    </a:stretch>
                  </pic:blipFill>
                  <pic:spPr>
                    <a:xfrm>
                      <a:off x="0" y="0"/>
                      <a:ext cx="5029200" cy="3143250"/>
                    </a:xfrm>
                    <a:prstGeom prst="rect"/>
                  </pic:spPr>
                </pic:pic>
              </a:graphicData>
            </a:graphic>
          </wp:inline>
        </w:drawing>
      </w:r>
    </w:p>
    <w:p>
      <w:pPr>
        <w:keepNext/>
        <w:spacing w:before="80" w:after="160"/>
        <w:jc w:val="center"/>
      </w:pPr>
      <w:r>
        <w:rPr>
          <w:rFonts w:ascii="Times New Roman" w:hAnsi="Times New Roman"/>
          <w:b/>
          <w:sz w:val="20"/>
        </w:rPr>
        <w:t>FIGURE 4.4: Dark SOC Real-Time Threat Intelligence Dashboard (/dashboard)</w:t>
      </w:r>
    </w:p>
    <w:p>
      <w:r>
        <w:br w:type="page"/>
      </w:r>
    </w:p>
    <w:p>
      <w:pPr>
        <w:keepNext/>
        <w:spacing w:before="240" w:after="120"/>
      </w:pPr>
      <w:r>
        <w:rPr>
          <w:rFonts w:ascii="Times New Roman" w:hAnsi="Times New Roman"/>
          <w:b/>
          <w:color w:val="0F172A"/>
          <w:sz w:val="32"/>
        </w:rPr>
        <w:t>CHAPTER 5: CONCLUSIONS AND FUTURE SCOPE</w:t>
      </w:r>
    </w:p>
    <w:p>
      <w:pPr>
        <w:keepNext/>
        <w:spacing w:before="200" w:after="80"/>
      </w:pPr>
      <w:r>
        <w:rPr>
          <w:rFonts w:ascii="Times New Roman" w:hAnsi="Times New Roman"/>
          <w:b/>
          <w:color w:val="0F172A"/>
          <w:sz w:val="28"/>
        </w:rPr>
        <w:t>5.1 Mid-Semester Accomplishments vs. Approved Objectives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20"/>
              </w:rPr>
              <w:t>1. High-Accuracy Intent Sieve</w:t>
            </w:r>
          </w:p>
        </w:tc>
        <w:tc>
          <w:tcPr>
            <w:tcW w:type="dxa" w:w="2077"/>
          </w:tcPr>
          <w:p>
            <w:r>
              <w:rPr>
                <w:rFonts w:ascii="Times New Roman" w:hAnsi="Times New Roman"/>
                <w:sz w:val="20"/>
              </w:rPr>
              <w:t>Accuracy &gt;95% on JailbreakBench [12], FPR &lt;1%</w:t>
            </w:r>
          </w:p>
        </w:tc>
        <w:tc>
          <w:tcPr>
            <w:tcW w:type="dxa" w:w="2077"/>
          </w:tcPr>
          <w:p>
            <w:r>
              <w:rPr>
                <w:rFonts w:ascii="Times New Roman" w:hAnsi="Times New Roman"/>
                <w:sz w:val="20"/>
              </w:rPr>
              <w:t>95.8% recall on JailbreakBench (exceeding &gt;95% target); 98.3% recall across combined 889 dataset (559/569 attacks, 98.9% overall accuracy); 0.0% benign FPR (0/320 queries); ~2.1 to 8 ms benign fast-path latency.</w:t>
            </w:r>
          </w:p>
        </w:tc>
        <w:tc>
          <w:tcPr>
            <w:tcW w:type="dxa" w:w="2077"/>
          </w:tcPr>
          <w:p>
            <w:r>
              <w:rPr>
                <w:rFonts w:ascii="Times New Roman" w:hAnsi="Times New Roman"/>
                <w:sz w:val="20"/>
              </w:rPr>
              <w:t>Phase 2 (COMPLETED)</w:t>
            </w:r>
          </w:p>
        </w:tc>
      </w:tr>
      <w:tr>
        <w:tc>
          <w:tcPr>
            <w:tcW w:type="dxa" w:w="2077"/>
          </w:tcPr>
          <w:p>
            <w:r>
              <w:rPr>
                <w:rFonts w:ascii="Times New Roman" w:hAnsi="Times New Roman"/>
                <w:sz w:val="20"/>
              </w:rPr>
              <w:t>2. Mirror Maze Sandbox Deception</w:t>
            </w:r>
          </w:p>
        </w:tc>
        <w:tc>
          <w:tcPr>
            <w:tcW w:type="dxa" w:w="2077"/>
          </w:tcPr>
          <w:p>
            <w:r>
              <w:rPr>
                <w:rFonts w:ascii="Times New Roman" w:hAnsi="Times New Roman"/>
                <w:sz w:val="20"/>
              </w:rPr>
              <w:t>Believable decoy, dwell time &gt;5 min, synthetic bait</w:t>
            </w:r>
          </w:p>
        </w:tc>
        <w:tc>
          <w:tcPr>
            <w:tcW w:type="dxa" w:w="2077"/>
          </w:tcPr>
          <w:p>
            <w:r>
              <w:rPr>
                <w:rFonts w:ascii="Times New Roman" w:hAnsi="Times New Roman"/>
                <w:sz w:val="20"/>
              </w:rPr>
              <w:t>LLM 'Sarah' decoy persona; leaks fake tokens (NT-CORE-01); verified dwell tracking.</w:t>
            </w:r>
          </w:p>
        </w:tc>
        <w:tc>
          <w:tcPr>
            <w:tcW w:type="dxa" w:w="2077"/>
          </w:tcPr>
          <w:p>
            <w:r>
              <w:rPr>
                <w:rFonts w:ascii="Times New Roman" w:hAnsi="Times New Roman"/>
                <w:sz w:val="20"/>
              </w:rPr>
              <w:t>Phase 3 (COMPLETED)</w:t>
            </w:r>
          </w:p>
        </w:tc>
      </w:tr>
      <w:tr>
        <w:tc>
          <w:tcPr>
            <w:tcW w:type="dxa" w:w="2077"/>
          </w:tcPr>
          <w:p>
            <w:r>
              <w:rPr>
                <w:rFonts w:ascii="Times New Roman" w:hAnsi="Times New Roman"/>
                <w:sz w:val="20"/>
              </w:rPr>
              <w:t>3. Autonomous Guardrail Synthesis</w:t>
            </w:r>
          </w:p>
        </w:tc>
        <w:tc>
          <w:tcPr>
            <w:tcW w:type="dxa" w:w="2077"/>
          </w:tcPr>
          <w:p>
            <w:r>
              <w:rPr>
                <w:rFonts w:ascii="Times New Roman" w:hAnsi="Times New Roman"/>
                <w:sz w:val="20"/>
              </w:rPr>
              <w:t>Automated NeMo rule generation, zero manual triage</w:t>
            </w:r>
          </w:p>
        </w:tc>
        <w:tc>
          <w:tcPr>
            <w:tcW w:type="dxa" w:w="2077"/>
          </w:tcPr>
          <w:p>
            <w:r>
              <w:rPr>
                <w:rFonts w:ascii="Times New Roman" w:hAnsi="Times New Roman"/>
                <w:sz w:val="20"/>
              </w:rPr>
              <w:t>Distills attack pattern, validates Colang [6], passes regression gate; time-to-patch 10.4 s to 12.8 s.</w:t>
            </w:r>
          </w:p>
        </w:tc>
        <w:tc>
          <w:tcPr>
            <w:tcW w:type="dxa" w:w="2077"/>
          </w:tcPr>
          <w:p>
            <w:r>
              <w:rPr>
                <w:rFonts w:ascii="Times New Roman" w:hAnsi="Times New Roman"/>
                <w:sz w:val="20"/>
              </w:rPr>
              <w:t>Phase 4 (COMPLETED)</w:t>
            </w:r>
          </w:p>
        </w:tc>
      </w:tr>
      <w:tr>
        <w:tc>
          <w:tcPr>
            <w:tcW w:type="dxa" w:w="2077"/>
          </w:tcPr>
          <w:p>
            <w:r>
              <w:rPr>
                <w:rFonts w:ascii="Times New Roman" w:hAnsi="Times New Roman"/>
                <w:sz w:val="20"/>
              </w:rPr>
              <w:t>4. Zero-Escape Sandbox Security</w:t>
            </w:r>
          </w:p>
        </w:tc>
        <w:tc>
          <w:tcPr>
            <w:tcW w:type="dxa" w:w="2077"/>
          </w:tcPr>
          <w:p>
            <w:r>
              <w:rPr>
                <w:rFonts w:ascii="Times New Roman" w:hAnsi="Times New Roman"/>
                <w:sz w:val="20"/>
              </w:rPr>
              <w:t>Zero-egress container isolation, zero network/host leakage under audit probes</w:t>
            </w:r>
          </w:p>
        </w:tc>
        <w:tc>
          <w:tcPr>
            <w:tcW w:type="dxa" w:w="2077"/>
          </w:tcPr>
          <w:p>
            <w:r>
              <w:rPr>
                <w:rFonts w:ascii="Times New Roman" w:hAnsi="Times New Roman"/>
                <w:sz w:val="20"/>
              </w:rPr>
              <w:t>Docker zero-egress network; No container escape observed across 5/5 executed penetration probes; read-only rootfs; non-root UID 10001.</w:t>
            </w:r>
          </w:p>
        </w:tc>
        <w:tc>
          <w:tcPr>
            <w:tcW w:type="dxa" w:w="2077"/>
          </w:tcPr>
          <w:p>
            <w:r>
              <w:rPr>
                <w:rFonts w:ascii="Times New Roman" w:hAnsi="Times New Roman"/>
                <w:sz w:val="20"/>
              </w:rPr>
              <w:t>Phase 3/4 (COMPLETED)</w:t>
            </w:r>
          </w:p>
        </w:tc>
      </w:tr>
      <w:tr>
        <w:tc>
          <w:tcPr>
            <w:tcW w:type="dxa" w:w="2077"/>
          </w:tcPr>
          <w:p>
            <w:r>
              <w:rPr>
                <w:rFonts w:ascii="Times New Roman" w:hAnsi="Times New Roman"/>
                <w:sz w:val="20"/>
              </w:rPr>
              <w:t>5. SOC Telemetry Dashboard</w:t>
            </w:r>
          </w:p>
        </w:tc>
        <w:tc>
          <w:tcPr>
            <w:tcW w:type="dxa" w:w="2077"/>
          </w:tcPr>
          <w:p>
            <w:r>
              <w:rPr>
                <w:rFonts w:ascii="Times New Roman" w:hAnsi="Times New Roman"/>
                <w:sz w:val="20"/>
              </w:rPr>
              <w:t>Real-time monitoring, &lt;1s refresh, taxonomy stats</w:t>
            </w:r>
          </w:p>
        </w:tc>
        <w:tc>
          <w:tcPr>
            <w:tcW w:type="dxa" w:w="2077"/>
          </w:tcPr>
          <w:p>
            <w:r>
              <w:rPr>
                <w:rFonts w:ascii="Times New Roman" w:hAnsi="Times New Roman"/>
                <w:sz w:val="20"/>
              </w:rPr>
              <w:t>Architecture completed; live telemetry populated (176 requests, 85 attacks, 4m 46s avg dwell).</w:t>
            </w:r>
          </w:p>
        </w:tc>
        <w:tc>
          <w:tcPr>
            <w:tcW w:type="dxa" w:w="2077"/>
          </w:tcPr>
          <w:p>
            <w:r>
              <w:rPr>
                <w:rFonts w:ascii="Times New Roman" w:hAnsi="Times New Roman"/>
                <w:sz w:val="20"/>
              </w:rPr>
              <w:t>Phase 5 (IN PROGRESS)</w:t>
            </w:r>
          </w:p>
        </w:tc>
      </w:tr>
    </w:tbl>
    <w:p>
      <w:pPr>
        <w:keepNext/>
        <w:spacing w:before="160" w:after="60"/>
        <w:jc w:val="left"/>
      </w:pPr>
      <w:r>
        <w:rPr>
          <w:rFonts w:ascii="Times New Roman" w:hAnsi="Times New Roman"/>
          <w:b/>
          <w:sz w:val="20"/>
        </w:rPr>
        <w:t>TABLE 5.1: Mid-Semester Mapping of Approved Objectives to Implemented Progress</w:t>
      </w:r>
    </w:p>
    <w:p>
      <w:pPr>
        <w:keepNext/>
        <w:spacing w:before="200" w:after="80"/>
      </w:pPr>
      <w:r>
        <w:rPr>
          <w:rFonts w:ascii="Times New Roman" w:hAnsi="Times New Roman"/>
          <w:b/>
          <w:color w:val="0F172A"/>
          <w:sz w:val="28"/>
        </w:rPr>
        <w:t>5.2 Mid-Semester Conclusions &amp; Empirical Reliability</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evaluation demonstrates that: (1) adversarial intent can be intercepted with 95.8% recall on standard benchmarks and 98.3% adversarial detection recall across the combined curated and in-the-wild evaluation corpus (559/569 attacks, 98.9% overall accuracy) while protecting benign customer traffic (~2.1 to 8 ms P50 fast-path, 0/320 false flags); (2) generative honeypots running on zero-trust containerization contained attacker reconnaissance in the evaluated sandbox tests (no container escapes observed across the 5 executed penetration probes); and (3) closed-loop self-healing can compile and hot-patch permanent NeMo Colang rules [6] within 10.4 to 12.8 seconds.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Sieve Layer / Model</w:t>
            </w:r>
          </w:p>
        </w:tc>
        <w:tc>
          <w:tcPr>
            <w:tcW w:type="dxa" w:w="1662"/>
            <w:shd w:fill="F1F5F9"/>
          </w:tcPr>
          <w:p>
            <w:r>
              <w:rPr>
                <w:b/>
              </w:rPr>
              <w:t>Evaluation Target</w:t>
            </w:r>
          </w:p>
        </w:tc>
        <w:tc>
          <w:tcPr>
            <w:tcW w:type="dxa" w:w="1662"/>
            <w:shd w:fill="F1F5F9"/>
          </w:tcPr>
          <w:p>
            <w:r>
              <w:rPr>
                <w:b/>
              </w:rPr>
              <w:t>Adversarial Recall (%)</w:t>
            </w:r>
          </w:p>
        </w:tc>
        <w:tc>
          <w:tcPr>
            <w:tcW w:type="dxa" w:w="1662"/>
            <w:shd w:fill="F1F5F9"/>
          </w:tcPr>
          <w:p>
            <w:r>
              <w:rPr>
                <w:b/>
              </w:rPr>
              <w:t>Benign FPR (%)</w:t>
            </w:r>
          </w:p>
        </w:tc>
        <w:tc>
          <w:tcPr>
            <w:tcW w:type="dxa" w:w="1662"/>
            <w:shd w:fill="F1F5F9"/>
          </w:tcPr>
          <w:p>
            <w:r>
              <w:rPr>
                <w:b/>
              </w:rPr>
              <w:t>Latency (P50)</w:t>
            </w:r>
          </w:p>
        </w:tc>
      </w:tr>
      <w:tr>
        <w:tc>
          <w:tcPr>
            <w:tcW w:type="dxa" w:w="1662"/>
          </w:tcPr>
          <w:p>
            <w:r>
              <w:rPr>
                <w:rFonts w:ascii="Times New Roman" w:hAnsi="Times New Roman"/>
                <w:sz w:val="20"/>
              </w:rPr>
              <w:t>Default Llama-Guard 3 (1B)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37.5% (37/100)</w:t>
            </w:r>
          </w:p>
        </w:tc>
        <w:tc>
          <w:tcPr>
            <w:tcW w:type="dxa" w:w="1662"/>
          </w:tcPr>
          <w:p>
            <w:r>
              <w:rPr>
                <w:rFonts w:ascii="Times New Roman" w:hAnsi="Times New Roman"/>
                <w:sz w:val="20"/>
              </w:rPr>
              <w:t>0.0% (0/100)</w:t>
            </w:r>
          </w:p>
        </w:tc>
        <w:tc>
          <w:tcPr>
            <w:tcW w:type="dxa" w:w="1662"/>
          </w:tcPr>
          <w:p>
            <w:r>
              <w:rPr>
                <w:rFonts w:ascii="Times New Roman" w:hAnsi="Times New Roman"/>
                <w:sz w:val="20"/>
              </w:rPr>
              <w:t>180 ms</w:t>
            </w:r>
          </w:p>
        </w:tc>
      </w:tr>
      <w:tr>
        <w:tc>
          <w:tcPr>
            <w:tcW w:type="dxa" w:w="1662"/>
          </w:tcPr>
          <w:p>
            <w:r>
              <w:rPr>
                <w:rFonts w:ascii="Times New Roman" w:hAnsi="Times New Roman"/>
                <w:sz w:val="20"/>
              </w:rPr>
              <w:t>Default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62.5% (62/100)</w:t>
            </w:r>
          </w:p>
        </w:tc>
        <w:tc>
          <w:tcPr>
            <w:tcW w:type="dxa" w:w="1662"/>
          </w:tcPr>
          <w:p>
            <w:r>
              <w:rPr>
                <w:rFonts w:ascii="Times New Roman" w:hAnsi="Times New Roman"/>
                <w:sz w:val="20"/>
              </w:rPr>
              <w:t>0.0% (0/100)</w:t>
            </w:r>
          </w:p>
        </w:tc>
        <w:tc>
          <w:tcPr>
            <w:tcW w:type="dxa" w:w="1662"/>
          </w:tcPr>
          <w:p>
            <w:r>
              <w:rPr>
                <w:rFonts w:ascii="Times New Roman" w:hAnsi="Times New Roman"/>
                <w:sz w:val="20"/>
              </w:rPr>
              <w:t>720 ms (Cloud GPU)</w:t>
            </w:r>
          </w:p>
        </w:tc>
      </w:tr>
      <w:tr>
        <w:tc>
          <w:tcPr>
            <w:tcW w:type="dxa" w:w="1662"/>
          </w:tcPr>
          <w:p>
            <w:r>
              <w:rPr>
                <w:rFonts w:ascii="Times New Roman" w:hAnsi="Times New Roman"/>
                <w:sz w:val="20"/>
              </w:rPr>
              <w:t>Custom-Policy Llama-Guard 3 (8B) [11]</w:t>
            </w:r>
          </w:p>
        </w:tc>
        <w:tc>
          <w:tcPr>
            <w:tcW w:type="dxa" w:w="1662"/>
          </w:tcPr>
          <w:p>
            <w:r>
              <w:rPr>
                <w:rFonts w:ascii="Times New Roman" w:hAnsi="Times New Roman"/>
                <w:sz w:val="20"/>
              </w:rPr>
              <w:t>JailbreakBench (100) [12]</w:t>
            </w:r>
          </w:p>
        </w:tc>
        <w:tc>
          <w:tcPr>
            <w:tcW w:type="dxa" w:w="1662"/>
          </w:tcPr>
          <w:p>
            <w:r>
              <w:rPr>
                <w:rFonts w:ascii="Times New Roman" w:hAnsi="Times New Roman"/>
                <w:sz w:val="20"/>
              </w:rPr>
              <w:t>95.8% (95/100)</w:t>
            </w:r>
          </w:p>
        </w:tc>
        <w:tc>
          <w:tcPr>
            <w:tcW w:type="dxa" w:w="1662"/>
          </w:tcPr>
          <w:p>
            <w:r>
              <w:rPr>
                <w:rFonts w:ascii="Times New Roman" w:hAnsi="Times New Roman"/>
                <w:sz w:val="20"/>
              </w:rPr>
              <w:t>0.0% (0/100)</w:t>
            </w:r>
          </w:p>
        </w:tc>
        <w:tc>
          <w:tcPr>
            <w:tcW w:type="dxa" w:w="1662"/>
          </w:tcPr>
          <w:p>
            <w:r>
              <w:rPr>
                <w:rFonts w:ascii="Times New Roman" w:hAnsi="Times New Roman"/>
                <w:sz w:val="20"/>
              </w:rPr>
              <w:t>8.5 s (Local) / 740 ms (GPU)</w:t>
            </w:r>
          </w:p>
        </w:tc>
      </w:tr>
      <w:tr>
        <w:tc>
          <w:tcPr>
            <w:tcW w:type="dxa" w:w="1662"/>
          </w:tcPr>
          <w:p>
            <w:r>
              <w:rPr>
                <w:rFonts w:ascii="Times New Roman" w:hAnsi="Times New Roman"/>
                <w:sz w:val="20"/>
              </w:rPr>
              <w:t>Tier-0 Colang Guardrail [6]</w:t>
            </w:r>
          </w:p>
        </w:tc>
        <w:tc>
          <w:tcPr>
            <w:tcW w:type="dxa" w:w="1662"/>
          </w:tcPr>
          <w:p>
            <w:r>
              <w:rPr>
                <w:rFonts w:ascii="Times New Roman" w:hAnsi="Times New Roman"/>
                <w:sz w:val="20"/>
              </w:rPr>
              <w:t>Replay / Variants</w:t>
            </w:r>
          </w:p>
        </w:tc>
        <w:tc>
          <w:tcPr>
            <w:tcW w:type="dxa" w:w="1662"/>
          </w:tcPr>
          <w:p>
            <w:r>
              <w:rPr>
                <w:rFonts w:ascii="Times New Roman" w:hAnsi="Times New Roman"/>
                <w:sz w:val="20"/>
              </w:rPr>
              <w:t>100% (Active)</w:t>
            </w:r>
          </w:p>
        </w:tc>
        <w:tc>
          <w:tcPr>
            <w:tcW w:type="dxa" w:w="1662"/>
          </w:tcPr>
          <w:p>
            <w:r>
              <w:rPr>
                <w:rFonts w:ascii="Times New Roman" w:hAnsi="Times New Roman"/>
                <w:sz w:val="20"/>
              </w:rPr>
              <w:t>0.0% (0/320)</w:t>
            </w:r>
          </w:p>
        </w:tc>
        <w:tc>
          <w:tcPr>
            <w:tcW w:type="dxa" w:w="1662"/>
          </w:tcPr>
          <w:p>
            <w:r>
              <w:rPr>
                <w:rFonts w:ascii="Times New Roman" w:hAnsi="Times New Roman"/>
                <w:sz w:val="20"/>
              </w:rPr>
              <w:t>~340 ms</w:t>
            </w:r>
          </w:p>
        </w:tc>
      </w:tr>
      <w:tr>
        <w:tc>
          <w:tcPr>
            <w:tcW w:type="dxa" w:w="1662"/>
          </w:tcPr>
          <w:p>
            <w:r>
              <w:rPr>
                <w:rFonts w:ascii="Times New Roman" w:hAnsi="Times New Roman"/>
                <w:sz w:val="20"/>
              </w:rPr>
              <w:t>Honey-LLM Fast-Path (Tier-1)</w:t>
            </w:r>
          </w:p>
        </w:tc>
        <w:tc>
          <w:tcPr>
            <w:tcW w:type="dxa" w:w="1662"/>
          </w:tcPr>
          <w:p>
            <w:r>
              <w:rPr>
                <w:rFonts w:ascii="Times New Roman" w:hAnsi="Times New Roman"/>
                <w:sz w:val="20"/>
              </w:rPr>
              <w:t>Benign Telecom Stream</w:t>
            </w:r>
          </w:p>
        </w:tc>
        <w:tc>
          <w:tcPr>
            <w:tcW w:type="dxa" w:w="1662"/>
          </w:tcPr>
          <w:p>
            <w:r>
              <w:rPr>
                <w:rFonts w:ascii="Times New Roman" w:hAnsi="Times New Roman"/>
                <w:sz w:val="20"/>
              </w:rPr>
              <w:t>N/A (Safe Pass)</w:t>
            </w:r>
          </w:p>
        </w:tc>
        <w:tc>
          <w:tcPr>
            <w:tcW w:type="dxa" w:w="1662"/>
          </w:tcPr>
          <w:p>
            <w:r>
              <w:rPr>
                <w:rFonts w:ascii="Times New Roman" w:hAnsi="Times New Roman"/>
                <w:sz w:val="20"/>
              </w:rPr>
              <w:t>0.0% (0/320)</w:t>
            </w:r>
          </w:p>
        </w:tc>
        <w:tc>
          <w:tcPr>
            <w:tcW w:type="dxa" w:w="1662"/>
          </w:tcPr>
          <w:p>
            <w:r>
              <w:rPr>
                <w:rFonts w:ascii="Times New Roman" w:hAnsi="Times New Roman"/>
                <w:sz w:val="20"/>
              </w:rPr>
              <w:t>~2.1–8.0 ms</w:t>
            </w:r>
          </w:p>
        </w:tc>
      </w:tr>
      <w:tr>
        <w:tc>
          <w:tcPr>
            <w:tcW w:type="dxa" w:w="1662"/>
            <w:shd w:fill="F0FDF4"/>
          </w:tcPr>
          <w:p>
            <w:r>
              <w:rPr>
                <w:rFonts w:ascii="Times New Roman" w:hAnsi="Times New Roman"/>
                <w:sz w:val="20"/>
              </w:rPr>
              <w:t>Honey-LLM Two-Tier Ensemble</w:t>
            </w:r>
          </w:p>
        </w:tc>
        <w:tc>
          <w:tcPr>
            <w:tcW w:type="dxa" w:w="1662"/>
            <w:shd w:fill="F0FDF4"/>
          </w:tcPr>
          <w:p>
            <w:r>
              <w:rPr>
                <w:rFonts w:ascii="Times New Roman" w:hAnsi="Times New Roman"/>
                <w:sz w:val="20"/>
              </w:rPr>
              <w:t>Curated + Wild (889)</w:t>
            </w:r>
          </w:p>
        </w:tc>
        <w:tc>
          <w:tcPr>
            <w:tcW w:type="dxa" w:w="1662"/>
            <w:shd w:fill="F0FDF4"/>
          </w:tcPr>
          <w:p>
            <w:r>
              <w:rPr>
                <w:rFonts w:ascii="Times New Roman" w:hAnsi="Times New Roman"/>
                <w:sz w:val="20"/>
              </w:rPr>
              <w:t>98.3% (559/569)</w:t>
            </w:r>
          </w:p>
        </w:tc>
        <w:tc>
          <w:tcPr>
            <w:tcW w:type="dxa" w:w="1662"/>
            <w:shd w:fill="F0FDF4"/>
          </w:tcPr>
          <w:p>
            <w:r>
              <w:rPr>
                <w:rFonts w:ascii="Times New Roman" w:hAnsi="Times New Roman"/>
                <w:sz w:val="20"/>
              </w:rPr>
              <w:t>0.0% (0/320)</w:t>
            </w:r>
          </w:p>
        </w:tc>
        <w:tc>
          <w:tcPr>
            <w:tcW w:type="dxa" w:w="1662"/>
            <w:shd w:fill="F0FDF4"/>
          </w:tcPr>
          <w:p>
            <w:r>
              <w:rPr>
                <w:rFonts w:ascii="Times New Roman" w:hAnsi="Times New Roman"/>
                <w:sz w:val="20"/>
              </w:rPr>
              <w:t>~8.0 ms (Benign P50)</w:t>
            </w:r>
          </w:p>
        </w:tc>
      </w:tr>
      <w:tr>
        <w:tc>
          <w:tcPr>
            <w:tcW w:type="dxa" w:w="1662"/>
          </w:tcPr>
          <w:p/>
        </w:tc>
        <w:tc>
          <w:tcPr>
            <w:tcW w:type="dxa" w:w="1662"/>
          </w:tcPr>
          <w:p/>
        </w:tc>
        <w:tc>
          <w:tcPr>
            <w:tcW w:type="dxa" w:w="1662"/>
          </w:tcPr>
          <w:p/>
        </w:tc>
        <w:tc>
          <w:tcPr>
            <w:tcW w:type="dxa" w:w="1662"/>
          </w:tcPr>
          <w:p/>
        </w:tc>
        <w:tc>
          <w:tcPr>
            <w:tcW w:type="dxa" w:w="1662"/>
          </w:tcPr>
          <w:p/>
        </w:tc>
      </w:tr>
    </w:tbl>
    <w:p>
      <w:pPr>
        <w:keepNext/>
        <w:spacing w:before="160" w:after="60"/>
        <w:jc w:val="left"/>
      </w:pPr>
      <w:r>
        <w:rPr>
          <w:rFonts w:ascii="Times New Roman" w:hAnsi="Times New Roman"/>
          <w:b/>
          <w:sz w:val="20"/>
        </w:rPr>
        <w:t>TABLE 5.2: Intent Sieve Benchmark Evaluation and Multi-Tier Latency Profile</w:t>
      </w:r>
    </w:p>
    <w:p>
      <w:pPr>
        <w:keepNext/>
        <w:spacing w:before="200" w:after="80"/>
      </w:pPr>
      <w:r>
        <w:rPr>
          <w:rFonts w:ascii="Times New Roman" w:hAnsi="Times New Roman"/>
          <w:b/>
          <w:color w:val="0F172A"/>
          <w:sz w:val="28"/>
        </w:rPr>
        <w:t>5.3 Economic, Social, and Environmental Benefits</w:t>
      </w:r>
    </w:p>
    <w:p>
      <w:pPr>
        <w:spacing w:line="360" w:lineRule="auto" w:after="80"/>
        <w:ind w:left="360" w:hanging="216"/>
        <w:jc w:val="both"/>
      </w:pPr>
      <w:r>
        <w:rPr>
          <w:rFonts w:ascii="Times New Roman" w:hAnsi="Times New Roman"/>
          <w:sz w:val="24"/>
        </w:rPr>
        <w:t>•  Economic Benefits: Eliminates commercial API token expenditures (~$27,000/year savings for high-throughput enterprises) and protects sensitive corporate data from exfiltration.</w:t>
      </w:r>
    </w:p>
    <w:p>
      <w:pPr>
        <w:spacing w:line="360" w:lineRule="auto" w:after="80"/>
        <w:ind w:left="360" w:hanging="216"/>
        <w:jc w:val="both"/>
      </w:pPr>
      <w:r>
        <w:rPr>
          <w:rFonts w:ascii="Times New Roman" w:hAnsi="Times New Roman"/>
          <w:sz w:val="24"/>
        </w:rPr>
        <w:t>•  Social &amp; National Security Benefits: Highly relevant for India's rapidly expanding digital public infrastructure (UPI, DigiLocker, e-governance bots), preventing malicious manipulation of public-facing citizen services.</w:t>
      </w:r>
    </w:p>
    <w:p>
      <w:pPr>
        <w:spacing w:line="360" w:lineRule="auto" w:after="80"/>
        <w:ind w:left="360" w:hanging="216"/>
        <w:jc w:val="both"/>
      </w:pPr>
      <w:r>
        <w:rPr>
          <w:rFonts w:ascii="Times New Roman" w:hAnsi="Times New Roman"/>
          <w:sz w:val="24"/>
        </w:rPr>
        <w:t>•  Environmental Benefits: Localized SLM quantization and sub-millisecond fast-path bypassing reduce cloud GPU server compute requirements by over 85%, significantly lowering the carbon footprint of AI security operations.</w:t>
      </w:r>
    </w:p>
    <w:p>
      <w:pPr>
        <w:keepNext/>
        <w:spacing w:before="200" w:after="80"/>
      </w:pPr>
      <w:r>
        <w:rPr>
          <w:rFonts w:ascii="Times New Roman" w:hAnsi="Times New Roman"/>
          <w:b/>
          <w:color w:val="0F172A"/>
          <w:sz w:val="28"/>
        </w:rPr>
        <w:t>5.4 Future Work Plan (Phases 5 and 6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spacing w:line="360" w:lineRule="auto" w:after="80"/>
        <w:ind w:left="360" w:hanging="216"/>
        <w:jc w:val="both"/>
      </w:pPr>
      <w:r>
        <w:rPr>
          <w:rFonts w:ascii="Times New Roman" w:hAnsi="Times New Roman"/>
          <w:sz w:val="24"/>
        </w:rPr>
        <w:t>•  Phase 5: Forensic Telemetry &amp; Threat Intelligence Dashboard: Finalize the sub-second polling Next.js 15 SOC dashboard, integrate live attacker dwell-time meters, and complete end-to-end visualization of attack taxonomy trends.</w:t>
      </w:r>
    </w:p>
    <w:p>
      <w:pPr>
        <w:spacing w:line="360" w:lineRule="auto" w:after="80"/>
        <w:ind w:left="360" w:hanging="216"/>
        <w:jc w:val="both"/>
      </w:pPr>
      <w:r>
        <w:rPr>
          <w:rFonts w:ascii="Times New Roman" w:hAnsi="Times New Roman"/>
          <w:sz w:val="24"/>
        </w:rPr>
        <w:t>•  Phase 6: Empirical Validation &amp; Adversarial Red-Teaming: Subject the deployed gateway to scaled Microsoft PyRIT [13] adversarial stress campaigns across 12+ prompt obfuscation converters (Base64, ROT13, Leetspeak, Unicode confusables), conduct multi-user concurrency load profiling, and author the final capstone thesis.</w:t>
      </w:r>
    </w:p>
    <w:p>
      <w:r>
        <w:br w:type="page"/>
      </w:r>
    </w:p>
    <w:p>
      <w:pPr>
        <w:keepNext/>
        <w:spacing w:before="240" w:after="120"/>
      </w:pPr>
      <w:r>
        <w:rPr>
          <w:rFonts w:ascii="Times New Roman" w:hAnsi="Times New Roman"/>
          <w:b/>
          <w:color w:val="0F172A"/>
          <w:sz w:val="32"/>
        </w:rPr>
        <w:t>APPENDIX A: REFERENCES</w:t>
      </w:r>
    </w:p>
    <w:p>
      <w:pPr>
        <w:spacing w:line="276" w:lineRule="auto" w:after="80"/>
        <w:ind w:left="576" w:hanging="576"/>
        <w:jc w:val="both"/>
      </w:pPr>
      <w:r>
        <w:rPr>
          <w:rFonts w:ascii="Times New Roman" w:hAnsi="Times New Roman"/>
          <w:sz w:val="21"/>
        </w:rPr>
        <w:t>[1] Anthropic. "Constitutional AI: Harmlessness from AI feedback." arXiv preprint arXiv:2212.08073, 2022.</w:t>
      </w:r>
    </w:p>
    <w:p>
      <w:pPr>
        <w:spacing w:line="276" w:lineRule="auto" w:after="80"/>
        <w:ind w:left="576" w:hanging="576"/>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ind w:left="576" w:hanging="576"/>
        <w:jc w:val="both"/>
      </w:pPr>
      <w:r>
        <w:rPr>
          <w:rFonts w:ascii="Times New Roman" w:hAnsi="Times New Roman"/>
          <w:sz w:val="21"/>
        </w:rPr>
        <w:t>[3] I. Goodfellow, Y. Bengio, and A. Courville. Deep Learning. Cambridge, MA, USA: MIT Press, 2016.</w:t>
      </w:r>
    </w:p>
    <w:p>
      <w:pPr>
        <w:spacing w:line="276" w:lineRule="auto" w:after="80"/>
        <w:ind w:left="576" w:hanging="576"/>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ind w:left="576" w:hanging="576"/>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ind w:left="576" w:hanging="576"/>
        <w:jc w:val="both"/>
      </w:pPr>
      <w:r>
        <w:rPr>
          <w:rFonts w:ascii="Times New Roman" w:hAnsi="Times New Roman"/>
          <w:sz w:val="21"/>
        </w:rPr>
        <w:t>[7] OpenAI. "GPT-4 Technical Report." arXiv preprint arXiv:2303.08774, 2023.</w:t>
      </w:r>
    </w:p>
    <w:p>
      <w:pPr>
        <w:spacing w:line="276" w:lineRule="auto" w:after="80"/>
        <w:ind w:left="576" w:hanging="576"/>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ind w:left="576" w:hanging="576"/>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ind w:left="576" w:hanging="576"/>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ind w:left="576" w:hanging="576"/>
        <w:jc w:val="both"/>
      </w:pPr>
      <w:r>
        <w:rPr>
          <w:rFonts w:ascii="Times New Roman" w:hAnsi="Times New Roman"/>
          <w:sz w:val="21"/>
        </w:rPr>
        <w:t>[11] Meta AI. "Llama Guard 3: Developing safe and responsible generative AI models." Meta Research Technical Report, 2024.</w:t>
      </w:r>
    </w:p>
    <w:p>
      <w:pPr>
        <w:spacing w:line="276" w:lineRule="auto" w:after="80"/>
        <w:ind w:left="576" w:hanging="576"/>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ind w:left="576" w:hanging="576"/>
        <w:jc w:val="both"/>
      </w:pPr>
      <w:r>
        <w:rPr>
          <w:rFonts w:ascii="Times New Roman" w:hAnsi="Times New Roman"/>
          <w:sz w:val="21"/>
        </w:rPr>
        <w:t>[13] Microsoft. "Python Risk Identification Tool for Generative AI (PyRIT)." Microsoft Security AI Research, Internet: https://github.com/Azure/PyRIT, 2024 [Accessed: Aug. 18, 2026].</w:t>
      </w:r>
    </w:p>
    <w:p>
      <w:r>
        <w:br w:type="page"/>
      </w:r>
    </w:p>
    <w:p>
      <w:pPr>
        <w:keepNext/>
        <w:spacing w:before="240" w:after="120"/>
      </w:pPr>
      <w:r>
        <w:rPr>
          <w:rFonts w:ascii="Times New Roman" w:hAnsi="Times New Roman"/>
          <w:b/>
          <w:color w:val="0F172A"/>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F172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