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6B3C"/>
          <w:sz w:val="34"/>
          <w:szCs w:val="34"/>
        </w:rPr>
        <w:t xml:space="preserve">TRADEFLOW NG</w:t>
      </w:r>
    </w:p>
    <w:p>
      <w:pPr>
        <w:spacing w:after="80"/>
      </w:pPr>
      <w:r>
        <w:rPr>
          <w:b/>
          <w:bCs/>
          <w:color w:val="0D1F14"/>
          <w:sz w:val="44"/>
          <w:szCs w:val="44"/>
        </w:rPr>
        <w:t xml:space="preserve">Venture Audit Briefing</w:t>
      </w:r>
    </w:p>
    <w:p>
      <w:pPr>
        <w:spacing w:after="200"/>
      </w:pPr>
      <w:r>
        <w:rPr>
          <w:i/>
          <w:iCs/>
          <w:color w:val="6B7A70"/>
          <w:sz w:val="22"/>
          <w:szCs w:val="22"/>
        </w:rPr>
        <w:t xml:space="preserve">Prepared for external business/startup evaluation — September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8860A" w:sz="4"/>
              <w:left w:val="single" w:color="C8860A" w:sz="4"/>
              <w:bottom w:val="single" w:color="C8860A" w:sz="4"/>
              <w:right w:val="single" w:color="C8860A" w:sz="4"/>
            </w:tcBorders>
            <w:shd w:fill="FBF3E0" w:val="clear"/>
            <w:tcMar>
              <w:top w:type="dxa" w:w="160"/>
              <w:left w:type="dxa" w:w="200"/>
              <w:bottom w:type="dxa" w:w="160"/>
              <w:right w:type="dxa" w:w="200"/>
            </w:tcMar>
          </w:tcPr>
          <w:p>
            <w:pPr>
              <w:spacing w:after="80"/>
            </w:pPr>
            <w:r>
              <w:rPr>
                <w:b/>
                <w:bCs/>
                <w:color w:val="0D1F14"/>
                <w:sz w:val="20"/>
                <w:szCs w:val="20"/>
              </w:rPr>
              <w:t xml:space="preserve">How to read this document</w:t>
            </w:r>
          </w:p>
          <w:p>
            <w:r>
              <w:rPr>
                <w:color w:val="0D1F14"/>
                <w:sz w:val="18"/>
                <w:szCs w:val="18"/>
              </w:rPr>
              <w:t xml:space="preserve">Every claim below is tagged: </w:t>
            </w:r>
            <w:r>
              <w:rPr>
                <w:b/>
                <w:bCs/>
                <w:color w:val="1A6B3C"/>
                <w:sz w:val="18"/>
                <w:szCs w:val="18"/>
              </w:rPr>
              <w:t xml:space="preserve">[CONFIRMED]</w:t>
            </w:r>
            <w:r>
              <w:rPr>
                <w:color w:val="0D1F14"/>
                <w:sz w:val="18"/>
                <w:szCs w:val="18"/>
              </w:rPr>
              <w:t xml:space="preserve"> means verified and currently true, </w:t>
            </w:r>
            <w:r>
              <w:rPr>
                <w:b/>
                <w:bCs/>
                <w:color w:val="C8860A"/>
                <w:sz w:val="18"/>
                <w:szCs w:val="18"/>
              </w:rPr>
              <w:t xml:space="preserve">[IN PROGRESS]</w:t>
            </w:r>
            <w:r>
              <w:rPr>
                <w:color w:val="0D1F14"/>
                <w:sz w:val="18"/>
                <w:szCs w:val="18"/>
              </w:rPr>
              <w:t xml:space="preserve"> means designed or partially built but not yet complete, and </w:t>
            </w:r>
            <w:r>
              <w:rPr>
                <w:b/>
                <w:bCs/>
                <w:color w:val="C0392B"/>
                <w:sz w:val="18"/>
                <w:szCs w:val="18"/>
              </w:rPr>
              <w:t xml:space="preserve">[OPEN]</w:t>
            </w:r>
            <w:r>
              <w:rPr>
                <w:color w:val="0D1F14"/>
                <w:sz w:val="18"/>
                <w:szCs w:val="18"/>
              </w:rPr>
              <w:t xml:space="preserve"> means an unresolved question the founder wants outside judgment on. This is deliberate — we would rather an evaluator see the real state of the venture than a polished version of it.</w:t>
            </w:r>
          </w:p>
        </w:tc>
      </w:tr>
    </w:tbl>
    <w:p>
      <w:r>
        <w:br w:type="page"/>
      </w:r>
    </w:p>
    <w:p>
      <w:pPr>
        <w:pStyle w:val="Heading1"/>
        <w:spacing w:after="160" w:before="400"/>
      </w:pPr>
      <w:r>
        <w:rPr>
          <w:b/>
          <w:bCs/>
          <w:color w:val="1A6B3C"/>
          <w:sz w:val="30"/>
          <w:szCs w:val="30"/>
        </w:rPr>
        <w:t xml:space="preserve">1. What We're Building</w:t>
      </w:r>
    </w:p>
    <w:p>
      <w:pPr>
        <w:spacing w:after="120"/>
      </w:pPr>
      <w:r>
        <w:rPr>
          <w:b w:val="false"/>
          <w:bCs w:val="false"/>
          <w:i w:val="false"/>
          <w:iCs w:val="false"/>
          <w:color w:val="1C1C1C"/>
          <w:sz w:val="21"/>
          <w:szCs w:val="21"/>
        </w:rPr>
        <w:t xml:space="preserve">One-line pitch: We fix the broken link between where food is grown and where people need it.</w:t>
      </w:r>
    </w:p>
    <w:p>
      <w:pPr>
        <w:spacing w:after="120"/>
      </w:pPr>
      <w:r>
        <w:rPr>
          <w:b w:val="false"/>
          <w:bCs w:val="false"/>
          <w:i w:val="false"/>
          <w:iCs w:val="false"/>
          <w:color w:val="1C1C1C"/>
          <w:sz w:val="21"/>
          <w:szCs w:val="21"/>
        </w:rPr>
        <w:t xml:space="preserve">Mission: TradeFlow NG connects Nigeria's agricultural abundance to every table that needs it — by making trade smarter, faster, and more efficient for the traders who move food across the country.</w:t>
      </w:r>
    </w:p>
    <w:p>
      <w:pPr>
        <w:spacing w:after="120"/>
      </w:pPr>
      <w:r>
        <w:rPr>
          <w:b w:val="false"/>
          <w:bCs w:val="false"/>
          <w:i w:val="false"/>
          <w:iCs w:val="false"/>
          <w:color w:val="1C1C1C"/>
          <w:sz w:val="21"/>
          <w:szCs w:val="21"/>
        </w:rPr>
        <w:t xml:space="preserve">The core insight: primary survey data across 16 Nigerian states (n=70) found the same commodities identified as both surplus and inaccessible across different states — for example, yam was named abundant by 60% of respondents and inaccessible by 43%. This points to a distribution and market-information failure, not a production failure.</w:t>
      </w:r>
    </w:p>
    <w:p>
      <w:pPr>
        <w:spacing w:after="120"/>
      </w:pPr>
      <w:r>
        <w:rPr>
          <w:b w:val="false"/>
          <w:bCs w:val="false"/>
          <w:i w:val="false"/>
          <w:iCs w:val="false"/>
          <w:color w:val="1C1C1C"/>
          <w:sz w:val="21"/>
          <w:szCs w:val="21"/>
        </w:rPr>
        <w:t xml:space="preserve">The product: TradeFlow NG collects verified commodity prices from a field agent network, forecasts near-term price movement, and optimizes across markets and transport costs to produce a single actionable trade decision — buy here, sell there, expected margin — delivered to a trader through whichever channel actually reaches them.</w:t>
      </w:r>
    </w:p>
    <w:p>
      <w:pPr>
        <w:pStyle w:val="Heading1"/>
        <w:spacing w:after="160" w:before="400"/>
      </w:pPr>
      <w:r>
        <w:rPr>
          <w:b/>
          <w:bCs/>
          <w:color w:val="1A6B3C"/>
          <w:sz w:val="30"/>
          <w:szCs w:val="30"/>
        </w:rPr>
        <w:t xml:space="preserve">2. Customer and Market</w:t>
      </w:r>
    </w:p>
    <w:p>
      <w:pPr>
        <w:pStyle w:val="Heading2"/>
        <w:spacing w:after="100" w:before="260"/>
      </w:pPr>
      <w:r>
        <w:rPr>
          <w:b/>
          <w:bCs/>
          <w:color w:val="0D1F14"/>
          <w:sz w:val="23"/>
          <w:szCs w:val="23"/>
        </w:rPr>
        <w:t xml:space="preserve">Primary Customer (Intelligence product)</w:t>
      </w:r>
    </w:p>
    <w:p>
      <w:pPr>
        <w:pStyle w:val="ListParagraph"/>
        <w:numPr>
          <w:ilvl w:val="0"/>
          <w:numId w:val="1"/>
        </w:numPr>
        <w:spacing w:after="60"/>
      </w:pPr>
      <w:r>
        <w:rPr>
          <w:color w:val="1C1C1C"/>
          <w:sz w:val="21"/>
          <w:szCs w:val="21"/>
        </w:rPr>
        <w:t xml:space="preserve">Interstate and, per recent field evidence, intrastate/cross-border-adjacent commodity traders — confirmed as the paying customer for the core Intelligence product.</w:t>
      </w:r>
      <w:r>
        <w:rPr>
          <w:b/>
          <w:bCs/>
          <w:color w:val="1A6B3C"/>
          <w:sz w:val="18"/>
          <w:szCs w:val="18"/>
        </w:rPr>
        <w:t xml:space="preserve">  [CONFIRMED]</w:t>
      </w:r>
    </w:p>
    <w:p>
      <w:pPr>
        <w:pStyle w:val="ListParagraph"/>
        <w:numPr>
          <w:ilvl w:val="0"/>
          <w:numId w:val="1"/>
        </w:numPr>
        <w:spacing w:after="60"/>
      </w:pPr>
      <w:r>
        <w:rPr>
          <w:color w:val="1C1C1C"/>
          <w:sz w:val="21"/>
          <w:szCs w:val="21"/>
        </w:rPr>
        <w:t xml:space="preserve">A second, distinct persona — the "buyer" who submits demand in the newer concierge/self-trading model — has emerged and has not yet been formally defined (processor? aggregator? trader-as-buyer?).</w:t>
      </w:r>
      <w:r>
        <w:rPr>
          <w:b/>
          <w:bCs/>
          <w:color w:val="C0392B"/>
          <w:sz w:val="18"/>
          <w:szCs w:val="18"/>
        </w:rPr>
        <w:t xml:space="preserve">  [OPEN]</w:t>
      </w:r>
    </w:p>
    <w:p>
      <w:pPr>
        <w:pStyle w:val="Heading2"/>
        <w:spacing w:after="100" w:before="260"/>
      </w:pPr>
      <w:r>
        <w:rPr>
          <w:b/>
          <w:bCs/>
          <w:color w:val="0D1F14"/>
          <w:sz w:val="23"/>
          <w:szCs w:val="23"/>
        </w:rPr>
        <w:t xml:space="preserve">Positioning tension worth flagging to the evaluator</w:t>
      </w:r>
    </w:p>
    <w:p>
      <w:pPr>
        <w:spacing w:after="120"/>
      </w:pPr>
      <w:r>
        <w:rPr>
          <w:b w:val="false"/>
          <w:bCs w:val="false"/>
          <w:i w:val="false"/>
          <w:iCs w:val="false"/>
          <w:color w:val="1C1C1C"/>
          <w:sz w:val="21"/>
          <w:szCs w:val="21"/>
        </w:rPr>
        <w:t xml:space="preserve">Recent field interviews confirmed real intrastate and near-border trade activity — traders moving goods between neighboring towns that sometimes sit in different states, sometimes not. The company's branding ("Flowing Trade. Feeding Nigeria.") and public materials have generally emphasized interstate trade specifically. Whether this evidence should reshape the company's positioning, market sizing, or go-to-market sequencing is an open strategic question.</w:t>
      </w:r>
    </w:p>
    <w:p>
      <w:pPr>
        <w:pStyle w:val="Heading2"/>
        <w:spacing w:after="100" w:before="260"/>
      </w:pPr>
      <w:r>
        <w:rPr>
          <w:b/>
          <w:bCs/>
          <w:color w:val="0D1F14"/>
          <w:sz w:val="23"/>
          <w:szCs w:val="23"/>
        </w:rPr>
        <w:t xml:space="preserve">Market Sizing</w:t>
      </w:r>
    </w:p>
    <w:p>
      <w:pPr>
        <w:pStyle w:val="ListParagraph"/>
        <w:numPr>
          <w:ilvl w:val="0"/>
          <w:numId w:val="1"/>
        </w:numPr>
        <w:spacing w:after="60"/>
      </w:pPr>
      <w:r>
        <w:rPr>
          <w:color w:val="1C1C1C"/>
          <w:sz w:val="21"/>
          <w:szCs w:val="21"/>
        </w:rPr>
        <w:t xml:space="preserve">Original estimate: SAM $12M/year, 3-year SOM $1.2M/year, derived from an assumed ₦5,000–15,000/month subscription range.</w:t>
      </w:r>
      <w:r>
        <w:rPr>
          <w:b/>
          <w:bCs/>
          <w:color w:val="C8860A"/>
          <w:sz w:val="18"/>
          <w:szCs w:val="18"/>
        </w:rPr>
        <w:t xml:space="preserve">  [IN PROGRESS]</w:t>
      </w:r>
    </w:p>
    <w:p>
      <w:pPr>
        <w:pStyle w:val="ListParagraph"/>
        <w:numPr>
          <w:ilvl w:val="0"/>
          <w:numId w:val="1"/>
        </w:numPr>
        <w:spacing w:after="60"/>
      </w:pPr>
      <w:r>
        <w:rPr>
          <w:color w:val="1C1C1C"/>
          <w:sz w:val="21"/>
          <w:szCs w:val="21"/>
        </w:rPr>
        <w:t xml:space="preserve">Pricing has since been confirmed at ₦6,000/month (base) and ₦10,000/month (premium) — meaningfully lower than the range the original sizing used. A recalculation using an illustrative 80/20 tier split implies a revised SAM of roughly $8.2M and SOM of roughly $0.82M. This has not yet been finalized or updated in investor-facing materials.</w:t>
      </w:r>
      <w:r>
        <w:rPr>
          <w:b/>
          <w:bCs/>
          <w:color w:val="C0392B"/>
          <w:sz w:val="18"/>
          <w:szCs w:val="18"/>
        </w:rPr>
        <w:t xml:space="preserve">  [OPEN]</w:t>
      </w:r>
    </w:p>
    <w:p>
      <w:pPr>
        <w:pStyle w:val="Heading1"/>
        <w:spacing w:after="160" w:before="400"/>
      </w:pPr>
      <w:r>
        <w:rPr>
          <w:b/>
          <w:bCs/>
          <w:color w:val="1A6B3C"/>
          <w:sz w:val="30"/>
          <w:szCs w:val="30"/>
        </w:rPr>
        <w:t xml:space="preserve">3. Field Operations and Data Reality</w:t>
      </w:r>
    </w:p>
    <w:p>
      <w:pPr>
        <w:spacing w:after="120"/>
      </w:pPr>
      <w:r>
        <w:rPr>
          <w:b w:val="false"/>
          <w:bCs w:val="false"/>
          <w:i w:val="false"/>
          <w:iCs w:val="false"/>
          <w:color w:val="1C1C1C"/>
          <w:sz w:val="21"/>
          <w:szCs w:val="21"/>
        </w:rPr>
        <w:t xml:space="preserve">This is the most consequential gap in the venture right now, and it is stated plainly here because it affects everything downstream — the forecasting model, the optimizer, and any trade recommendation.</w:t>
      </w:r>
    </w:p>
    <w:p>
      <w:pPr>
        <w:pStyle w:val="ListParagraph"/>
        <w:numPr>
          <w:ilvl w:val="0"/>
          <w:numId w:val="1"/>
        </w:numPr>
        <w:spacing w:after="60"/>
      </w:pPr>
      <w:r>
        <w:rPr>
          <w:color w:val="1C1C1C"/>
          <w:sz w:val="21"/>
          <w:szCs w:val="21"/>
        </w:rPr>
        <w:t xml:space="preserve">16 field agents currently on the roster (down from a previously reported 19).</w:t>
      </w:r>
      <w:r>
        <w:rPr>
          <w:b/>
          <w:bCs/>
          <w:color w:val="1A6B3C"/>
          <w:sz w:val="18"/>
          <w:szCs w:val="18"/>
        </w:rPr>
        <w:t xml:space="preserve">  [CONFIRMED]</w:t>
      </w:r>
    </w:p>
    <w:p>
      <w:pPr>
        <w:pStyle w:val="ListParagraph"/>
        <w:numPr>
          <w:ilvl w:val="0"/>
          <w:numId w:val="1"/>
        </w:numPr>
        <w:spacing w:after="60"/>
      </w:pPr>
      <w:r>
        <w:rPr>
          <w:color w:val="1C1C1C"/>
          <w:sz w:val="21"/>
          <w:szCs w:val="21"/>
        </w:rPr>
        <w:t xml:space="preserve">Active agent coverage exists in 5 states; 3 previously claimed states — Lagos, Nasarawa, and Kwara — currently have zero active agents.</w:t>
      </w:r>
      <w:r>
        <w:rPr>
          <w:b/>
          <w:bCs/>
          <w:color w:val="1A6B3C"/>
          <w:sz w:val="18"/>
          <w:szCs w:val="18"/>
        </w:rPr>
        <w:t xml:space="preserve">  [CONFIRMED]</w:t>
      </w:r>
    </w:p>
    <w:p>
      <w:pPr>
        <w:pStyle w:val="ListParagraph"/>
        <w:numPr>
          <w:ilvl w:val="0"/>
          <w:numId w:val="1"/>
        </w:numPr>
        <w:spacing w:after="60"/>
      </w:pPr>
      <w:r>
        <w:rPr>
          <w:color w:val="1C1C1C"/>
          <w:sz w:val="21"/>
          <w:szCs w:val="21"/>
        </w:rPr>
        <w:t xml:space="preserve">A direct audit of the live field data export shows: 35 total form submissions logged, of which only 13 are complete (agent ID, market, and prices actually filled in). 22 submissions — nearly two-thirds — were opened and abandoned before completion. The cause is not yet known.</w:t>
      </w:r>
      <w:r>
        <w:rPr>
          <w:b/>
          <w:bCs/>
          <w:color w:val="1A6B3C"/>
          <w:sz w:val="18"/>
          <w:szCs w:val="18"/>
        </w:rPr>
        <w:t xml:space="preserve">  [CONFIRMED]</w:t>
      </w:r>
    </w:p>
    <w:p>
      <w:pPr>
        <w:pStyle w:val="ListParagraph"/>
        <w:numPr>
          <w:ilvl w:val="0"/>
          <w:numId w:val="1"/>
        </w:numPr>
        <w:spacing w:after="60"/>
      </w:pPr>
      <w:r>
        <w:rPr>
          <w:color w:val="1C1C1C"/>
          <w:sz w:val="21"/>
          <w:szCs w:val="21"/>
        </w:rPr>
        <w:t xml:space="preserve">Of the 16 agents on the roster, only 7 have ever produced a complete submission in the available data.</w:t>
      </w:r>
      <w:r>
        <w:rPr>
          <w:b/>
          <w:bCs/>
          <w:color w:val="1A6B3C"/>
          <w:sz w:val="18"/>
          <w:szCs w:val="18"/>
        </w:rPr>
        <w:t xml:space="preserve">  [CONFIRMED]</w:t>
      </w:r>
    </w:p>
    <w:p>
      <w:pPr>
        <w:pStyle w:val="ListParagraph"/>
        <w:numPr>
          <w:ilvl w:val="0"/>
          <w:numId w:val="1"/>
        </w:numPr>
        <w:spacing w:after="60"/>
      </w:pPr>
      <w:r>
        <w:rPr>
          <w:color w:val="1C1C1C"/>
          <w:sz w:val="21"/>
          <w:szCs w:val="21"/>
        </w:rPr>
        <w:t xml:space="preserve">Real submitted data covers 8 distinct markets, not the 40+ previously stated in company materials.</w:t>
      </w:r>
      <w:r>
        <w:rPr>
          <w:b/>
          <w:bCs/>
          <w:color w:val="1A6B3C"/>
          <w:sz w:val="18"/>
          <w:szCs w:val="18"/>
        </w:rPr>
        <w:t xml:space="preserve">  [CONFIRMED]</w:t>
      </w:r>
    </w:p>
    <w:p>
      <w:pPr>
        <w:pStyle w:val="ListParagraph"/>
        <w:numPr>
          <w:ilvl w:val="0"/>
          <w:numId w:val="1"/>
        </w:numPr>
        <w:spacing w:after="60"/>
      </w:pPr>
      <w:r>
        <w:rPr>
          <w:color w:val="1C1C1C"/>
          <w:sz w:val="21"/>
          <w:szCs w:val="21"/>
        </w:rPr>
        <w:t xml:space="preserve">The freshest price point in the current dataset is 24 days old at time of writing. No price in the system currently qualifies as "real-time."</w:t>
      </w:r>
      <w:r>
        <w:rPr>
          <w:b/>
          <w:bCs/>
          <w:color w:val="1A6B3C"/>
          <w:sz w:val="18"/>
          <w:szCs w:val="18"/>
        </w:rPr>
        <w:t xml:space="preserve">  [CONFIRMED]</w:t>
      </w:r>
    </w:p>
    <w:p>
      <w:pPr>
        <w:pStyle w:val="ListParagraph"/>
        <w:numPr>
          <w:ilvl w:val="0"/>
          <w:numId w:val="1"/>
        </w:numPr>
        <w:spacing w:after="60"/>
      </w:pPr>
      <w:r>
        <w:rPr>
          <w:color w:val="1C1C1C"/>
          <w:sz w:val="21"/>
          <w:szCs w:val="21"/>
        </w:rPr>
        <w:t xml:space="preserve">Unit-of-measure standardization is inconsistent even within a single labeled unit (e.g., "tuber_medium" for yam has been recorded at prices ranging from ₦900 to ₦36,000 across different agents), and the trade-route field is marked "other" in nearly every real submission rather than a specific corridor. Both materially limit the system's ability to generate a trustworthy recommendation today.</w:t>
      </w:r>
      <w:r>
        <w:rPr>
          <w:b/>
          <w:bCs/>
          <w:color w:val="1A6B3C"/>
          <w:sz w:val="18"/>
          <w:szCs w:val="18"/>
        </w:rPr>
        <w:t xml:space="preserve">  [CONFIRMED]</w:t>
      </w:r>
    </w:p>
    <w:p>
      <w:pPr>
        <w:pStyle w:val="ListParagraph"/>
        <w:numPr>
          <w:ilvl w:val="0"/>
          <w:numId w:val="1"/>
        </w:numPr>
        <w:spacing w:after="60"/>
      </w:pPr>
      <w:r>
        <w:rPr>
          <w:color w:val="1C1C1C"/>
          <w:sz w:val="21"/>
          <w:szCs w:val="21"/>
        </w:rPr>
        <w:t xml:space="preserve">A structured, one-on-one diagnostic with each agent (why data has been inconsistent — cost, process friction, payment reliability, unclear expectations, or capacity) is underway but not yet complete.</w:t>
      </w:r>
      <w:r>
        <w:rPr>
          <w:b/>
          <w:bCs/>
          <w:color w:val="C8860A"/>
          <w:sz w:val="18"/>
          <w:szCs w:val="18"/>
        </w:rPr>
        <w:t xml:space="preserve">  [IN PROGRESS]</w:t>
      </w:r>
    </w:p>
    <w:p>
      <w:pPr>
        <w:pStyle w:val="ListParagraph"/>
        <w:numPr>
          <w:ilvl w:val="0"/>
          <w:numId w:val="1"/>
        </w:numPr>
        <w:spacing w:after="60"/>
      </w:pPr>
      <w:r>
        <w:rPr>
          <w:color w:val="1C1C1C"/>
          <w:sz w:val="21"/>
          <w:szCs w:val="21"/>
        </w:rPr>
        <w:t xml:space="preserve">Reactivating coverage in the three uncovered states, and resolving why they went to zero, is unresolved.</w:t>
      </w:r>
      <w:r>
        <w:rPr>
          <w:b/>
          <w:bCs/>
          <w:color w:val="C0392B"/>
          <w:sz w:val="18"/>
          <w:szCs w:val="18"/>
        </w:rPr>
        <w:t xml:space="preserve">  [OPEN]</w:t>
      </w:r>
    </w:p>
    <w:p>
      <w:pPr>
        <w:pStyle w:val="Heading1"/>
        <w:spacing w:after="160" w:before="400"/>
      </w:pPr>
      <w:r>
        <w:rPr>
          <w:b/>
          <w:bCs/>
          <w:color w:val="1A6B3C"/>
          <w:sz w:val="30"/>
          <w:szCs w:val="30"/>
        </w:rPr>
        <w:t xml:space="preserve">4. Technology and Pipeline</w:t>
      </w:r>
    </w:p>
    <w:p>
      <w:pPr>
        <w:pStyle w:val="ListParagraph"/>
        <w:numPr>
          <w:ilvl w:val="0"/>
          <w:numId w:val="1"/>
        </w:numPr>
        <w:spacing w:after="60"/>
      </w:pPr>
      <w:r>
        <w:rPr>
          <w:color w:val="1C1C1C"/>
          <w:sz w:val="21"/>
          <w:szCs w:val="21"/>
        </w:rPr>
        <w:t xml:space="preserve">Python 3.11 backend; FastAPI on Railway; PostgreSQL via Supabase (9 tables); field data collected via KoboToolbox; admin and agent dashboards on Streamlit Cloud; GitHub Actions for daily automation; a Next.js 14 frontend is in early development.</w:t>
      </w:r>
      <w:r>
        <w:rPr>
          <w:b/>
          <w:bCs/>
          <w:color w:val="1A6B3C"/>
          <w:sz w:val="18"/>
          <w:szCs w:val="18"/>
        </w:rPr>
        <w:t xml:space="preserve">  [CONFIRMED]</w:t>
      </w:r>
    </w:p>
    <w:p>
      <w:pPr>
        <w:pStyle w:val="ListParagraph"/>
        <w:numPr>
          <w:ilvl w:val="0"/>
          <w:numId w:val="1"/>
        </w:numPr>
        <w:spacing w:after="60"/>
      </w:pPr>
      <w:r>
        <w:rPr>
          <w:color w:val="1C1C1C"/>
          <w:sz w:val="21"/>
          <w:szCs w:val="21"/>
        </w:rPr>
        <w:t xml:space="preserve">32 Facebook Prophet models producing 7-day forecasts per commodity-market pair; a PuLP/CBC linear-programming optimizer selecting the highest-margin route given forecasted prices and transport cost.</w:t>
      </w:r>
      <w:r>
        <w:rPr>
          <w:b/>
          <w:bCs/>
          <w:color w:val="1A6B3C"/>
          <w:sz w:val="18"/>
          <w:szCs w:val="18"/>
        </w:rPr>
        <w:t xml:space="preserve">  [CONFIRMED]</w:t>
      </w:r>
    </w:p>
    <w:p>
      <w:pPr>
        <w:pStyle w:val="ListParagraph"/>
        <w:numPr>
          <w:ilvl w:val="0"/>
          <w:numId w:val="1"/>
        </w:numPr>
        <w:spacing w:after="60"/>
      </w:pPr>
      <w:r>
        <w:rPr>
          <w:color w:val="1C1C1C"/>
          <w:sz w:val="21"/>
          <w:szCs w:val="21"/>
        </w:rPr>
        <w:t xml:space="preserve">A canonical "Trade Opportunity" data object — intended to standardize forecast and optimizer output into one consumable format across every delivery channel — has been designed but is not yet built.</w:t>
      </w:r>
      <w:r>
        <w:rPr>
          <w:b/>
          <w:bCs/>
          <w:color w:val="C8860A"/>
          <w:sz w:val="18"/>
          <w:szCs w:val="18"/>
        </w:rPr>
        <w:t xml:space="preserve">  [IN PROGRESS]</w:t>
      </w:r>
    </w:p>
    <w:p>
      <w:pPr>
        <w:pStyle w:val="ListParagraph"/>
        <w:numPr>
          <w:ilvl w:val="0"/>
          <w:numId w:val="1"/>
        </w:numPr>
        <w:spacing w:after="60"/>
      </w:pPr>
      <w:r>
        <w:rPr>
          <w:color w:val="1C1C1C"/>
          <w:sz w:val="21"/>
          <w:szCs w:val="21"/>
        </w:rPr>
        <w:t xml:space="preserve">Prophet's native confidence-interval output is not yet surfaced anywhere in the product, despite requiring no new modeling work to add.</w:t>
      </w:r>
      <w:r>
        <w:rPr>
          <w:b/>
          <w:bCs/>
          <w:color w:val="C8860A"/>
          <w:sz w:val="18"/>
          <w:szCs w:val="18"/>
        </w:rPr>
        <w:t xml:space="preserve">  [IN PROGRESS]</w:t>
      </w:r>
    </w:p>
    <w:p>
      <w:pPr>
        <w:pStyle w:val="ListParagraph"/>
        <w:numPr>
          <w:ilvl w:val="0"/>
          <w:numId w:val="1"/>
        </w:numPr>
        <w:spacing w:after="60"/>
      </w:pPr>
      <w:r>
        <w:rPr>
          <w:color w:val="1C1C1C"/>
          <w:sz w:val="21"/>
          <w:szCs w:val="21"/>
        </w:rPr>
        <w:t xml:space="preserve">Geo-tagging of markets (town/LGA/state/lat-long, plus cross-border adjacency) to support the intrastate/local-trade finding has not yet been done.</w:t>
      </w:r>
      <w:r>
        <w:rPr>
          <w:b/>
          <w:bCs/>
          <w:color w:val="C0392B"/>
          <w:sz w:val="18"/>
          <w:szCs w:val="18"/>
        </w:rPr>
        <w:t xml:space="preserve">  [OPEN]</w:t>
      </w:r>
    </w:p>
    <w:p>
      <w:pPr>
        <w:pStyle w:val="ListParagraph"/>
        <w:numPr>
          <w:ilvl w:val="0"/>
          <w:numId w:val="1"/>
        </w:numPr>
        <w:spacing w:after="60"/>
      </w:pPr>
      <w:r>
        <w:rPr>
          <w:color w:val="1C1C1C"/>
          <w:sz w:val="21"/>
          <w:szCs w:val="21"/>
        </w:rPr>
        <w:t xml:space="preserve">Offline benchmarking of Prophet against simpler forecasting baselines (naive, moving average, ARIMA) has been planned but not yet executed.</w:t>
      </w:r>
      <w:r>
        <w:rPr>
          <w:b/>
          <w:bCs/>
          <w:color w:val="C0392B"/>
          <w:sz w:val="18"/>
          <w:szCs w:val="18"/>
        </w:rPr>
        <w:t xml:space="preserve">  [OPEN]</w:t>
      </w:r>
    </w:p>
    <w:p>
      <w:pPr>
        <w:pStyle w:val="Heading1"/>
        <w:spacing w:after="160" w:before="400"/>
      </w:pPr>
      <w:r>
        <w:rPr>
          <w:b/>
          <w:bCs/>
          <w:color w:val="1A6B3C"/>
          <w:sz w:val="30"/>
          <w:szCs w:val="30"/>
        </w:rPr>
        <w:t xml:space="preserve">5. Business Model</w:t>
      </w:r>
    </w:p>
    <w:p>
      <w:pPr>
        <w:pStyle w:val="ListParagraph"/>
        <w:numPr>
          <w:ilvl w:val="0"/>
          <w:numId w:val="1"/>
        </w:numPr>
        <w:spacing w:after="60"/>
      </w:pPr>
      <w:r>
        <w:rPr>
          <w:color w:val="1C1C1C"/>
          <w:sz w:val="21"/>
          <w:szCs w:val="21"/>
        </w:rPr>
        <w:t xml:space="preserve">Recurring revenue: subscription at ₦6,000/month (base) or ₦10,000/month (premium, more personalized recommendations).</w:t>
      </w:r>
      <w:r>
        <w:rPr>
          <w:b/>
          <w:bCs/>
          <w:color w:val="1A6B3C"/>
          <w:sz w:val="18"/>
          <w:szCs w:val="18"/>
        </w:rPr>
        <w:t xml:space="preserve">  [CONFIRMED]</w:t>
      </w:r>
    </w:p>
    <w:p>
      <w:pPr>
        <w:pStyle w:val="ListParagraph"/>
        <w:numPr>
          <w:ilvl w:val="0"/>
          <w:numId w:val="1"/>
        </w:numPr>
        <w:spacing w:after="60"/>
      </w:pPr>
      <w:r>
        <w:rPr>
          <w:color w:val="1C1C1C"/>
          <w:sz w:val="21"/>
          <w:szCs w:val="21"/>
        </w:rPr>
        <w:t xml:space="preserve">Transactional revenue: margin from first-party trading (TradeFlow trading on its own account using its own recommendations).</w:t>
      </w:r>
      <w:r>
        <w:rPr>
          <w:b/>
          <w:bCs/>
          <w:color w:val="1A6B3C"/>
          <w:sz w:val="18"/>
          <w:szCs w:val="18"/>
        </w:rPr>
        <w:t xml:space="preserve">  [CONFIRMED]</w:t>
      </w:r>
    </w:p>
    <w:p>
      <w:pPr>
        <w:pStyle w:val="ListParagraph"/>
        <w:numPr>
          <w:ilvl w:val="0"/>
          <w:numId w:val="1"/>
        </w:numPr>
        <w:spacing w:after="60"/>
      </w:pPr>
      <w:r>
        <w:rPr>
          <w:color w:val="1C1C1C"/>
          <w:sz w:val="21"/>
          <w:szCs w:val="21"/>
        </w:rPr>
        <w:t xml:space="preserve">Planned: B2B aggregated market-data licensing, targeted from Year 3 onward.</w:t>
      </w:r>
      <w:r>
        <w:rPr>
          <w:b/>
          <w:bCs/>
          <w:color w:val="C8860A"/>
          <w:sz w:val="18"/>
          <w:szCs w:val="18"/>
        </w:rPr>
        <w:t xml:space="preserve">  [IN PROGRESS]</w:t>
      </w:r>
    </w:p>
    <w:p>
      <w:pPr>
        <w:pStyle w:val="ListParagraph"/>
        <w:numPr>
          <w:ilvl w:val="0"/>
          <w:numId w:val="1"/>
        </w:numPr>
        <w:spacing w:after="60"/>
      </w:pPr>
      <w:r>
        <w:rPr>
          <w:color w:val="1C1C1C"/>
          <w:sz w:val="21"/>
          <w:szCs w:val="21"/>
        </w:rPr>
        <w:t xml:space="preserve">New: a demand-led "concierge" trading model is being piloted — a confirmed buyer request is matched against verified supply before any purchase is made (buy only after demand is confirmed, not speculatively). First pilot trades are intentionally small (2–3 bags), losses are being pre-budgeted, and scale-up is gated at three consecutive successful, on-time, fully-paid trades.</w:t>
      </w:r>
      <w:r>
        <w:rPr>
          <w:b/>
          <w:bCs/>
          <w:color w:val="C8860A"/>
          <w:sz w:val="18"/>
          <w:szCs w:val="18"/>
        </w:rPr>
        <w:t xml:space="preserve">  [IN PROGRESS]</w:t>
      </w:r>
    </w:p>
    <w:p>
      <w:pPr>
        <w:pStyle w:val="ListParagraph"/>
        <w:numPr>
          <w:ilvl w:val="0"/>
          <w:numId w:val="1"/>
        </w:numPr>
        <w:spacing w:after="60"/>
      </w:pPr>
      <w:r>
        <w:rPr>
          <w:color w:val="1C1C1C"/>
          <w:sz w:val="21"/>
          <w:szCs w:val="21"/>
        </w:rPr>
        <w:t xml:space="preserve">Payment terms for the concierge pilot (buyer pays upfront vs. on delivery) and the operational ownership of shipment status-tracking are still being finalized.</w:t>
      </w:r>
      <w:r>
        <w:rPr>
          <w:b/>
          <w:bCs/>
          <w:color w:val="C0392B"/>
          <w:sz w:val="18"/>
          <w:szCs w:val="18"/>
        </w:rPr>
        <w:t xml:space="preserve">  [OPEN]</w:t>
      </w:r>
    </w:p>
    <w:p>
      <w:pPr>
        <w:pStyle w:val="ListParagraph"/>
        <w:numPr>
          <w:ilvl w:val="0"/>
          <w:numId w:val="1"/>
        </w:numPr>
        <w:spacing w:after="60"/>
      </w:pPr>
      <w:r>
        <w:rPr>
          <w:color w:val="1C1C1C"/>
          <w:sz w:val="21"/>
          <w:szCs w:val="21"/>
        </w:rPr>
        <w:t xml:space="preserve">Whether TradeFlow NG remains solely an information/recommendation platform, or is expanding into a transactional marketplace with quality assurance and delivery commitments, has not been formally decided as a company-level strategic choice — it is currently being approached incrementally through small pilots rather than a single explicit decision.</w:t>
      </w:r>
      <w:r>
        <w:rPr>
          <w:b/>
          <w:bCs/>
          <w:color w:val="C0392B"/>
          <w:sz w:val="18"/>
          <w:szCs w:val="18"/>
        </w:rPr>
        <w:t xml:space="preserve">  [OPEN]</w:t>
      </w:r>
    </w:p>
    <w:p>
      <w:pPr>
        <w:pStyle w:val="Heading1"/>
        <w:spacing w:after="160" w:before="400"/>
      </w:pPr>
      <w:r>
        <w:rPr>
          <w:b/>
          <w:bCs/>
          <w:color w:val="1A6B3C"/>
          <w:sz w:val="30"/>
          <w:szCs w:val="30"/>
        </w:rPr>
        <w:t xml:space="preserve">6. Financial Snapshot</w:t>
      </w:r>
    </w:p>
    <w:p>
      <w:pPr>
        <w:pStyle w:val="ListParagraph"/>
        <w:numPr>
          <w:ilvl w:val="0"/>
          <w:numId w:val="1"/>
        </w:numPr>
        <w:spacing w:after="60"/>
      </w:pPr>
      <w:r>
        <w:rPr>
          <w:color w:val="1C1C1C"/>
          <w:sz w:val="21"/>
          <w:szCs w:val="21"/>
        </w:rPr>
        <w:t xml:space="preserve">Current pre-funding operating cost: approximately $30/month.</w:t>
      </w:r>
      <w:r>
        <w:rPr>
          <w:b/>
          <w:bCs/>
          <w:color w:val="1A6B3C"/>
          <w:sz w:val="18"/>
          <w:szCs w:val="18"/>
        </w:rPr>
        <w:t xml:space="preserve">  [CONFIRMED]</w:t>
      </w:r>
    </w:p>
    <w:p>
      <w:pPr>
        <w:pStyle w:val="ListParagraph"/>
        <w:numPr>
          <w:ilvl w:val="0"/>
          <w:numId w:val="1"/>
        </w:numPr>
        <w:spacing w:after="60"/>
      </w:pPr>
      <w:r>
        <w:rPr>
          <w:color w:val="1C1C1C"/>
          <w:sz w:val="21"/>
          <w:szCs w:val="21"/>
        </w:rPr>
        <w:t xml:space="preserve">Projected operating cost for months 1–6 post-funding: approximately $147/month (excludes first-party trading capital, which is treated as separate, self-sustaining working capital, not operating burn).</w:t>
      </w:r>
      <w:r>
        <w:rPr>
          <w:b/>
          <w:bCs/>
          <w:color w:val="1A6B3C"/>
          <w:sz w:val="18"/>
          <w:szCs w:val="18"/>
        </w:rPr>
        <w:t xml:space="preserve">  [CONFIRMED]</w:t>
      </w:r>
    </w:p>
    <w:p>
      <w:pPr>
        <w:pStyle w:val="ListParagraph"/>
        <w:numPr>
          <w:ilvl w:val="0"/>
          <w:numId w:val="1"/>
        </w:numPr>
        <w:spacing w:after="60"/>
      </w:pPr>
      <w:r>
        <w:rPr>
          <w:color w:val="1C1C1C"/>
          <w:sz w:val="21"/>
          <w:szCs w:val="21"/>
        </w:rPr>
        <w:t xml:space="preserve">Current funding ask: $20,000 in grant capital — non-dilutive, no interest, no equity given up. No debt capital is being pursued. Equity capital is being considered for a future stage but is not part of the current ask.</w:t>
      </w:r>
      <w:r>
        <w:rPr>
          <w:b/>
          <w:bCs/>
          <w:color w:val="1A6B3C"/>
          <w:sz w:val="18"/>
          <w:szCs w:val="18"/>
        </w:rPr>
        <w:t xml:space="preserve">  [CONFIRMED]</w:t>
      </w:r>
    </w:p>
    <w:p>
      <w:pPr>
        <w:pStyle w:val="ListParagraph"/>
        <w:numPr>
          <w:ilvl w:val="0"/>
          <w:numId w:val="1"/>
        </w:numPr>
        <w:spacing w:after="60"/>
      </w:pPr>
      <w:r>
        <w:rPr>
          <w:color w:val="1C1C1C"/>
          <w:sz w:val="21"/>
          <w:szCs w:val="21"/>
        </w:rPr>
        <w:t xml:space="preserve">Use of funds: 45% field agent network, 25% first-party trading capital, 15% platform operations, 15% research and customer/trade validation.</w:t>
      </w:r>
      <w:r>
        <w:rPr>
          <w:b/>
          <w:bCs/>
          <w:color w:val="1A6B3C"/>
          <w:sz w:val="18"/>
          <w:szCs w:val="18"/>
        </w:rPr>
        <w:t xml:space="preserve">  [CONFIRMED]</w:t>
      </w:r>
    </w:p>
    <w:p>
      <w:pPr>
        <w:pStyle w:val="ListParagraph"/>
        <w:numPr>
          <w:ilvl w:val="0"/>
          <w:numId w:val="1"/>
        </w:numPr>
        <w:spacing w:after="60"/>
      </w:pPr>
      <w:r>
        <w:rPr>
          <w:color w:val="1C1C1C"/>
          <w:sz w:val="21"/>
          <w:szCs w:val="21"/>
        </w:rPr>
        <w:t xml:space="preserve">An internally built financial model (recurring/transactional revenue and fixed/variable cost projections through October 2027) exists but contains a material error: EBIT was calculated by adding grant capital to revenue rather than treating grant capital as financing separate from revenue. This has been identified and correction is underway. The model also currently omits agent stipend costs, infrastructure cost growth, and first-party trading margin from its projections.</w:t>
      </w:r>
      <w:r>
        <w:rPr>
          <w:b/>
          <w:bCs/>
          <w:color w:val="C8860A"/>
          <w:sz w:val="18"/>
          <w:szCs w:val="18"/>
        </w:rPr>
        <w:t xml:space="preserve">  [IN PROGRESS]</w:t>
      </w:r>
    </w:p>
    <w:p>
      <w:pPr>
        <w:pStyle w:val="ListParagraph"/>
        <w:numPr>
          <w:ilvl w:val="0"/>
          <w:numId w:val="1"/>
        </w:numPr>
        <w:spacing w:after="60"/>
      </w:pPr>
      <w:r>
        <w:rPr>
          <w:color w:val="1C1C1C"/>
          <w:sz w:val="21"/>
          <w:szCs w:val="21"/>
        </w:rPr>
        <w:t xml:space="preserve">Months 7–12 operating cost projection has not yet been produced.</w:t>
      </w:r>
      <w:r>
        <w:rPr>
          <w:b/>
          <w:bCs/>
          <w:color w:val="C0392B"/>
          <w:sz w:val="18"/>
          <w:szCs w:val="18"/>
        </w:rPr>
        <w:t xml:space="preserve">  [OPEN]</w:t>
      </w:r>
    </w:p>
    <w:p>
      <w:pPr>
        <w:pStyle w:val="Heading1"/>
        <w:spacing w:after="160" w:before="400"/>
      </w:pPr>
      <w:r>
        <w:rPr>
          <w:b/>
          <w:bCs/>
          <w:color w:val="1A6B3C"/>
          <w:sz w:val="30"/>
          <w:szCs w:val="30"/>
        </w:rPr>
        <w:t xml:space="preserve">7. Team and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CCCCCC" w:sz="4"/>
              <w:left w:val="single" w:color="CCCCCC" w:sz="4"/>
              <w:bottom w:val="single" w:color="CCCCCC" w:sz="4"/>
              <w:right w:val="single" w:color="CCCCCC" w:sz="4"/>
            </w:tcBorders>
            <w:shd w:fill="1A6B3C" w:val="clear"/>
            <w:tcMar>
              <w:top w:type="dxa" w:w="100"/>
              <w:left w:type="dxa" w:w="120"/>
              <w:bottom w:type="dxa" w:w="100"/>
              <w:right w:type="dxa" w:w="120"/>
            </w:tcMar>
          </w:tcPr>
          <w:p>
            <w:r>
              <w:rPr>
                <w:b/>
                <w:bCs/>
                <w:color w:val="FFFFFF"/>
                <w:sz w:val="19"/>
                <w:szCs w:val="19"/>
              </w:rPr>
              <w:t xml:space="preserve">Person</w:t>
            </w:r>
          </w:p>
        </w:tc>
        <w:tc>
          <w:tcPr>
            <w:tcW w:type="dxa" w:w="4200"/>
            <w:tcBorders>
              <w:top w:val="single" w:color="CCCCCC" w:sz="4"/>
              <w:left w:val="single" w:color="CCCCCC" w:sz="4"/>
              <w:bottom w:val="single" w:color="CCCCCC" w:sz="4"/>
              <w:right w:val="single" w:color="CCCCCC" w:sz="4"/>
            </w:tcBorders>
            <w:shd w:fill="1A6B3C" w:val="clear"/>
            <w:tcMar>
              <w:top w:type="dxa" w:w="100"/>
              <w:left w:type="dxa" w:w="120"/>
              <w:bottom w:type="dxa" w:w="100"/>
              <w:right w:type="dxa" w:w="120"/>
            </w:tcMar>
          </w:tcPr>
          <w:p>
            <w:r>
              <w:rPr>
                <w:b/>
                <w:bCs/>
                <w:color w:val="FFFFFF"/>
                <w:sz w:val="19"/>
                <w:szCs w:val="19"/>
              </w:rPr>
              <w:t xml:space="preserve">Current Role Focus</w:t>
            </w:r>
          </w:p>
        </w:tc>
        <w:tc>
          <w:tcPr>
            <w:tcW w:type="dxa" w:w="1950"/>
            <w:tcBorders>
              <w:top w:val="single" w:color="CCCCCC" w:sz="4"/>
              <w:left w:val="single" w:color="CCCCCC" w:sz="4"/>
              <w:bottom w:val="single" w:color="CCCCCC" w:sz="4"/>
              <w:right w:val="single" w:color="CCCCCC" w:sz="4"/>
            </w:tcBorders>
            <w:shd w:fill="1A6B3C" w:val="clear"/>
            <w:tcMar>
              <w:top w:type="dxa" w:w="100"/>
              <w:left w:type="dxa" w:w="120"/>
              <w:bottom w:type="dxa" w:w="100"/>
              <w:right w:type="dxa" w:w="120"/>
            </w:tcMar>
          </w:tcPr>
          <w:p>
            <w:r>
              <w:rPr>
                <w:b/>
                <w:bCs/>
                <w:color w:val="FFFFFF"/>
                <w:sz w:val="19"/>
                <w:szCs w:val="19"/>
              </w:rPr>
              <w:t xml:space="preserve">Status</w:t>
            </w:r>
          </w:p>
        </w:tc>
      </w:tr>
      <w:tr>
        <w:tc>
          <w:tcPr>
            <w:tcW w:type="dxa" w:w="3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Quadri Adebisi</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Founder, CEO/CTO — product, technical architecture, fundraising</w:t>
            </w:r>
          </w:p>
        </w:tc>
        <w:tc>
          <w:tcPr>
            <w:tcW w:type="dxa" w:w="195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Confirmed</w:t>
            </w:r>
          </w:p>
        </w:tc>
      </w:tr>
      <w:tr>
        <w:tc>
          <w:tcPr>
            <w:tcW w:type="dxa" w:w="3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Oladele Olaoluwa</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Head of Field Operations — direct agent coordination</w:t>
            </w:r>
          </w:p>
        </w:tc>
        <w:tc>
          <w:tcPr>
            <w:tcW w:type="dxa" w:w="195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Confirmed</w:t>
            </w:r>
          </w:p>
        </w:tc>
      </w:tr>
      <w:tr>
        <w:tc>
          <w:tcPr>
            <w:tcW w:type="dxa" w:w="3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Elijah Essang</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Team Lead — management/field communication liaison</w:t>
            </w:r>
          </w:p>
        </w:tc>
        <w:tc>
          <w:tcPr>
            <w:tcW w:type="dxa" w:w="195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Confirmed</w:t>
            </w:r>
          </w:p>
        </w:tc>
      </w:tr>
      <w:tr>
        <w:tc>
          <w:tcPr>
            <w:tcW w:type="dxa" w:w="3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Daniel Ibitowa</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Financial Analyst (transitioning from Field Intelligence)</w:t>
            </w:r>
          </w:p>
        </w:tc>
        <w:tc>
          <w:tcPr>
            <w:tcW w:type="dxa" w:w="195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Confirmed</w:t>
            </w:r>
          </w:p>
        </w:tc>
      </w:tr>
      <w:tr>
        <w:tc>
          <w:tcPr>
            <w:tcW w:type="dxa" w:w="3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Jude, Maryam, Timothy, Habeebullahi, Enoch, Kushimo</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Content &amp; Brand pod (writing, design, community, trust-building, amplification) — distinct lanes, one pod</w:t>
            </w:r>
          </w:p>
        </w:tc>
        <w:tc>
          <w:tcPr>
            <w:tcW w:type="dxa" w:w="195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Confirmed — Kushimo active on limited hours; others per individual capacity stated in 1:1s</w:t>
            </w:r>
          </w:p>
        </w:tc>
      </w:tr>
      <w:tr>
        <w:tc>
          <w:tcPr>
            <w:tcW w:type="dxa" w:w="3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Emmanuel Akunne</w:t>
            </w:r>
          </w:p>
        </w:tc>
        <w:tc>
          <w:tcPr>
            <w:tcW w:type="dxa" w:w="420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Previously Growth &amp; Partnerships</w:t>
            </w:r>
          </w:p>
        </w:tc>
        <w:tc>
          <w:tcPr>
            <w:tcW w:type="dxa" w:w="1950"/>
            <w:tcBorders>
              <w:top w:val="single" w:color="CCCCCC" w:sz="4"/>
              <w:left w:val="single" w:color="CCCCCC" w:sz="4"/>
              <w:bottom w:val="single" w:color="CCCCCC" w:sz="4"/>
              <w:right w:val="single" w:color="CCCCCC" w:sz="4"/>
            </w:tcBorders>
            <w:tcMar>
              <w:top w:type="dxa" w:w="90"/>
              <w:left w:type="dxa" w:w="120"/>
              <w:bottom w:type="dxa" w:w="90"/>
              <w:right w:type="dxa" w:w="120"/>
            </w:tcMar>
          </w:tcPr>
          <w:p>
            <w:r>
              <w:rPr>
                <w:color w:val="1C1C1C"/>
                <w:sz w:val="19"/>
                <w:szCs w:val="19"/>
              </w:rPr>
              <w:t xml:space="preserve">Open — inactive; being addressed directly and privately</w:t>
            </w:r>
          </w:p>
        </w:tc>
      </w:tr>
    </w:tbl>
    <w:p>
      <w:pPr>
        <w:spacing w:after="120"/>
      </w:pPr>
      <w:r>
        <w:rPr>
          <w:b w:val="false"/>
          <w:bCs w:val="false"/>
          <w:i w:val="false"/>
          <w:iCs w:val="false"/>
          <w:color w:val="1C1C1C"/>
          <w:sz w:val="21"/>
          <w:szCs w:val="21"/>
        </w:rPr>
        <w:t xml:space="preserve"/>
      </w:r>
    </w:p>
    <w:p>
      <w:pPr>
        <w:pStyle w:val="ListParagraph"/>
        <w:numPr>
          <w:ilvl w:val="0"/>
          <w:numId w:val="1"/>
        </w:numPr>
        <w:spacing w:after="60"/>
      </w:pPr>
      <w:r>
        <w:rPr>
          <w:color w:val="1C1C1C"/>
          <w:sz w:val="21"/>
          <w:szCs w:val="21"/>
        </w:rPr>
        <w:t xml:space="preserve">Formal incorporation status and an equity framework for the founding team have not yet been finalized.</w:t>
      </w:r>
      <w:r>
        <w:rPr>
          <w:b/>
          <w:bCs/>
          <w:color w:val="C0392B"/>
          <w:sz w:val="18"/>
          <w:szCs w:val="18"/>
        </w:rPr>
        <w:t xml:space="preserve">  [OPEN]</w:t>
      </w:r>
    </w:p>
    <w:p>
      <w:pPr>
        <w:pStyle w:val="ListParagraph"/>
        <w:numPr>
          <w:ilvl w:val="0"/>
          <w:numId w:val="1"/>
        </w:numPr>
        <w:spacing w:after="60"/>
      </w:pPr>
      <w:r>
        <w:rPr>
          <w:color w:val="1C1C1C"/>
          <w:sz w:val="21"/>
          <w:szCs w:val="21"/>
        </w:rPr>
        <w:t xml:space="preserve">Legal and compliance input is currently provided informally by a law student advisor who is not yet a licensed, certified attorney and has stated this limitation directly.</w:t>
      </w:r>
      <w:r>
        <w:rPr>
          <w:b/>
          <w:bCs/>
          <w:color w:val="1A6B3C"/>
          <w:sz w:val="18"/>
          <w:szCs w:val="18"/>
        </w:rPr>
        <w:t xml:space="preserve">  [CONFIRMED]</w:t>
      </w:r>
    </w:p>
    <w:p>
      <w:pPr>
        <w:pStyle w:val="Heading1"/>
        <w:spacing w:after="160" w:before="400"/>
      </w:pPr>
      <w:r>
        <w:rPr>
          <w:b/>
          <w:bCs/>
          <w:color w:val="1A6B3C"/>
          <w:sz w:val="30"/>
          <w:szCs w:val="30"/>
        </w:rPr>
        <w:t xml:space="preserve">8. Compliance and Legal Documents</w:t>
      </w:r>
    </w:p>
    <w:p>
      <w:pPr>
        <w:pStyle w:val="ListParagraph"/>
        <w:numPr>
          <w:ilvl w:val="0"/>
          <w:numId w:val="1"/>
        </w:numPr>
        <w:spacing w:after="60"/>
      </w:pPr>
      <w:r>
        <w:rPr>
          <w:color w:val="1C1C1C"/>
          <w:sz w:val="21"/>
          <w:szCs w:val="21"/>
        </w:rPr>
        <w:t xml:space="preserve">Drafted internally, with AI assistance and informal law-student input: a Privacy Policy, a Team Confidentiality Agreement, a Field Agent data-accuracy agreement, and a Trader Agreement.</w:t>
      </w:r>
      <w:r>
        <w:rPr>
          <w:b/>
          <w:bCs/>
          <w:color w:val="C8860A"/>
          <w:sz w:val="18"/>
          <w:szCs w:val="18"/>
        </w:rPr>
        <w:t xml:space="preserve">  [IN PROGRESS]</w:t>
      </w:r>
    </w:p>
    <w:p>
      <w:pPr>
        <w:pStyle w:val="ListParagraph"/>
        <w:numPr>
          <w:ilvl w:val="0"/>
          <w:numId w:val="1"/>
        </w:numPr>
        <w:spacing w:after="60"/>
      </w:pPr>
      <w:r>
        <w:rPr>
          <w:color w:val="1C1C1C"/>
          <w:sz w:val="21"/>
          <w:szCs w:val="21"/>
        </w:rPr>
        <w:t xml:space="preserve">None of these documents have received review or sign-off from a licensed attorney. All currently carry an explicit internal notice to this effect.</w:t>
      </w:r>
      <w:r>
        <w:rPr>
          <w:b/>
          <w:bCs/>
          <w:color w:val="1A6B3C"/>
          <w:sz w:val="18"/>
          <w:szCs w:val="18"/>
        </w:rPr>
        <w:t xml:space="preserve">  [CONFIRMED]</w:t>
      </w:r>
    </w:p>
    <w:p>
      <w:pPr>
        <w:pStyle w:val="ListParagraph"/>
        <w:numPr>
          <w:ilvl w:val="0"/>
          <w:numId w:val="1"/>
        </w:numPr>
        <w:spacing w:after="60"/>
      </w:pPr>
      <w:r>
        <w:rPr>
          <w:color w:val="1C1C1C"/>
          <w:sz w:val="21"/>
          <w:szCs w:val="21"/>
        </w:rPr>
        <w:t xml:space="preserve">A consent flow for sellers whose contact details might be shared with traders (relevant to the concierge/verified-source model) does not yet exist.</w:t>
      </w:r>
      <w:r>
        <w:rPr>
          <w:b/>
          <w:bCs/>
          <w:color w:val="C0392B"/>
          <w:sz w:val="18"/>
          <w:szCs w:val="18"/>
        </w:rPr>
        <w:t xml:space="preserve">  [OPEN]</w:t>
      </w:r>
    </w:p>
    <w:p>
      <w:pPr>
        <w:pStyle w:val="ListParagraph"/>
        <w:numPr>
          <w:ilvl w:val="0"/>
          <w:numId w:val="1"/>
        </w:numPr>
        <w:spacing w:after="60"/>
      </w:pPr>
      <w:r>
        <w:rPr>
          <w:color w:val="1C1C1C"/>
          <w:sz w:val="21"/>
          <w:szCs w:val="21"/>
        </w:rPr>
        <w:t xml:space="preserve">Data retention period, and NDPR cross-border data transfer implications of current hosting (Supabase), have not yet been formally defined.</w:t>
      </w:r>
      <w:r>
        <w:rPr>
          <w:b/>
          <w:bCs/>
          <w:color w:val="C0392B"/>
          <w:sz w:val="18"/>
          <w:szCs w:val="18"/>
        </w:rPr>
        <w:t xml:space="preserve">  [OPEN]</w:t>
      </w:r>
    </w:p>
    <w:p>
      <w:pPr>
        <w:pStyle w:val="Heading1"/>
        <w:spacing w:after="160" w:before="400"/>
      </w:pPr>
      <w:r>
        <w:rPr>
          <w:b/>
          <w:bCs/>
          <w:color w:val="1A6B3C"/>
          <w:sz w:val="30"/>
          <w:szCs w:val="30"/>
        </w:rPr>
        <w:t xml:space="preserve">9. Recent Strategic Shifts Underway</w:t>
      </w:r>
    </w:p>
    <w:p>
      <w:pPr>
        <w:spacing w:after="120"/>
      </w:pPr>
      <w:r>
        <w:rPr>
          <w:b w:val="false"/>
          <w:bCs w:val="false"/>
          <w:i w:val="false"/>
          <w:iCs w:val="false"/>
          <w:color w:val="1C1C1C"/>
          <w:sz w:val="21"/>
          <w:szCs w:val="21"/>
        </w:rPr>
        <w:t xml:space="preserve">Field interviews revealed that the large majority of traders interviewed use basic feature phones, not smartphones, and only a small minority use WhatsApp. This directly challenges the original assumption that a dashboard or WhatsApp would be the primary trader interface.</w:t>
      </w:r>
    </w:p>
    <w:p>
      <w:pPr>
        <w:pStyle w:val="ListParagraph"/>
        <w:numPr>
          <w:ilvl w:val="0"/>
          <w:numId w:val="1"/>
        </w:numPr>
        <w:spacing w:after="60"/>
      </w:pPr>
      <w:r>
        <w:rPr>
          <w:b w:val="false"/>
          <w:bCs w:val="false"/>
          <w:color w:val="1C1C1C"/>
          <w:sz w:val="21"/>
          <w:szCs w:val="21"/>
        </w:rPr>
        <w:t xml:space="preserve">In response, the company is moving toward: agent-relayed recommendations as the near-term delivery channel, SMS as the first digital channel to test (with unit economics to be quantified before scaling), and USSD/voice treated as later-stage options pending demonstrated demand and cost justification.</w:t>
      </w:r>
    </w:p>
    <w:p>
      <w:pPr>
        <w:pStyle w:val="ListParagraph"/>
        <w:numPr>
          <w:ilvl w:val="0"/>
          <w:numId w:val="1"/>
        </w:numPr>
        <w:spacing w:after="60"/>
      </w:pPr>
      <w:r>
        <w:rPr>
          <w:b w:val="false"/>
          <w:bCs w:val="false"/>
          <w:color w:val="1C1C1C"/>
          <w:sz w:val="21"/>
          <w:szCs w:val="21"/>
        </w:rPr>
        <w:t xml:space="preserve">A pilot ("agent-relay") to test whether traders act on a recommendation delivered by a trusted agent, independent of any new technology, has been designed with a proposed success threshold (≥50% engagement, ≥5 logged outcomes) that the founder has not yet formally confirmed.</w:t>
      </w:r>
    </w:p>
    <w:p>
      <w:pPr>
        <w:pStyle w:val="ListParagraph"/>
        <w:numPr>
          <w:ilvl w:val="0"/>
          <w:numId w:val="1"/>
        </w:numPr>
        <w:spacing w:after="60"/>
      </w:pPr>
      <w:r>
        <w:rPr>
          <w:color w:val="1C1C1C"/>
          <w:sz w:val="21"/>
          <w:szCs w:val="21"/>
        </w:rPr>
        <w:t xml:space="preserve">Status of the agent-relay pilot itself — as distinct from trader registration/onboarding, which is further along — is unclear as of this writing.</w:t>
      </w:r>
      <w:r>
        <w:rPr>
          <w:b/>
          <w:bCs/>
          <w:color w:val="C0392B"/>
          <w:sz w:val="18"/>
          <w:szCs w:val="18"/>
        </w:rPr>
        <w:t xml:space="preserve">  [OPEN]</w:t>
      </w:r>
    </w:p>
    <w:p>
      <w:pPr>
        <w:pStyle w:val="Heading1"/>
        <w:spacing w:after="160" w:before="400"/>
      </w:pPr>
      <w:r>
        <w:rPr>
          <w:b/>
          <w:bCs/>
          <w:color w:val="1A6B3C"/>
          <w:sz w:val="30"/>
          <w:szCs w:val="30"/>
        </w:rPr>
        <w:t xml:space="preserve">10. Open Questions the Founder Wants the Evaluator's View On</w:t>
      </w:r>
    </w:p>
    <w:p>
      <w:pPr>
        <w:pStyle w:val="ListParagraph"/>
        <w:numPr>
          <w:ilvl w:val="0"/>
          <w:numId w:val="1"/>
        </w:numPr>
        <w:spacing w:after="60"/>
      </w:pPr>
      <w:r>
        <w:rPr>
          <w:b w:val="false"/>
          <w:bCs w:val="false"/>
          <w:color w:val="1C1C1C"/>
          <w:sz w:val="21"/>
          <w:szCs w:val="21"/>
        </w:rPr>
        <w:t xml:space="preserve">Is the sequencing discipline being maintained? Several new initiatives (concierge trading, verified-source records, intrastate market expansion) have entered design discussion in parallel with the still-unresolved core question of whether traders act on recommendations at all.</w:t>
      </w:r>
    </w:p>
    <w:p>
      <w:pPr>
        <w:pStyle w:val="ListParagraph"/>
        <w:numPr>
          <w:ilvl w:val="0"/>
          <w:numId w:val="1"/>
        </w:numPr>
        <w:spacing w:after="60"/>
      </w:pPr>
      <w:r>
        <w:rPr>
          <w:b w:val="false"/>
          <w:bCs w:val="false"/>
          <w:color w:val="1C1C1C"/>
          <w:sz w:val="21"/>
          <w:szCs w:val="21"/>
        </w:rPr>
        <w:t xml:space="preserve">Does the confirmed intrastate/cross-border trade evidence require a change in company positioning, market sizing, or branding?</w:t>
      </w:r>
    </w:p>
    <w:p>
      <w:pPr>
        <w:pStyle w:val="ListParagraph"/>
        <w:numPr>
          <w:ilvl w:val="0"/>
          <w:numId w:val="1"/>
        </w:numPr>
        <w:spacing w:after="60"/>
      </w:pPr>
      <w:r>
        <w:rPr>
          <w:b w:val="false"/>
          <w:bCs w:val="false"/>
          <w:color w:val="1C1C1C"/>
          <w:sz w:val="21"/>
          <w:szCs w:val="21"/>
        </w:rPr>
        <w:t xml:space="preserve">Is the demand-led concierge/self-trading model a natural extension of the existing business, or does it represent a second, structurally different business (marketplace/logistics) that deserves its own explicit go/no-go decision?</w:t>
      </w:r>
    </w:p>
    <w:p>
      <w:pPr>
        <w:pStyle w:val="ListParagraph"/>
        <w:numPr>
          <w:ilvl w:val="0"/>
          <w:numId w:val="1"/>
        </w:numPr>
        <w:spacing w:after="60"/>
      </w:pPr>
      <w:r>
        <w:rPr>
          <w:b w:val="false"/>
          <w:bCs w:val="false"/>
          <w:color w:val="1C1C1C"/>
          <w:sz w:val="21"/>
          <w:szCs w:val="21"/>
        </w:rPr>
        <w:t xml:space="preserve">Given current field data reality (7 of 16 agents producing usable data, 8 real markets, no price fresher than 24 days), is the current fundraising narrative appropriately calibrated to the venture's actual operational maturity?</w:t>
      </w:r>
    </w:p>
    <w:p>
      <w:pPr>
        <w:pStyle w:val="ListParagraph"/>
        <w:numPr>
          <w:ilvl w:val="0"/>
          <w:numId w:val="1"/>
        </w:numPr>
        <w:spacing w:after="60"/>
      </w:pPr>
      <w:r>
        <w:rPr>
          <w:b w:val="false"/>
          <w:bCs w:val="false"/>
          <w:color w:val="1C1C1C"/>
          <w:sz w:val="21"/>
          <w:szCs w:val="21"/>
        </w:rPr>
        <w:t xml:space="preserve">What governance or incorporation structure should be prioritized given the team is pre-equity, partly volunteer, and about to formalize roles and accountability?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2026-09-15T05:40:37.970Z</dcterms:created>
  <dcterms:modified xsi:type="dcterms:W3CDTF">2026-09-15T05:40:37.970Z</dcterms:modified>
</cp:coreProperties>
</file>

<file path=docProps/custom.xml><?xml version="1.0" encoding="utf-8"?>
<Properties xmlns="http://schemas.openxmlformats.org/officeDocument/2006/custom-properties" xmlns:vt="http://schemas.openxmlformats.org/officeDocument/2006/docPropsVTypes"/>
</file>