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highlight w:val="none"/>
          <w:u w:val="single"/>
          <w:lang w:val="fr-FR"/>
        </w:rPr>
      </w:pPr>
      <w:r>
        <w:rPr>
          <w:b/>
          <w:bCs/>
          <w:u w:val="single"/>
          <w:lang w:val="fr-FR"/>
        </w:rPr>
        <w:t xml:space="preserve">Base de donnée</w:t>
      </w:r>
      <w:r>
        <w:rPr>
          <w:b/>
          <w:bCs/>
          <w:u w:val="single"/>
        </w:rPr>
      </w:r>
      <w:r>
        <w:rPr>
          <w:b/>
          <w:bCs/>
          <w:highlight w:val="none"/>
          <w:u w:val="single"/>
          <w:lang w:val="fr-FR"/>
        </w:rPr>
      </w:r>
    </w:p>
    <w:p w14:paraId="26082810">
      <w:pPr>
        <w:pBdr/>
        <w:spacing/>
        <w:ind/>
        <w:jc w:val="left"/>
        <w:rPr>
          <w:b w:val="0"/>
          <w:bCs w:val="0"/>
          <w:highlight w:val="none"/>
          <w:u w:val="none"/>
          <w:lang w:val="fr-FR"/>
        </w:rPr>
      </w:pPr>
      <w:r>
        <w:rPr>
          <w:b w:val="0"/>
          <w:bCs w:val="0"/>
          <w:highlight w:val="none"/>
          <w:u w:val="none"/>
          <w:lang w:val="fr-FR"/>
        </w:rPr>
        <w:t xml:space="preserve">BDD &gt; utilisées pour stocker, organiser, analyser, consulter des données</w:t>
      </w:r>
      <w:r>
        <w:rPr>
          <w:b w:val="0"/>
          <w:bCs w:val="0"/>
          <w:u w:val="none"/>
        </w:rPr>
      </w:r>
      <w:r>
        <w:rPr>
          <w:b w:val="0"/>
          <w:bCs w:val="0"/>
          <w:highlight w:val="none"/>
          <w:u w:val="none"/>
          <w:lang w:val="fr-FR"/>
        </w:rPr>
      </w:r>
    </w:p>
    <w:p w14:paraId="5B9EDB8C">
      <w:pPr>
        <w:pBdr/>
        <w:spacing/>
        <w:ind/>
        <w:jc w:val="left"/>
        <w:rPr>
          <w:b w:val="0"/>
          <w:bCs w:val="0"/>
          <w:highlight w:val="none"/>
          <w:u w:val="none"/>
          <w:lang w:val="fr-FR"/>
        </w:rPr>
      </w:pPr>
      <w:r>
        <w:rPr>
          <w:b w:val="0"/>
          <w:bCs w:val="0"/>
          <w:highlight w:val="none"/>
          <w:u w:val="none"/>
          <w:lang w:val="fr-FR"/>
        </w:rPr>
        <w:t xml:space="preserve">Le concept de BDD est composé de deux éléments :</w:t>
      </w:r>
      <w:r>
        <w:rPr>
          <w:b w:val="0"/>
          <w:bCs w:val="0"/>
          <w:highlight w:val="none"/>
          <w:u w:val="none"/>
          <w:lang w:val="fr-FR"/>
        </w:rPr>
      </w:r>
      <w:r>
        <w:rPr>
          <w:b w:val="0"/>
          <w:bCs w:val="0"/>
          <w:highlight w:val="none"/>
          <w:u w:val="none"/>
          <w:lang w:val="fr-FR"/>
        </w:rPr>
      </w:r>
    </w:p>
    <w:p w14:paraId="4257F0DF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-un ensemble structuré d’informations</w:t>
      </w:r>
      <w:r>
        <w:rPr>
          <w:b w:val="0"/>
          <w:bCs w:val="0"/>
          <w:highlight w:val="none"/>
          <w:u w:val="none"/>
          <w:lang w:val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576FDBC6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-un composant logiciel Système de gestion de base de données (SGBD) qui permet de </w:t>
        <w:br/>
        <w:tab/>
        <w:tab/>
        <w:t xml:space="preserve">définir et manipuler les données</w:t>
        <w:br/>
        <w:tab/>
        <w:tab/>
      </w:r>
      <w:r>
        <w:rPr>
          <w:b w:val="0"/>
          <w:bCs w:val="0"/>
          <w:highlight w:val="none"/>
          <w:u w:val="none"/>
          <w:lang w:val="fr-FR" w:bidi="fr-FR"/>
        </w:rPr>
        <w:t xml:space="preserve">garantir l’intégrité et la cohérence des données</w:t>
        <w:br/>
        <w:tab/>
        <w:tab/>
        <w:t xml:space="preserve">gérer la sécurité et des droits d’accès</w:t>
        <w:br/>
        <w:tab/>
        <w:tab/>
        <w:t xml:space="preserve">assurer la redonda</w:t>
      </w:r>
      <w:r>
        <w:rPr>
          <w:b w:val="0"/>
          <w:bCs w:val="0"/>
          <w:highlight w:val="none"/>
          <w:u w:val="none"/>
          <w:lang w:val="fr-FR" w:bidi="fr-FR"/>
        </w:rPr>
        <w:t xml:space="preserve">nce du système</w:t>
        <w:br/>
        <w:tab/>
        <w:tab/>
        <w:t xml:space="preserve">assurer l’indépendance physique (modifier le stockage physique sansmodiffier </w:t>
        <w:tab/>
        <w:tab/>
        <w:tab/>
        <w:tab/>
        <w:tab/>
        <w:t xml:space="preserve">les applications qui y accèdent)</w:t>
        <w:br/>
        <w:tab/>
        <w:tab/>
        <w:t xml:space="preserve">et l’indépendance logique (modifier l’organisation logique des données sans </w:t>
        <w:tab/>
        <w:tab/>
        <w:tab/>
        <w:tab/>
        <w:tab/>
        <w:t xml:space="preserve">modifier les applications qui y accèdent)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0C74C12E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Les</w:t>
      </w:r>
      <w:r>
        <w:rPr>
          <w:b w:val="0"/>
          <w:bCs w:val="0"/>
          <w:highlight w:val="none"/>
          <w:u w:val="none"/>
          <w:lang w:val="fr-FR" w:bidi="fr-FR"/>
        </w:rPr>
        <w:t xml:space="preserve"> SGBD les plus utilisés sont Oracle, MySQL, Microsoft SQL Server, PostgreSQL, MongoDB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76FF0D9D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Exemples d’application : 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1204073B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-Gestion des personnels, étudiants, cours d’une université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78034A39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-Système de réservation de billets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54313C7C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-Gestion des comptes clients/catalogues/projets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3D932323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-Gestion des commandes Amazon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0A6B8E27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2450E89B">
      <w:pPr>
        <w:pBdr/>
        <w:spacing/>
        <w:ind/>
        <w:jc w:val="center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Modélisation :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40649E27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Processus permettant de représenter et organiser les données d’un domaine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4F89A6AC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Un modèle définit la manière dont les données sont structurées et reliées entre elles.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404C1D9F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Principaux modèles :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33ACB378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Hiérarchique – Arbre avec relations parent/enfant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1FF8EAD8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Relationnel – Organisation sous forme de tables composées de lignes et de colonnes 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59440BEA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ab/>
        <w:tab/>
        <w:t xml:space="preserve">Les tables sont reliées entre elles g</w:t>
      </w:r>
      <w:r>
        <w:rPr>
          <w:b w:val="0"/>
          <w:bCs w:val="0"/>
          <w:highlight w:val="none"/>
          <w:u w:val="none"/>
          <w:lang w:val="fr-FR" w:bidi="fr-FR"/>
        </w:rPr>
        <w:t xml:space="preserve">r</w:t>
      </w:r>
      <w:r>
        <w:rPr>
          <w:b w:val="0"/>
          <w:bCs w:val="0"/>
          <w:highlight w:val="none"/>
          <w:u w:val="none"/>
          <w:lang w:val="fr-FR" w:bidi="fr-FR"/>
        </w:rPr>
        <w:t xml:space="preserve">âce à des clés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471AA403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NoSQL (not only SQL) – modèles non relationnels adaptés à des données variées ou </w:t>
        <w:tab/>
        <w:tab/>
        <w:tab/>
        <w:tab/>
        <w:tab/>
        <w:t xml:space="preserve">distribuées (sur plusieurs serveurs)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257303D8">
      <w:pPr>
        <w:pBdr/>
        <w:shd w:val="nil" w:color="auto"/>
        <w:spacing/>
        <w:ind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br w:type="page" w:clear="all"/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41EE2BBF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Le Modèle Conceptuel de Données (MCD) :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08E6111C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</w:r>
      <w:r>
        <w:rPr>
          <w:b w:val="0"/>
          <w:bCs w:val="0"/>
          <w:highlight w:val="none"/>
          <w:u w:val="none"/>
          <w:lang w:val="fr-FR" w:bidi="fr-FR"/>
        </w:rPr>
        <w:t xml:space="preserve">On cherche à représenter les informations importante du domaine et les liens entre elles</w:t>
        <w:br/>
        <w:tab/>
        <w:t xml:space="preserve">Il est construit indépendamment des considérations techniques (comme le pseudocode)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38BCED3A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Modèle entité-association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7A01DEE6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Formalisme graphique permettant de représenter conceptuellement les données d’un dommaine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765AFF69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Il construit un diagrame décrivant :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43A9C89F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-les entités du domaine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37C41904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Suite de la liste slide 14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7B573CC1">
      <w:pPr>
        <w:pBdr/>
        <w:spacing/>
        <w:ind/>
        <w:jc w:val="center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Entité VS classe d’entité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7EB59253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Entité : objet identifiable et nommable du problème (événement, lieu, personne...)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18706C3B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Classe d’entités : regroupement d’identités de m</w:t>
      </w:r>
      <w:r>
        <w:rPr>
          <w:b w:val="0"/>
          <w:bCs w:val="0"/>
          <w:highlight w:val="none"/>
          <w:u w:val="none"/>
          <w:lang w:val="fr-FR" w:bidi="fr-FR"/>
        </w:rPr>
        <w:t xml:space="preserve">ême nature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7419A348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48159D5D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Classe d’association : lien entre deux ou plusieurs classes d’entité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7DB9BD83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Association : lien (représenté par un verbe contextuel choisi pour imager la situation) entre deux </w:t>
        <w:tab/>
        <w:tab/>
        <w:t xml:space="preserve">ou plusieurs entités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1C224B2B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  <w:t xml:space="preserve">Degrés d’association : Nombre n de classes d’entités participant à une association. Si degré = n, on dit association n-aire (unaire, binaire, tertiaire etc)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202BD397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Association plurielle :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5BE72118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On peut avoir plusieurs associations entre les m</w:t>
      </w:r>
      <w:r>
        <w:rPr>
          <w:b w:val="0"/>
          <w:bCs w:val="0"/>
          <w:highlight w:val="none"/>
          <w:u w:val="none"/>
          <w:lang w:val="fr-FR" w:bidi="fr-FR"/>
        </w:rPr>
        <w:t xml:space="preserve">êmes entités</w:t>
      </w:r>
      <w:r>
        <w:rPr>
          <w:b w:val="0"/>
          <w:bCs w:val="0"/>
          <w:highlight w:val="none"/>
          <w:u w:val="none"/>
          <w:lang w:val="fr-FR" w:bidi="fr-FR"/>
        </w:rPr>
        <w:t xml:space="preserve">. Exemple :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3200C893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Personnes peut </w:t>
      </w:r>
      <w:r>
        <w:rPr>
          <w:b w:val="0"/>
          <w:bCs w:val="0"/>
          <w:highlight w:val="none"/>
          <w:u w:val="none"/>
          <w:lang w:val="fr-FR" w:bidi="fr-FR"/>
        </w:rPr>
        <w:t xml:space="preserve">être associé à logement par posséder / résider principalement /</w:t>
      </w:r>
      <w:r>
        <w:rPr>
          <w:b w:val="0"/>
          <w:bCs w:val="0"/>
          <w:highlight w:val="none"/>
          <w:u w:val="none"/>
          <w:lang w:val="fr-FR" w:bidi="fr-FR"/>
        </w:rPr>
        <w:t xml:space="preserve"> résider secondairement </w:t>
      </w:r>
      <w:r>
        <w:rPr>
          <w:b w:val="0"/>
          <w:bCs w:val="0"/>
          <w:highlight w:val="none"/>
          <w:u w:val="none"/>
          <w:lang w:val="fr-FR" w:bidi="fr-FR"/>
        </w:rPr>
        <w:t xml:space="preserve">en m</w:t>
      </w:r>
      <w:r>
        <w:rPr>
          <w:b w:val="0"/>
          <w:bCs w:val="0"/>
          <w:highlight w:val="none"/>
          <w:u w:val="none"/>
          <w:lang w:val="fr-FR" w:bidi="fr-FR"/>
        </w:rPr>
        <w:t xml:space="preserve">ême temps.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1E6E9CEF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Cardinalité :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3D7F4D73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Les cardinalités expriment le nombre minimum et maximum de fois qu’une entité peut </w:t>
      </w:r>
      <w:r>
        <w:rPr>
          <w:b w:val="0"/>
          <w:bCs w:val="0"/>
          <w:highlight w:val="none"/>
          <w:u w:val="none"/>
          <w:lang w:val="fr-FR" w:bidi="fr-FR"/>
        </w:rPr>
        <w:tab/>
        <w:t xml:space="preserve">être impliqué dans l’association concernée par la cardinalité (exemple slide 20)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3D61BBF3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Les cardinalités minimales permettent de définir la dépendance d’une entité vis à vis d’une association.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2A2E2CF5">
      <w:pPr>
        <w:pBdr/>
        <w:shd w:val="nil" w:color="auto"/>
        <w:spacing/>
        <w:ind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br w:type="page" w:clear="all"/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2AF76A5D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  <w:t xml:space="preserve">Par exemple : un client peut exister sans « disposer » d’une carte de membre, mais une carte de membre ne peut pas exister sans </w:t>
      </w:r>
      <w:r>
        <w:rPr>
          <w:b w:val="0"/>
          <w:bCs w:val="0"/>
          <w:highlight w:val="none"/>
          <w:u w:val="none"/>
          <w:lang w:val="fr-FR" w:bidi="fr-FR"/>
        </w:rPr>
        <w:t xml:space="preserve">être associée à un client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71875" cy="12382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15042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3571875" cy="1238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81.25pt;height:97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u w:val="none"/>
          <w:lang w:val="fr-FR" w:bidi="fr-FR"/>
        </w:rPr>
        <w:br/>
      </w:r>
      <w:r>
        <w:rPr>
          <w:b w:val="0"/>
          <w:bCs w:val="0"/>
          <w:highlight w:val="none"/>
          <w:u w:val="none"/>
          <w:lang w:val="fr-FR" w:bidi="fr-FR"/>
        </w:rPr>
        <w:t xml:space="preserve">Cardinalité maximale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3D47C1A8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On va fixer un nombre maximal d’associations possible, soit le nombre maximum choisi, soit N s’il n’y a pas de limite fixée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51BC478D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71875" cy="12382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934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571875" cy="1238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1.25pt;height:97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6AD9D600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Exemple ici, un salarié doit </w:t>
      </w:r>
      <w:r>
        <w:rPr>
          <w:b w:val="0"/>
          <w:bCs w:val="0"/>
          <w:highlight w:val="none"/>
          <w:u w:val="none"/>
          <w:lang w:val="fr-FR" w:bidi="fr-FR"/>
        </w:rPr>
        <w:t xml:space="preserve">être affecté à un salarié au minimum une fois, et au maximum une fois. Un service doit avoir au minimum un salarié affecté, et peut en avoir n au maximum.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1F09DD80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49AD52B2">
      <w:pPr>
        <w:pBdr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Typologies d’association maximum :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11E6168E">
      <w:pPr>
        <w:pBdr/>
        <w:spacing/>
        <w:ind/>
        <w:jc w:val="left"/>
        <w:rPr>
          <w:highlight w:val="none"/>
        </w:rPr>
      </w:pPr>
      <w:r>
        <w:rPr>
          <w:b w:val="0"/>
          <w:bCs w:val="0"/>
          <w:highlight w:val="none"/>
          <w:u w:val="none"/>
          <w:lang w:val="fr-FR" w:bidi="fr-FR"/>
        </w:rPr>
      </w:r>
      <w:r>
        <w:rPr>
          <w:lang w:val="fr-FR"/>
        </w:rPr>
        <w:t xml:space="preserve">La typologie d’une association est importante pour déterminer les règles de passage au modèle relationnel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8928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6192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7892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19.6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highlight w:val="none"/>
        </w:rPr>
      </w:r>
    </w:p>
    <w:p w14:paraId="3E77046C">
      <w:pPr>
        <w:pBdr/>
        <w:shd w:val="nil" w:color="auto"/>
        <w:spacing/>
        <w:ind/>
        <w:jc w:val="center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Attributs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78DF65A4">
      <w:pPr>
        <w:pBdr/>
        <w:shd w:val="nil" w:color="000000"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Chaque entité peut </w:t>
      </w:r>
      <w:r>
        <w:rPr>
          <w:b w:val="0"/>
          <w:bCs w:val="0"/>
          <w:highlight w:val="none"/>
          <w:u w:val="none"/>
          <w:lang w:val="fr-FR" w:bidi="fr-FR"/>
        </w:rPr>
        <w:t xml:space="preserve">être caractérisée par des propriétés/attributs qui les caractérisent.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438FCA5F">
      <w:pPr>
        <w:pBdr/>
        <w:shd w:val="nil" w:color="000000"/>
        <w:spacing/>
        <w:ind/>
        <w:jc w:val="center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05175" cy="11525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45119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305174" cy="1152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60.25pt;height:90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06721B4A">
      <w:pPr>
        <w:pBdr/>
        <w:shd w:val="nil" w:color="auto"/>
        <w:spacing/>
        <w:ind/>
        <w:jc w:val="both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Ces attributs doivent </w:t>
      </w:r>
      <w:r>
        <w:rPr>
          <w:b w:val="0"/>
          <w:bCs w:val="0"/>
          <w:highlight w:val="none"/>
          <w:u w:val="none"/>
          <w:lang w:val="fr-FR" w:bidi="fr-FR"/>
        </w:rPr>
        <w:t xml:space="preserve">être élémentaires (ne contenir qu’une seule information chacun)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31159284">
      <w:pPr>
        <w:pBdr/>
        <w:shd w:val="nil" w:color="000000"/>
        <w:spacing/>
        <w:ind/>
        <w:jc w:val="both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Les associations aussi peuvent avoir des attributs. Les attributs des associations portent à la fois sur toutes lles entités qui y sont reliées.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28EF92D7">
      <w:pPr>
        <w:pBdr/>
        <w:shd w:val="nil" w:color="000000"/>
        <w:spacing/>
        <w:ind/>
        <w:jc w:val="both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On trouve plusieurs types d’attributs (slide 30) :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0BA579EC">
      <w:pPr>
        <w:pBdr/>
        <w:shd w:val="nil" w:color="000000"/>
        <w:spacing/>
        <w:ind/>
        <w:jc w:val="both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Simple / Composé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19A067DF">
      <w:pPr>
        <w:pBdr/>
        <w:shd w:val="nil" w:color="000000"/>
        <w:spacing/>
        <w:ind/>
        <w:jc w:val="both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Simple : Attribut ayant une valeur ne pouvant pas </w:t>
      </w:r>
      <w:r>
        <w:rPr>
          <w:b w:val="0"/>
          <w:bCs w:val="0"/>
          <w:highlight w:val="none"/>
          <w:u w:val="none"/>
          <w:lang w:val="fr-FR" w:bidi="fr-FR"/>
        </w:rPr>
        <w:t xml:space="preserve">être décomposés (exemples : jour, prénom)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70E0EE44">
      <w:pPr>
        <w:pBdr/>
        <w:shd w:val="nil" w:color="000000"/>
        <w:spacing/>
        <w:ind/>
        <w:jc w:val="both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Composé : attribut pouvant </w:t>
      </w:r>
      <w:r>
        <w:rPr>
          <w:b w:val="0"/>
          <w:bCs w:val="0"/>
          <w:highlight w:val="none"/>
          <w:u w:val="none"/>
          <w:lang w:val="fr-FR" w:bidi="fr-FR"/>
        </w:rPr>
        <w:t xml:space="preserve">être décomposé en plusieurs attributs (exemples : date &gt; jour, mois, année ; adresse &gt; rue, ville, code postal)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0DA3ACC9">
      <w:pPr>
        <w:pBdr/>
        <w:shd w:val="nil" w:color="000000"/>
        <w:spacing/>
        <w:ind/>
        <w:jc w:val="both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Monovalué / multivalué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3C593F82">
      <w:pPr>
        <w:pBdr/>
        <w:shd w:val="nil" w:color="000000"/>
        <w:spacing/>
        <w:ind/>
        <w:jc w:val="both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Monovalué : une seule valeur par occurrence (exemples : date de naissance, numéro de sécurité sociale)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14F0104A">
      <w:pPr>
        <w:pBdr/>
        <w:shd w:val="nil" w:color="000000"/>
        <w:spacing/>
        <w:ind/>
        <w:jc w:val="both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Multivalué : plusieurs valeurs possibles (prénoms, numéros de tel)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4A21654A">
      <w:pPr>
        <w:pBdr/>
        <w:shd w:val="nil" w:color="000000"/>
        <w:spacing/>
        <w:ind/>
        <w:jc w:val="both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Obligatoire/Facultatif 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79BFA590">
      <w:pPr>
        <w:pBdr/>
        <w:shd w:val="nil" w:color="000000"/>
        <w:spacing/>
        <w:ind/>
        <w:jc w:val="both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Obligatoire : une valeur doit </w:t>
      </w:r>
      <w:r>
        <w:rPr>
          <w:b w:val="0"/>
          <w:bCs w:val="0"/>
          <w:highlight w:val="none"/>
          <w:u w:val="none"/>
          <w:lang w:val="fr-FR" w:bidi="fr-FR"/>
        </w:rPr>
        <w:t xml:space="preserve">être renseignée pour chaque occurrence (exemple : nom)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57F17DC8">
      <w:pPr>
        <w:pBdr/>
        <w:shd w:val="nil" w:color="000000"/>
        <w:spacing/>
        <w:ind/>
        <w:jc w:val="both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Facultatif : peut ne pas avoir de valeur (exemple : téléphone, deuxième prénom)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28F397BA">
      <w:pPr>
        <w:pBdr/>
        <w:shd w:val="nil" w:color="000000"/>
        <w:spacing/>
        <w:ind/>
        <w:jc w:val="both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4CDC088C">
      <w:pPr>
        <w:pBdr/>
        <w:shd w:val="nil" w:color="auto"/>
        <w:spacing/>
        <w:ind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br w:type="page" w:clear="all"/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22118918">
      <w:pPr>
        <w:pBdr/>
        <w:shd w:val="nil" w:color="000000"/>
        <w:spacing/>
        <w:ind/>
        <w:jc w:val="center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Identifiants ou clés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416EE24A">
      <w:pPr>
        <w:pBdr/>
        <w:shd w:val="nil" w:color="000000"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Un attribut choisi pour permettre d’identifier de manière unique chaque occurrence d’une entité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4675AF97">
      <w:pPr>
        <w:pBdr/>
        <w:shd w:val="nil" w:color="000000"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Exemple le NSS pour une personne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1800E73E">
      <w:pPr>
        <w:pBdr/>
        <w:shd w:val="nil" w:color="000000"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Un identifiant peut </w:t>
      </w:r>
      <w:r>
        <w:rPr>
          <w:b w:val="0"/>
          <w:bCs w:val="0"/>
          <w:highlight w:val="none"/>
          <w:u w:val="none"/>
          <w:lang w:val="fr-FR" w:bidi="fr-FR"/>
        </w:rPr>
        <w:t xml:space="preserve">être constitué de plusieurs attributs, on parle de clé composée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21EBFCFF">
      <w:pPr>
        <w:pBdr/>
        <w:shd w:val="nil" w:color="000000"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ab/>
        <w:t xml:space="preserve">Exemple : [Numéro, rue, ville] pour une maison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7C98CD8A">
      <w:pPr>
        <w:pBdr/>
        <w:shd w:val="nil" w:color="000000"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Dans un modèle d’Entité/Association, l’identifiant est souligné (pour le désigner comme clé)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7C182B42">
      <w:pPr>
        <w:pBdr/>
        <w:shd w:val="nil" w:color="000000"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Choix de l’identifiant : on privilégie un identifiant simple, court et stable 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1442B029">
      <w:pPr>
        <w:pBdr/>
        <w:shd w:val="nil" w:color="000000"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Si aucun attribut naturel ne convient, on peut créer un identifiant artificiel</w:t>
      </w:r>
      <w:r>
        <w:rPr>
          <w:b w:val="0"/>
          <w:bCs w:val="0"/>
          <w:highlight w:val="none"/>
          <w:u w:val="none"/>
          <w:lang w:val="fr-FR" w:bidi="fr-FR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3A538BA4">
      <w:pPr>
        <w:pBdr/>
        <w:shd w:val="nil" w:color="000000"/>
        <w:spacing/>
        <w:ind/>
        <w:jc w:val="center"/>
        <w:rPr>
          <w:b w:val="0"/>
          <w:bCs w:val="0"/>
          <w:highlight w:val="none"/>
          <w:u w:val="none"/>
          <w:lang w:val="fr-FR" w:bidi="fr-FR"/>
        </w:rPr>
      </w:pPr>
      <w:r>
        <w:rPr>
          <w:b/>
          <w:bCs/>
          <w:highlight w:val="none"/>
          <w:u w:val="single"/>
          <w:lang w:val="fr-FR" w:bidi="fr-FR"/>
        </w:rPr>
        <w:t xml:space="preserve">Contrainte d’intégrité fonctionnelle</w:t>
      </w:r>
      <w:r>
        <w:rPr>
          <w:b w:val="0"/>
          <w:bCs w:val="0"/>
          <w:highlight w:val="none"/>
          <w:u w:val="none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1FF18D63">
      <w:pPr>
        <w:pBdr/>
        <w:shd w:val="nil" w:color="000000"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Dans une BDD, il est nécessaire d’assurer la cohérence/intégrité des données.</w:t>
      </w:r>
      <w:r>
        <w:rPr>
          <w:b w:val="0"/>
          <w:bCs w:val="0"/>
          <w:highlight w:val="none"/>
          <w:u w:val="none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4C1BECD3">
      <w:pPr>
        <w:pBdr/>
        <w:shd w:val="nil" w:color="000000"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Lorsqu’une entité participe à une association avec une cardinalité maximale égake à 1, on parle de Contrainte d’Intégrité Fonctionnelle.</w:t>
      </w:r>
      <w:r>
        <w:rPr>
          <w:b w:val="0"/>
          <w:bCs w:val="0"/>
          <w:highlight w:val="none"/>
          <w:u w:val="none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729AF142">
      <w:pPr>
        <w:pBdr/>
        <w:shd w:val="nil" w:color="000000"/>
        <w:spacing/>
        <w:ind/>
        <w:jc w:val="left"/>
        <w:rPr>
          <w:b w:val="0"/>
          <w:bCs w:val="0"/>
          <w:highlight w:val="none"/>
          <w:u w:val="none"/>
          <w:lang w:val="fr-FR" w:bidi="fr-FR"/>
        </w:rPr>
      </w:pPr>
      <w:r>
        <w:rPr>
          <w:b w:val="0"/>
          <w:bCs w:val="0"/>
          <w:highlight w:val="none"/>
          <w:u w:val="none"/>
          <w:lang w:val="fr-FR" w:bidi="fr-FR"/>
        </w:rPr>
        <w:t xml:space="preserve">Exemple, une facture précise ne peut appartenir qu’à un seul client</w:t>
      </w:r>
      <w:r>
        <w:rPr>
          <w:b w:val="0"/>
          <w:bCs w:val="0"/>
          <w:highlight w:val="none"/>
          <w:u w:val="none"/>
        </w:rPr>
      </w:r>
      <w:r>
        <w:rPr>
          <w:b w:val="0"/>
          <w:bCs w:val="0"/>
          <w:highlight w:val="none"/>
          <w:u w:val="none"/>
          <w:lang w:val="fr-FR" w:bidi="fr-FR"/>
        </w:rPr>
      </w:r>
    </w:p>
    <w:p w14:paraId="01CF667E">
      <w:pPr>
        <w:pBdr/>
        <w:shd w:val="nil" w:color="000000"/>
        <w:spacing/>
        <w:ind/>
        <w:jc w:val="left"/>
        <w:rPr>
          <w:highlight w:val="none"/>
        </w:rPr>
      </w:pPr>
      <w:r>
        <w:rPr>
          <w:b w:val="0"/>
          <w:bCs w:val="0"/>
          <w:highlight w:val="none"/>
          <w:u w:val="none"/>
          <w:lang w:val="fr-FR" w:bidi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57700" cy="16668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0985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457700" cy="1666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51.00pt;height:131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u w:val="none"/>
        </w:rPr>
      </w:r>
      <w:r>
        <w:rPr>
          <w:highlight w:val="none"/>
        </w:rPr>
      </w:r>
    </w:p>
    <w:p w14:paraId="1876C7FA">
      <w:pPr>
        <w:pBdr/>
        <w:shd w:val="nil" w:color="auto"/>
        <w:spacing/>
        <w:ind/>
        <w:jc w:val="center"/>
        <w:rPr>
          <w:b w:val="0"/>
          <w:bCs w:val="0"/>
          <w:highlight w:val="none"/>
          <w:u w:val="none"/>
          <w:lang w:val="fr-FR"/>
        </w:rPr>
      </w:pPr>
      <w:r>
        <w:rPr>
          <w:b/>
          <w:bCs/>
          <w:highlight w:val="none"/>
          <w:u w:val="single"/>
          <w:lang w:val="fr-FR"/>
        </w:rPr>
        <w:t xml:space="preserve">Conception</w:t>
      </w:r>
      <w:r>
        <w:rPr>
          <w:b w:val="0"/>
          <w:bCs w:val="0"/>
          <w:highlight w:val="none"/>
          <w:u w:val="none"/>
        </w:rPr>
      </w:r>
      <w:r>
        <w:rPr>
          <w:b w:val="0"/>
          <w:bCs w:val="0"/>
          <w:highlight w:val="none"/>
          <w:u w:val="none"/>
          <w:lang w:val="fr-FR"/>
        </w:rPr>
      </w:r>
    </w:p>
    <w:p w14:paraId="6BEF5239">
      <w:pPr>
        <w:pBdr/>
        <w:shd w:val="nil" w:color="000000"/>
        <w:spacing/>
        <w:ind/>
        <w:jc w:val="left"/>
        <w:rPr>
          <w:b w:val="0"/>
          <w:bCs w:val="0"/>
          <w:highlight w:val="none"/>
          <w:u w:val="none"/>
          <w:lang w:val="fr-FR"/>
        </w:rPr>
      </w:pPr>
      <w:r>
        <w:rPr>
          <w:b w:val="0"/>
          <w:bCs w:val="0"/>
          <w:highlight w:val="none"/>
          <w:u w:val="none"/>
          <w:lang w:val="fr-FR"/>
        </w:rPr>
        <w:t xml:space="preserve">On va :</w:t>
        <w:tab/>
        <w:t xml:space="preserve">Identifier les entités du domaine &gt; identifier les associations entre les entités &gt;</w:t>
      </w:r>
      <w:r>
        <w:rPr>
          <w:b w:val="0"/>
          <w:bCs w:val="0"/>
          <w:highlight w:val="none"/>
          <w:u w:val="none"/>
          <w:lang w:val="fr-FR"/>
        </w:rPr>
      </w:r>
      <w:r>
        <w:rPr>
          <w:b w:val="0"/>
          <w:bCs w:val="0"/>
          <w:highlight w:val="none"/>
          <w:u w:val="none"/>
          <w:lang w:val="fr-FR"/>
        </w:rPr>
      </w:r>
    </w:p>
    <w:p w14:paraId="2B4140A0">
      <w:pPr>
        <w:pBdr/>
        <w:shd w:val="nil" w:color="000000"/>
        <w:spacing/>
        <w:ind w:firstLine="708" w:left="708"/>
        <w:jc w:val="left"/>
        <w:rPr>
          <w:b w:val="0"/>
          <w:bCs w:val="0"/>
          <w:highlight w:val="none"/>
          <w:u w:val="none"/>
          <w:lang w:val="fr-FR"/>
        </w:rPr>
      </w:pPr>
      <w:r>
        <w:rPr>
          <w:b w:val="0"/>
          <w:bCs w:val="0"/>
          <w:highlight w:val="none"/>
          <w:u w:val="none"/>
          <w:lang w:val="fr-FR"/>
        </w:rPr>
        <w:t xml:space="preserve">Identifier les attributs qui caractérisent les entités et associations &gt;</w:t>
      </w:r>
      <w:r>
        <w:rPr>
          <w:b w:val="0"/>
          <w:bCs w:val="0"/>
          <w:highlight w:val="none"/>
          <w:u w:val="none"/>
          <w:lang w:val="fr-FR"/>
        </w:rPr>
      </w:r>
      <w:r>
        <w:rPr>
          <w:b w:val="0"/>
          <w:bCs w:val="0"/>
          <w:highlight w:val="none"/>
          <w:u w:val="none"/>
          <w:lang w:val="fr-FR"/>
        </w:rPr>
      </w:r>
    </w:p>
    <w:p w14:paraId="03194571">
      <w:pPr>
        <w:pBdr/>
        <w:shd w:val="nil" w:color="000000"/>
        <w:spacing/>
        <w:ind w:firstLine="0" w:left="1416"/>
        <w:jc w:val="left"/>
        <w:rPr>
          <w:b w:val="0"/>
          <w:bCs w:val="0"/>
          <w:highlight w:val="none"/>
          <w:u w:val="none"/>
          <w:lang w:val="fr-FR"/>
        </w:rPr>
      </w:pPr>
      <w:r>
        <w:rPr>
          <w:b w:val="0"/>
          <w:bCs w:val="0"/>
          <w:highlight w:val="none"/>
          <w:u w:val="none"/>
          <w:lang w:val="fr-FR"/>
        </w:rPr>
        <w:t xml:space="preserve">Determiner les identifiants &gt; déterminer les cardinalités &gt; identifier les contraintes d’intégrité, notamment les CIF &gt; vérifier le modèle obtenu avec les règles de gestion</w:t>
      </w:r>
      <w:r>
        <w:rPr>
          <w:b w:val="0"/>
          <w:bCs w:val="0"/>
          <w:highlight w:val="none"/>
          <w:u w:val="none"/>
        </w:rPr>
        <w:br w:type="page" w:clear="all"/>
      </w:r>
      <w:r>
        <w:rPr>
          <w:b w:val="0"/>
          <w:bCs w:val="0"/>
          <w:highlight w:val="none"/>
          <w:u w:val="none"/>
          <w:lang w:val="fr-FR"/>
        </w:rPr>
      </w:r>
    </w:p>
    <w:p w14:paraId="64243021">
      <w:pPr>
        <w:pBdr/>
        <w:shd w:val="nil" w:color="000000"/>
        <w:spacing/>
        <w:ind/>
        <w:jc w:val="center"/>
        <w:rPr>
          <w:b w:val="0"/>
          <w:bCs w:val="0"/>
          <w:highlight w:val="none"/>
          <w:u w:val="none"/>
        </w:rPr>
      </w:pPr>
      <w:r>
        <w:rPr>
          <w:highlight w:val="none"/>
          <w:lang w:val="fr-FR"/>
        </w:rPr>
        <w:t xml:space="preserve">Exercice / Exemple</w:t>
      </w:r>
      <w:r>
        <w:rPr>
          <w:highlight w:val="none"/>
        </w:rPr>
      </w:r>
      <w:r>
        <w:rPr>
          <w:b w:val="0"/>
          <w:bCs w:val="0"/>
          <w:highlight w:val="none"/>
          <w:u w:val="none"/>
        </w:rPr>
      </w:r>
    </w:p>
    <w:p w14:paraId="6F006FEB">
      <w:pPr>
        <w:pBdr/>
        <w:shd w:val="nil" w:color="000000"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6363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48270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20636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62.4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0683451">
      <w:pPr>
        <w:pBdr/>
        <w:shd w:val="nil" w:color="000000"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86250" cy="27527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33190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286250" cy="2752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37.50pt;height:216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7F69767">
      <w:pPr>
        <w:pBdr/>
        <w:shd w:val="nil" w:color="000000"/>
        <w:spacing/>
        <w:ind/>
        <w:jc w:val="center"/>
        <w:rPr>
          <w:highlight w:val="none"/>
          <w:lang w:val="fr-FR"/>
        </w:rPr>
      </w:pPr>
      <w:r>
        <w:rPr>
          <w:highlight w:val="none"/>
        </w:rPr>
      </w:r>
      <w:r>
        <w:rPr>
          <w:highlight w:val="none"/>
          <w:lang w:val="fr-FR"/>
        </w:rPr>
        <w:t xml:space="preserve">Vérification et Validation modèle E/A</w:t>
      </w:r>
      <w:r>
        <w:rPr>
          <w:highlight w:val="none"/>
        </w:rPr>
      </w:r>
      <w:r>
        <w:rPr>
          <w:highlight w:val="none"/>
          <w:lang w:val="fr-FR"/>
        </w:rPr>
      </w:r>
    </w:p>
    <w:p w14:paraId="0E0CDC64">
      <w:pPr>
        <w:pBdr/>
        <w:shd w:val="nil" w:color="000000"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Toute entité doit avoir un identifiant clé unique et non-nul</w:t>
      </w:r>
      <w:r>
        <w:rPr>
          <w:highlight w:val="none"/>
        </w:rPr>
      </w:r>
      <w:r>
        <w:rPr>
          <w:highlight w:val="none"/>
          <w:lang w:val="fr-FR"/>
        </w:rPr>
      </w:r>
    </w:p>
    <w:p w14:paraId="0EAA5D4E">
      <w:pPr>
        <w:pBdr/>
        <w:shd w:val="nil" w:color="000000"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Chaque attribut doit </w:t>
      </w:r>
      <w:r>
        <w:rPr>
          <w:highlight w:val="none"/>
          <w:lang w:val="fr-FR"/>
        </w:rPr>
        <w:t xml:space="preserve">être rattaché à l’entité ou à l’association qu’il caractérise réellement</w:t>
      </w:r>
      <w:r>
        <w:rPr>
          <w:highlight w:val="none"/>
        </w:rPr>
      </w:r>
      <w:r>
        <w:rPr>
          <w:highlight w:val="none"/>
          <w:lang w:val="fr-FR"/>
        </w:rPr>
      </w:r>
    </w:p>
    <w:p w14:paraId="19230F33">
      <w:pPr>
        <w:pBdr/>
        <w:shd w:val="nil" w:color="000000"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Eviter les attributs calculés : un attribut pouvant </w:t>
      </w:r>
      <w:r>
        <w:rPr>
          <w:highlight w:val="none"/>
          <w:lang w:val="fr-FR"/>
        </w:rPr>
        <w:t xml:space="preserve">être déduit d’autres attributs </w:t>
        <w:br/>
        <w:t xml:space="preserve">Eviter les attributs complexes : décomposer l’attribut lorsque ses composants doivent </w:t>
      </w:r>
      <w:r>
        <w:rPr>
          <w:highlight w:val="none"/>
          <w:lang w:val="fr-FR"/>
        </w:rPr>
        <w:t xml:space="preserve">être traités séparément (Adresse &gt; Numéro, Rue, Ville, code postal)</w:t>
      </w:r>
      <w:r>
        <w:rPr>
          <w:highlight w:val="none"/>
        </w:rPr>
      </w:r>
      <w:r>
        <w:rPr>
          <w:highlight w:val="none"/>
          <w:lang w:val="fr-FR"/>
        </w:rPr>
      </w:r>
    </w:p>
    <w:p w14:paraId="6C51529D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3BAA9B58">
      <w:pPr>
        <w:pBdr/>
        <w:shd w:val="nil" w:color="000000"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Eviter les attributs multivalués </w:t>
        <w:br/>
        <w:t xml:space="preserve">Suite au slide 39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7C71E4A5">
      <w:pPr>
        <w:pBdr/>
        <w:shd w:val="nil" w:color="000000"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46D9A11D">
      <w:pPr>
        <w:pBdr/>
        <w:shd w:val="nil" w:color="000000"/>
        <w:spacing/>
        <w:ind/>
        <w:jc w:val="center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Le modèle relationnel</w:t>
      </w:r>
      <w:r>
        <w:rPr>
          <w:highlight w:val="none"/>
          <w:lang w:val="fr-FR"/>
        </w:rPr>
      </w:r>
      <w:r>
        <w:rPr>
          <w:highlight w:val="none"/>
          <w:lang w:val="fr-FR" w:bidi="fr-FR"/>
        </w:rPr>
      </w:r>
    </w:p>
    <w:p w14:paraId="61E45AB6">
      <w:pPr>
        <w:pBdr/>
        <w:shd w:val="nil" w:color="000000"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Les données sont organisées sous forme de tables, appelées relations</w:t>
      </w:r>
      <w:r>
        <w:rPr>
          <w:highlight w:val="none"/>
          <w:lang w:val="fr-FR"/>
        </w:rPr>
      </w:r>
      <w:r>
        <w:rPr>
          <w:highlight w:val="none"/>
          <w:lang w:val="fr-FR" w:bidi="fr-FR"/>
        </w:rPr>
      </w:r>
    </w:p>
    <w:p w14:paraId="1B79C90D">
      <w:pPr>
        <w:pBdr/>
        <w:shd w:val="nil" w:color="000000"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Une table est composée de colonnes (attributs) : elles décrivent les propriétés des données</w:t>
      </w:r>
      <w:r>
        <w:rPr>
          <w:highlight w:val="none"/>
          <w:lang w:val="fr-FR"/>
        </w:rPr>
      </w:r>
      <w:r>
        <w:rPr>
          <w:highlight w:val="none"/>
          <w:lang w:val="fr-FR" w:bidi="fr-FR"/>
        </w:rPr>
      </w:r>
    </w:p>
    <w:p w14:paraId="2A6550A1">
      <w:pPr>
        <w:pBdr/>
        <w:shd w:val="nil" w:color="000000"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ab/>
        <w:t xml:space="preserve">Chaque attribut possède un nom et un domaine (type de valeurs qu’il peut prendre)</w:t>
      </w:r>
      <w:r>
        <w:rPr>
          <w:highlight w:val="none"/>
          <w:lang w:val="fr-FR"/>
        </w:rPr>
      </w:r>
      <w:r>
        <w:rPr>
          <w:highlight w:val="none"/>
          <w:lang w:val="fr-FR" w:bidi="fr-FR"/>
        </w:rPr>
      </w:r>
    </w:p>
    <w:p w14:paraId="7A0DEE96">
      <w:pPr>
        <w:pBdr/>
        <w:shd w:val="nil" w:color="000000"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Suite slide 41</w:t>
      </w:r>
      <w:r>
        <w:rPr>
          <w:highlight w:val="none"/>
          <w:lang w:val="fr-FR"/>
        </w:rPr>
      </w:r>
      <w:r>
        <w:rPr>
          <w:highlight w:val="none"/>
          <w:lang w:val="fr-FR" w:bidi="fr-FR"/>
        </w:rPr>
      </w:r>
    </w:p>
    <w:p w14:paraId="62DAF565">
      <w:pPr>
        <w:pBdr/>
        <w:shd w:val="nil" w:color="000000"/>
        <w:spacing/>
        <w:ind/>
        <w:jc w:val="center"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  <w:t xml:space="preserve">Passage du modèle E/A au modèle relationnel :</w:t>
      </w:r>
      <w:r>
        <w:rPr>
          <w:highlight w:val="none"/>
          <w:lang w:val="fr-FR"/>
        </w:rPr>
      </w:r>
    </w:p>
    <w:p w14:paraId="1950351E">
      <w:pPr>
        <w:pBdr/>
        <w:shd w:val="nil" w:color="000000"/>
        <w:spacing/>
        <w:ind/>
        <w:jc w:val="center"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Slides 50-58 fonctionnements à conna</w:t>
      </w:r>
      <w:r>
        <w:rPr>
          <w:highlight w:val="none"/>
          <w:lang w:val="fr-FR" w:bidi="fr-FR"/>
        </w:rPr>
        <w:t xml:space="preserve">ître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012CBB47">
      <w:pPr>
        <w:pBdr/>
        <w:shd w:val="nil" w:color="000000"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2026-10-02T17:24:31Z</dcterms:modified>
</cp:coreProperties>
</file>