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BA96" w14:textId="3A7B66B0" w:rsidR="002F38B6" w:rsidRPr="002F38B6" w:rsidRDefault="002F38B6" w:rsidP="002F38B6">
      <w:pPr>
        <w:widowControl/>
        <w:spacing w:before="100" w:beforeAutospacing="1" w:after="100" w:afterAutospacing="1" w:line="240" w:lineRule="auto"/>
        <w:rPr>
          <w:rFonts w:ascii="Times New Roman" w:eastAsia="Times New Roman" w:hAnsi="Times New Roman" w:cs="Times New Roman"/>
          <w:b/>
          <w:bCs/>
          <w:kern w:val="0"/>
          <w:sz w:val="24"/>
          <w14:ligatures w14:val="none"/>
        </w:rPr>
      </w:pPr>
      <w:r w:rsidRPr="002F38B6">
        <w:rPr>
          <w:rFonts w:ascii="Times New Roman" w:eastAsia="Times New Roman" w:hAnsi="Times New Roman" w:cs="Times New Roman" w:hint="eastAsia"/>
          <w:b/>
          <w:bCs/>
          <w:kern w:val="0"/>
          <w:sz w:val="24"/>
          <w14:ligatures w14:val="none"/>
        </w:rPr>
        <w:t>What</w:t>
      </w:r>
      <w:r w:rsidRPr="002F38B6">
        <w:rPr>
          <w:rFonts w:ascii="Times New Roman" w:eastAsia="Times New Roman" w:hAnsi="Times New Roman" w:cs="Times New Roman"/>
          <w:b/>
          <w:bCs/>
          <w:kern w:val="0"/>
          <w:sz w:val="24"/>
          <w14:ligatures w14:val="none"/>
        </w:rPr>
        <w:t xml:space="preserve"> have been done</w:t>
      </w:r>
    </w:p>
    <w:p w14:paraId="07C5F925" w14:textId="77777777" w:rsidR="002F38B6" w:rsidRDefault="002F38B6" w:rsidP="002F38B6">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2F38B6">
        <w:rPr>
          <w:rFonts w:ascii="Times New Roman" w:eastAsia="Times New Roman" w:hAnsi="Times New Roman" w:cs="Times New Roman"/>
          <w:kern w:val="0"/>
          <w:sz w:val="24"/>
          <w14:ligatures w14:val="none"/>
        </w:rPr>
        <w:t xml:space="preserve">The previous group set out to predict NASDAQ closing auction volume 60 seconds ahead using the </w:t>
      </w:r>
      <w:proofErr w:type="spellStart"/>
      <w:r w:rsidRPr="002F38B6">
        <w:rPr>
          <w:rFonts w:ascii="Times New Roman" w:eastAsia="Times New Roman" w:hAnsi="Times New Roman" w:cs="Times New Roman"/>
          <w:kern w:val="0"/>
          <w:sz w:val="24"/>
          <w14:ligatures w14:val="none"/>
        </w:rPr>
        <w:t>Optiver</w:t>
      </w:r>
      <w:proofErr w:type="spellEnd"/>
      <w:r w:rsidRPr="002F38B6">
        <w:rPr>
          <w:rFonts w:ascii="Times New Roman" w:eastAsia="Times New Roman" w:hAnsi="Times New Roman" w:cs="Times New Roman"/>
          <w:kern w:val="0"/>
          <w:sz w:val="24"/>
          <w14:ligatures w14:val="none"/>
        </w:rPr>
        <w:t xml:space="preserve"> "Trading at the Close" dataset. The inherited project reported near-perfect accuracy (R² ≈ 0.999), but a closer inspection revealed this was largely illusory: price-level features like </w:t>
      </w:r>
      <w:proofErr w:type="spellStart"/>
      <w:r w:rsidRPr="002F38B6">
        <w:rPr>
          <w:rFonts w:ascii="Times New Roman" w:eastAsia="Times New Roman" w:hAnsi="Times New Roman" w:cs="Times New Roman"/>
          <w:kern w:val="0"/>
          <w:sz w:val="24"/>
          <w14:ligatures w14:val="none"/>
        </w:rPr>
        <w:t>reference_price</w:t>
      </w:r>
      <w:proofErr w:type="spellEnd"/>
      <w:r w:rsidRPr="002F38B6">
        <w:rPr>
          <w:rFonts w:ascii="Times New Roman" w:eastAsia="Times New Roman" w:hAnsi="Times New Roman" w:cs="Times New Roman"/>
          <w:kern w:val="0"/>
          <w:sz w:val="24"/>
          <w14:ligatures w14:val="none"/>
        </w:rPr>
        <w:t xml:space="preserve"> and </w:t>
      </w:r>
      <w:proofErr w:type="spellStart"/>
      <w:r w:rsidRPr="002F38B6">
        <w:rPr>
          <w:rFonts w:ascii="Times New Roman" w:eastAsia="Times New Roman" w:hAnsi="Times New Roman" w:cs="Times New Roman"/>
          <w:kern w:val="0"/>
          <w:sz w:val="24"/>
          <w14:ligatures w14:val="none"/>
        </w:rPr>
        <w:t>wap</w:t>
      </w:r>
      <w:proofErr w:type="spellEnd"/>
      <w:r w:rsidRPr="002F38B6">
        <w:rPr>
          <w:rFonts w:ascii="Times New Roman" w:eastAsia="Times New Roman" w:hAnsi="Times New Roman" w:cs="Times New Roman"/>
          <w:kern w:val="0"/>
          <w:sz w:val="24"/>
          <w14:ligatures w14:val="none"/>
        </w:rPr>
        <w:t xml:space="preserve"> acted as signposts that let the model implicitly identify each stock and recite its typical auction volume, rather than forecast genuine intraday dynamics. When this identity leakage was controlled for, R² collapsed to roughly 0.46. </w:t>
      </w:r>
    </w:p>
    <w:p w14:paraId="313005B3" w14:textId="77777777" w:rsidR="002F38B6" w:rsidRDefault="002F38B6" w:rsidP="002F38B6">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2F38B6">
        <w:rPr>
          <w:rFonts w:ascii="Times New Roman" w:eastAsia="Times New Roman" w:hAnsi="Times New Roman" w:cs="Times New Roman"/>
          <w:kern w:val="0"/>
          <w:sz w:val="24"/>
          <w14:ligatures w14:val="none"/>
        </w:rPr>
        <w:t xml:space="preserve">The previous group therefore redesigned the pipeline around a two-stage architecture. Stage 1 captures the predictable structure by directly using each stock's historical average volume per time-of-day bucket, computed with expanding windows, as a baseline prediction. Stage 2 uses a neural network on the Historical Mean Difference (HMD), defined as the deviation of the current state from that historical norm, to predict residual corrections. They also refactored the codebase into a modular OOP framework and replaced MSE with Huber loss to handle heavy-tailed errors. </w:t>
      </w:r>
    </w:p>
    <w:p w14:paraId="2609676A" w14:textId="77777777" w:rsidR="002F38B6" w:rsidRDefault="002F38B6" w:rsidP="002F38B6">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2F38B6">
        <w:rPr>
          <w:rFonts w:ascii="Times New Roman" w:eastAsia="Times New Roman" w:hAnsi="Times New Roman" w:cs="Times New Roman"/>
          <w:kern w:val="0"/>
          <w:sz w:val="24"/>
          <w14:ligatures w14:val="none"/>
        </w:rPr>
        <w:t xml:space="preserve">Their experiments demonstrate that simplicity dominates. HMD alone explained most of the predictable structure (test R² = 0.9953, IC = 0.824), and the best residual model was the smallest one tested, a 4,449 parameter GRU, which provided a real but modest improvement (R² = 0.9959, IC = 0.839), while larger GRUs, TCNs, LSTMs, Transformers, and a 44 feature expansion all underperformed it. </w:t>
      </w:r>
    </w:p>
    <w:p w14:paraId="333CFFBC" w14:textId="1A5766A4" w:rsidR="002F38B6" w:rsidRPr="002F38B6" w:rsidRDefault="002F38B6" w:rsidP="002F38B6">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2F38B6">
        <w:rPr>
          <w:rFonts w:ascii="Times New Roman" w:eastAsia="Times New Roman" w:hAnsi="Times New Roman" w:cs="Times New Roman"/>
          <w:kern w:val="0"/>
          <w:sz w:val="24"/>
          <w14:ligatures w14:val="none"/>
        </w:rPr>
        <w:t>The main unsolved problem is the transition regime around 280 to 310 seconds, where auction volume makes a structural jump that the model systematically underestimates and where Stage 2 provides only marginal improvement. The most promising lead there was an asymmetric Huber loss, which substantially reduced underestimation bias. They left four recommendations for the team taking over: implement Combinatorial Purged Cross-Validation, validate on the full 200 stock universe, study the microstructure of the transition window, and retain the interpretable two-stage decomposition rather than scaling up architectures.</w:t>
      </w:r>
    </w:p>
    <w:p w14:paraId="462B90B6" w14:textId="56ADD756" w:rsidR="002F38B6" w:rsidRPr="002F38B6" w:rsidRDefault="002F38B6" w:rsidP="002F38B6">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2F38B6">
        <w:rPr>
          <w:rFonts w:ascii="Times New Roman" w:eastAsia="Times New Roman" w:hAnsi="Times New Roman" w:cs="Times New Roman"/>
          <w:b/>
          <w:bCs/>
          <w:kern w:val="0"/>
          <w:sz w:val="24"/>
          <w14:ligatures w14:val="none"/>
        </w:rPr>
        <w:t>What our group plans to do</w:t>
      </w:r>
    </w:p>
    <w:p w14:paraId="151ACA85" w14:textId="77777777" w:rsidR="002F38B6" w:rsidRDefault="002F38B6" w:rsidP="002F38B6">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2F38B6">
        <w:rPr>
          <w:rFonts w:ascii="Times New Roman" w:eastAsia="Times New Roman" w:hAnsi="Times New Roman" w:cs="Times New Roman"/>
          <w:kern w:val="0"/>
          <w:sz w:val="24"/>
          <w14:ligatures w14:val="none"/>
        </w:rPr>
        <w:t xml:space="preserve">Building on this foundation, our group has identified three candidate directions and is awaiting confirmation from the manager on prioritization. </w:t>
      </w:r>
    </w:p>
    <w:p w14:paraId="3E7BF803" w14:textId="77777777" w:rsidR="002F38B6" w:rsidRDefault="002F38B6" w:rsidP="002F38B6">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2F38B6">
        <w:rPr>
          <w:rFonts w:ascii="Times New Roman" w:eastAsia="Times New Roman" w:hAnsi="Times New Roman" w:cs="Times New Roman"/>
          <w:kern w:val="0"/>
          <w:sz w:val="24"/>
          <w14:ligatures w14:val="none"/>
        </w:rPr>
        <w:t xml:space="preserve">The first is robustness validation: extending the pipeline to the full 200 security universe and applying Combinatorial Purged Cross-Validation (CPCV) to verify whether the previous group's conclusions hold at full scale. This path is lower risk and would be the natural prerequisite if the system is heading toward production. </w:t>
      </w:r>
    </w:p>
    <w:p w14:paraId="05089828" w14:textId="77777777" w:rsidR="002F38B6" w:rsidRDefault="002F38B6" w:rsidP="002F38B6">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2F38B6">
        <w:rPr>
          <w:rFonts w:ascii="Times New Roman" w:eastAsia="Times New Roman" w:hAnsi="Times New Roman" w:cs="Times New Roman"/>
          <w:kern w:val="0"/>
          <w:sz w:val="24"/>
          <w14:ligatures w14:val="none"/>
        </w:rPr>
        <w:t xml:space="preserve">The second is closing the transition regime gap, where the 280 to 310 second window remains the main unsolved bottleneck. We would pursue microstructure features such as order flow imbalance and cross-stock signals, regime-aware modeling, and refined loss </w:t>
      </w:r>
      <w:r w:rsidRPr="002F38B6">
        <w:rPr>
          <w:rFonts w:ascii="Times New Roman" w:eastAsia="Times New Roman" w:hAnsi="Times New Roman" w:cs="Times New Roman"/>
          <w:kern w:val="0"/>
          <w:sz w:val="24"/>
          <w14:ligatures w14:val="none"/>
        </w:rPr>
        <w:lastRenderedPageBreak/>
        <w:t xml:space="preserve">design including asymmetric variants. This is the most research-heavy option and offers the largest room for predictive improvement. </w:t>
      </w:r>
    </w:p>
    <w:p w14:paraId="6935B7AD" w14:textId="77777777" w:rsidR="002F38B6" w:rsidRDefault="002F38B6" w:rsidP="002F38B6">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2F38B6">
        <w:rPr>
          <w:rFonts w:ascii="Times New Roman" w:eastAsia="Times New Roman" w:hAnsi="Times New Roman" w:cs="Times New Roman"/>
          <w:kern w:val="0"/>
          <w:sz w:val="24"/>
          <w14:ligatures w14:val="none"/>
        </w:rPr>
        <w:t xml:space="preserve">The third is moving from point prediction to interval prediction, in which the model outputs a range or distribution rather than a single number, which is generally more useful for execution and risk management but requires a new evaluation framework. </w:t>
      </w:r>
    </w:p>
    <w:p w14:paraId="105B5F8D" w14:textId="35C1DC85" w:rsidR="002F38B6" w:rsidRPr="002F38B6" w:rsidRDefault="002F38B6" w:rsidP="002F38B6">
      <w:pPr>
        <w:widowControl/>
        <w:spacing w:before="100" w:beforeAutospacing="1" w:after="100" w:afterAutospacing="1" w:line="240" w:lineRule="auto"/>
        <w:rPr>
          <w:rFonts w:ascii="Times New Roman" w:eastAsia="Times New Roman" w:hAnsi="Times New Roman" w:cs="Times New Roman"/>
          <w:kern w:val="0"/>
          <w:sz w:val="24"/>
          <w14:ligatures w14:val="none"/>
        </w:rPr>
      </w:pPr>
      <w:r w:rsidRPr="002F38B6">
        <w:rPr>
          <w:rFonts w:ascii="Times New Roman" w:eastAsia="Times New Roman" w:hAnsi="Times New Roman" w:cs="Times New Roman"/>
          <w:kern w:val="0"/>
          <w:sz w:val="24"/>
          <w14:ligatures w14:val="none"/>
        </w:rPr>
        <w:t xml:space="preserve">Within these directions, we have two concrete starting points. The first, contributing to the transition regime work, is to refine how the transition is defined: instead of fixing it as the 280 to 310 second window, we would combine a wider time range with stock-specific volume deviation thresholds and compare time-only, volume-only, and combined definitions to determine which best isolates the difficult forecasting regime. The second, contributing to the robustness work, is to stress-test the HMD plus GRU-small result along two axes before developing new models: across validation schemes (expanding-window, rolling-window, and CPCV) and across model families (linear regression, </w:t>
      </w:r>
      <w:proofErr w:type="spellStart"/>
      <w:r w:rsidRPr="002F38B6">
        <w:rPr>
          <w:rFonts w:ascii="Times New Roman" w:eastAsia="Times New Roman" w:hAnsi="Times New Roman" w:cs="Times New Roman"/>
          <w:kern w:val="0"/>
          <w:sz w:val="24"/>
          <w14:ligatures w14:val="none"/>
        </w:rPr>
        <w:t>LightGBM</w:t>
      </w:r>
      <w:proofErr w:type="spellEnd"/>
      <w:r w:rsidRPr="002F38B6">
        <w:rPr>
          <w:rFonts w:ascii="Times New Roman" w:eastAsia="Times New Roman" w:hAnsi="Times New Roman" w:cs="Times New Roman"/>
          <w:kern w:val="0"/>
          <w:sz w:val="24"/>
          <w14:ligatures w14:val="none"/>
        </w:rPr>
        <w:t xml:space="preserve">, </w:t>
      </w:r>
      <w:proofErr w:type="spellStart"/>
      <w:r w:rsidRPr="002F38B6">
        <w:rPr>
          <w:rFonts w:ascii="Times New Roman" w:eastAsia="Times New Roman" w:hAnsi="Times New Roman" w:cs="Times New Roman"/>
          <w:kern w:val="0"/>
          <w:sz w:val="24"/>
          <w14:ligatures w14:val="none"/>
        </w:rPr>
        <w:t>XGBoost</w:t>
      </w:r>
      <w:proofErr w:type="spellEnd"/>
      <w:r w:rsidRPr="002F38B6">
        <w:rPr>
          <w:rFonts w:ascii="Times New Roman" w:eastAsia="Times New Roman" w:hAnsi="Times New Roman" w:cs="Times New Roman"/>
          <w:kern w:val="0"/>
          <w:sz w:val="24"/>
          <w14:ligatures w14:val="none"/>
        </w:rPr>
        <w:t>, and GRU), liquidity groups, and time buckets.</w:t>
      </w:r>
    </w:p>
    <w:p w14:paraId="39B25DA1" w14:textId="77777777" w:rsidR="002F38B6" w:rsidRDefault="002F38B6"/>
    <w:sectPr w:rsidR="002F38B6">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8B6"/>
    <w:rsid w:val="002F38B6"/>
    <w:rsid w:val="00F75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D57F7"/>
  <w15:chartTrackingRefBased/>
  <w15:docId w15:val="{8AA18E26-423C-0746-8E6F-A88344E43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F38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2F38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2F38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2F38B6"/>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2F38B6"/>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2F38B6"/>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2F38B6"/>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2F38B6"/>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2F38B6"/>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8B6"/>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2F38B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F38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F38B6"/>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F38B6"/>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2F38B6"/>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2F38B6"/>
    <w:rPr>
      <w:rFonts w:cstheme="majorBidi"/>
      <w:b/>
      <w:bCs/>
      <w:color w:val="595959" w:themeColor="text1" w:themeTint="A6"/>
    </w:rPr>
  </w:style>
  <w:style w:type="character" w:customStyle="1" w:styleId="Heading8Char">
    <w:name w:val="Heading 8 Char"/>
    <w:basedOn w:val="DefaultParagraphFont"/>
    <w:link w:val="Heading8"/>
    <w:uiPriority w:val="9"/>
    <w:semiHidden/>
    <w:rsid w:val="002F38B6"/>
    <w:rPr>
      <w:rFonts w:cstheme="majorBidi"/>
      <w:color w:val="595959" w:themeColor="text1" w:themeTint="A6"/>
    </w:rPr>
  </w:style>
  <w:style w:type="character" w:customStyle="1" w:styleId="Heading9Char">
    <w:name w:val="Heading 9 Char"/>
    <w:basedOn w:val="DefaultParagraphFont"/>
    <w:link w:val="Heading9"/>
    <w:uiPriority w:val="9"/>
    <w:semiHidden/>
    <w:rsid w:val="002F38B6"/>
    <w:rPr>
      <w:rFonts w:eastAsiaTheme="majorEastAsia" w:cstheme="majorBidi"/>
      <w:color w:val="595959" w:themeColor="text1" w:themeTint="A6"/>
    </w:rPr>
  </w:style>
  <w:style w:type="paragraph" w:styleId="Title">
    <w:name w:val="Title"/>
    <w:basedOn w:val="Normal"/>
    <w:next w:val="Normal"/>
    <w:link w:val="TitleChar"/>
    <w:uiPriority w:val="10"/>
    <w:qFormat/>
    <w:rsid w:val="002F38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8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8B6"/>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F38B6"/>
    <w:pPr>
      <w:spacing w:before="160"/>
      <w:jc w:val="center"/>
    </w:pPr>
    <w:rPr>
      <w:i/>
      <w:iCs/>
      <w:color w:val="404040" w:themeColor="text1" w:themeTint="BF"/>
    </w:rPr>
  </w:style>
  <w:style w:type="character" w:customStyle="1" w:styleId="QuoteChar">
    <w:name w:val="Quote Char"/>
    <w:basedOn w:val="DefaultParagraphFont"/>
    <w:link w:val="Quote"/>
    <w:uiPriority w:val="29"/>
    <w:rsid w:val="002F38B6"/>
    <w:rPr>
      <w:i/>
      <w:iCs/>
      <w:color w:val="404040" w:themeColor="text1" w:themeTint="BF"/>
    </w:rPr>
  </w:style>
  <w:style w:type="paragraph" w:styleId="ListParagraph">
    <w:name w:val="List Paragraph"/>
    <w:basedOn w:val="Normal"/>
    <w:uiPriority w:val="34"/>
    <w:qFormat/>
    <w:rsid w:val="002F38B6"/>
    <w:pPr>
      <w:ind w:left="720"/>
      <w:contextualSpacing/>
    </w:pPr>
  </w:style>
  <w:style w:type="character" w:styleId="IntenseEmphasis">
    <w:name w:val="Intense Emphasis"/>
    <w:basedOn w:val="DefaultParagraphFont"/>
    <w:uiPriority w:val="21"/>
    <w:qFormat/>
    <w:rsid w:val="002F38B6"/>
    <w:rPr>
      <w:i/>
      <w:iCs/>
      <w:color w:val="0F4761" w:themeColor="accent1" w:themeShade="BF"/>
    </w:rPr>
  </w:style>
  <w:style w:type="paragraph" w:styleId="IntenseQuote">
    <w:name w:val="Intense Quote"/>
    <w:basedOn w:val="Normal"/>
    <w:next w:val="Normal"/>
    <w:link w:val="IntenseQuoteChar"/>
    <w:uiPriority w:val="30"/>
    <w:qFormat/>
    <w:rsid w:val="002F3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8B6"/>
    <w:rPr>
      <w:i/>
      <w:iCs/>
      <w:color w:val="0F4761" w:themeColor="accent1" w:themeShade="BF"/>
    </w:rPr>
  </w:style>
  <w:style w:type="character" w:styleId="IntenseReference">
    <w:name w:val="Intense Reference"/>
    <w:basedOn w:val="DefaultParagraphFont"/>
    <w:uiPriority w:val="32"/>
    <w:qFormat/>
    <w:rsid w:val="002F38B6"/>
    <w:rPr>
      <w:b/>
      <w:bCs/>
      <w:smallCaps/>
      <w:color w:val="0F4761" w:themeColor="accent1" w:themeShade="BF"/>
      <w:spacing w:val="5"/>
    </w:rPr>
  </w:style>
  <w:style w:type="paragraph" w:styleId="NormalWeb">
    <w:name w:val="Normal (Web)"/>
    <w:basedOn w:val="Normal"/>
    <w:uiPriority w:val="99"/>
    <w:semiHidden/>
    <w:unhideWhenUsed/>
    <w:rsid w:val="002F38B6"/>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Strong">
    <w:name w:val="Strong"/>
    <w:basedOn w:val="DefaultParagraphFont"/>
    <w:uiPriority w:val="22"/>
    <w:qFormat/>
    <w:rsid w:val="002F38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604</Words>
  <Characters>3448</Characters>
  <Application>Microsoft Office Word</Application>
  <DocSecurity>0</DocSecurity>
  <Lines>28</Lines>
  <Paragraphs>8</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HD7396</dc:creator>
  <cp:keywords/>
  <dc:description/>
  <cp:lastModifiedBy>HD7396</cp:lastModifiedBy>
  <cp:revision>1</cp:revision>
  <dcterms:created xsi:type="dcterms:W3CDTF">2026-06-12T15:07:00Z</dcterms:created>
  <dcterms:modified xsi:type="dcterms:W3CDTF">2026-06-12T15:11:00Z</dcterms:modified>
</cp:coreProperties>
</file>