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b10673aa8989f895f20ec13ba84a6eb296f11c"/>
    <w:p>
      <w:pPr>
        <w:jc w:val="center"/>
      </w:pPr>
      <w:r>
        <w:rPr>
          <w:b w:val="0"/>
          <w:i w:val="0"/>
          <w:sz w:val="22"/>
        </w:rPr>
        <w:t>APPEL À PROJETS ARTS NUMÉRIQUES 2026</w:t>
      </w:r>
    </w:p>
    <w:p>
      <w:pPr>
        <w:pStyle w:val="Title"/>
        <w:jc w:val="center"/>
      </w:pPr>
      <w:r>
        <w:rPr>
          <w:b w:val="0"/>
          <w:i w:val="0"/>
        </w:rPr>
        <w:t>OFFRIR-MAGNIFIER / VOLER-EXPLOITER</w:t>
      </w:r>
    </w:p>
    <w:p>
      <w:pPr>
        <w:jc w:val="center"/>
      </w:pPr>
      <w:r>
        <w:rPr>
          <w:b w:val="0"/>
          <w:i w:val="0"/>
          <w:sz w:val="24"/>
        </w:rPr>
        <w:t>ANNEXES — Version 6</w:t>
      </w:r>
    </w:p>
    <w:p>
      <w:r>
        <w:br w:type="page"/>
      </w:r>
    </w:p>
    <w:p>
      <w:pPr>
        <w:pStyle w:val="Heading1"/>
      </w:pPr>
      <w:r>
        <w:rPr>
          <w:b w:val="0"/>
          <w:i w:val="0"/>
        </w:rPr>
        <w:t>Annexe A — Questionnaire et axes</w:t>
      </w:r>
    </w:p>
    <w:p>
      <w:r>
        <w:rPr>
          <w:b w:val="0"/>
          <w:i w:val="0"/>
        </w:rPr>
        <w:t>Réponse sur une échelle à cinq degrés : « Pas du tout », « Pas vraiment », « Un peu », « Assez », « Tout à fait ». Une question peut être passée.</w:t>
      </w:r>
    </w:p>
    <w:p>
      <w:r>
        <w:rPr>
          <w:b w:val="0"/>
          <w:i w:val="0"/>
        </w:rPr>
        <w:t>01. Une bibliothèque laisse un programme choisir une partie des livres qu’elle met en avant. Je lui laisserais volontiers une chance de me faire découvrir quelque chose.</w:t>
      </w:r>
    </w:p>
    <w:p>
      <w:r>
        <w:rPr>
          <w:b w:val="0"/>
          <w:i w:val="0"/>
        </w:rPr>
        <w:t>02. Une ville installe un système qui règle automatiquement la circulation. Un jour, il se trompe. J’aurais du mal à lui faire confiance à nouveau.</w:t>
      </w:r>
    </w:p>
    <w:p>
      <w:r>
        <w:rPr>
          <w:b w:val="0"/>
          <w:i w:val="0"/>
        </w:rPr>
        <w:t>03. Dans un quartier, les commerces et les habitudes changent peu à peu. Je me dis que les habitants finiront par trouver un nouvel équilibre.</w:t>
      </w:r>
    </w:p>
    <w:p>
      <w:r>
        <w:rPr>
          <w:b w:val="0"/>
          <w:i w:val="0"/>
        </w:rPr>
        <w:t>04. Au travail, un nouvel outil arrive alors qu’on commence à peine à maîtriser le précédent. J’aurais envie que les choses ralentissent un peu.</w:t>
      </w:r>
    </w:p>
    <w:p>
      <w:r>
        <w:rPr>
          <w:b w:val="0"/>
          <w:i w:val="0"/>
        </w:rPr>
        <w:t>05. Deux amis vivent très loin l’un de l’autre. Chaque semaine, ils se retrouvent pour créer quelque chose ensemble, à distance. J’ai le sentiment que ces moments peuvent les rapprocher.</w:t>
      </w:r>
    </w:p>
    <w:p>
      <w:r>
        <w:rPr>
          <w:b w:val="0"/>
          <w:i w:val="0"/>
        </w:rPr>
        <w:t>06. Dans une rue, presque tout peut désormais être commandé et livré à domicile. Je me demande si les habitants ne perdent pas quelque chose en se croisant moins.</w:t>
      </w:r>
    </w:p>
    <w:p>
      <w:r>
        <w:rPr>
          <w:b w:val="0"/>
          <w:i w:val="0"/>
        </w:rPr>
        <w:t>07. Tu partages une idée. Quelqu’un que tu ne connais pas la reprend et en fait quelque chose de complètement différent. Je serais heureux de voir mon idée prendre une vie qui m’échappe.</w:t>
      </w:r>
    </w:p>
    <w:p>
      <w:r>
        <w:rPr>
          <w:b w:val="0"/>
          <w:i w:val="0"/>
        </w:rPr>
        <w:t>08. Tu partages une création. Elle circule, se transforme et finit par être reprise un peu partout. J’aurais le sentiment qu’une partie de cette création ne m’appartient plus vraiment.</w:t>
      </w:r>
    </w:p>
    <w:p>
      <w:r>
        <w:rPr>
          <w:b w:val="0"/>
          <w:i w:val="0"/>
        </w:rPr>
        <w:t>09. Une ancienne usine va devenir un lieu ouvert à tous. On peut en conserver certaines traces ou repartir d’une page blanche. J’aimerais que son histoire reste visible dans ce nouveau lieu.</w:t>
      </w:r>
    </w:p>
    <w:p>
      <w:r>
        <w:rPr>
          <w:b w:val="0"/>
          <w:i w:val="0"/>
        </w:rPr>
        <w:t>10. On imagine une ville dans laquelle les habitants vivraient et travailleraient d’une manière encore inconnue. L’idée de découvrir ces nouvelles façons de vivre me fait rêver.</w:t>
      </w:r>
    </w:p>
    <w:p>
      <w:r>
        <w:rPr>
          <w:b w:val="0"/>
          <w:i w:val="0"/>
        </w:rPr>
        <w:t>11. Quelqu’un présente une invention qui pourrait changer notre manière de nous déplacer. Ce que j’aurais d’abord envie de voir, c’est ce qu’elle change dans une journée ordinaire.</w:t>
      </w:r>
    </w:p>
    <w:p>
      <w:r>
        <w:rPr>
          <w:b w:val="0"/>
          <w:i w:val="0"/>
        </w:rPr>
        <w:t>12. Quelqu’un présente une nouvelle manière de prendre des décisions ensemble, sans savoir encore comment la mettre en pratique. Même sans exemple concret, réfléchir à ce principe m’intéresserait.</w:t>
      </w:r>
    </w:p>
    <w:p>
      <w:r>
        <w:rPr>
          <w:b w:val="0"/>
          <w:i/>
        </w:rPr>
        <w:t>Correspondance des axes : Q1–Q2 confiance / méfiance ; Q3–Q4 sérénité / inquiétude ; Q5–Q6 lien / isolement ; Q7–Q8 don / dépossession ; Q9–Q10 passé / futur ; Q11–Q12 concret / abstrait.</w:t>
      </w:r>
    </w:p>
    <w:p>
      <w:r>
        <w:br w:type="page"/>
      </w:r>
    </w:p>
    <w:p>
      <w:pPr>
        <w:pStyle w:val="Heading1"/>
      </w:pPr>
      <w:r>
        <w:t>Annexe B — Détails techniques</w:t>
      </w:r>
    </w:p>
    <w:p>
      <w:pPr>
        <w:pStyle w:val="FirstParagraph"/>
      </w:pPr>
      <w:r>
        <w:rPr>
          <w:bCs/>
          <w:b/>
        </w:rPr>
        <w:t>Annexe technique coordonnée au dossier principal. Elle décrit le traitement prévu après l’abandon de la conversation générative au profit d’un questionnaire déterministe. Les questions sont reproduites dans l’Annexe A ; leurs formulations restent en cours de mise au point.</w:t>
      </w:r>
      <w:r/>
      <w:r/>
    </w:p>
    <w:bookmarkStart w:id="20" w:name="chaîne-de-traitement"/>
    <w:p>
      <w:pPr>
        <w:pStyle w:val="Heading2"/>
      </w:pPr>
      <w:r>
        <w:t>B.1 Chaîne de traitement</w:t>
      </w:r>
    </w:p>
    <w:p>
      <w:pPr>
        <w:pStyle w:val="FirstParagraph"/>
      </w:pPr>
      <w:r>
        <w:t xml:space="preserve">La chaîne est entièrement locale et déterministe :</w:t>
      </w:r>
    </w:p>
    <w:p>
      <w:pPr>
        <w:pStyle w:val="BodyText"/>
      </w:pPr>
      <w:r>
        <w:t>douze mises en situation → six coordonnées (ou valeurs manquantes) → déplacement du monde → capture d’archive</w:t>
      </w:r>
    </w:p>
    <w:p>
      <w:pPr>
        <w:pStyle w:val="BodyText"/>
      </w:pPr>
      <w:r>
        <w:t xml:space="preserve">Aucun modèle de langage, aucune transcription, aucun appel à un service distant. La seule brique générative est la synthèse vocale, qui dit la phrase libre laissée par le participant ; elle tourne hors ligne sur la machine de la salle.</w:t>
      </w:r>
    </w:p>
    <w:bookmarkEnd w:id="20"/>
    <w:bookmarkStart w:id="21" w:name="le-questionnaire"/>
    <w:p>
      <w:pPr>
        <w:pStyle w:val="Heading2"/>
      </w:pPr>
      <w:r>
        <w:t>B.2 Le questionnaire</w:t>
      </w:r>
    </w:p>
    <w:p>
      <w:pPr>
        <w:pStyle w:val="FirstParagraph"/>
      </w:pPr>
      <w:r>
        <w:t>Douze mises en situation présentées par la présence numérique dans la cabine : deux par axe, plus une zone de phrase libre. Chaque phrase se note de 1 à 5 (« Pas du tout », « Pas vraiment », « Un peu », « Assez », « Tout à fait »). Une question peut être passée.</w:t>
      </w:r>
    </w:p>
    <w:p>
      <w:pPr>
        <w:pStyle w:val="BodyText"/>
      </w:pPr>
      <w:r>
        <w:t>Pour chaque paire de questions, la coordonnée de l’axe est (note du premier pôle − note du second pôle) / 4, soit une valeur de −1 à +1. Si une réponse manque, la coordonnée est absente et cet axe ne déplace pas le monde. Une position centrale peut résulter de deux adhésions fortes et opposées ; elle reste centrale dans la simulation. Aucune « conviction » supplémentaire n’est multipliée à la coordonnée : son amplitude porte déjà l’intensité du déplacement. Les réponses individuelles peuvent être effacées après conversion ; seules les coordonnées retenues servent à l’œuvre.</w:t>
      </w:r>
      <w:r/>
      <w:r>
        <w:rPr>
          <w:bCs/>
          <w:b/>
        </w:rPr>
      </w:r>
      <w:r/>
      <w:r/>
      <w:r/>
      <w:r>
        <w:rPr>
          <w:bCs/>
          <w:b/>
        </w:rPr>
      </w:r>
      <w:r/>
      <w:r/>
    </w:p>
    <w:p>
      <w:pPr>
        <w:pStyle w:val="BodyText"/>
      </w:pPr>
      <w:r>
        <w:t>Deux principes d’écriture guident cette version de travail :</w:t>
      </w:r>
    </w:p>
    <w:p>
      <w:pPr>
        <w:numPr>
          <w:ilvl w:val="0"/>
          <w:numId w:val="1001"/>
        </w:numPr>
      </w:pPr>
      <w:r>
        <w:rPr>
          <w:bCs/>
          <w:b/>
        </w:rPr>
        <w:t>Obliquité. Les six axes ne sont pas montrés au visiteur. Les situations invitent à une réaction située plutôt qu’à déclarer une position générale sur la technologie ; chaque question est affectée à un seul pôle dans la table de travail.</w:t>
      </w:r>
      <w:r/>
      <w:r/>
    </w:p>
    <w:p>
      <w:pPr>
        <w:numPr>
          <w:ilvl w:val="0"/>
          <w:numId w:val="1001"/>
        </w:numPr>
      </w:pPr>
      <w:r>
        <w:rPr>
          <w:bCs/>
          <w:b/>
        </w:rPr>
        <w:t>Situation. Les questions partent d’une bibliothèque, d’un quartier, d’une création, d’une usine ou d’un outil : elles abordent société et technologie de biais, sans alternative imposée entre plusieurs opinions.</w:t>
      </w:r>
      <w:r/>
      <w:r/>
    </w:p>
    <w:p>
      <w:pPr>
        <w:pStyle w:val="FirstParagraph"/>
      </w:pPr>
      <w:r>
        <w:t xml:space="preserve">La phrase libre est écrite, jamais analysée, et n’alimente que le monde sonore.</w:t>
      </w:r>
    </w:p>
    <w:bookmarkEnd w:id="21"/>
    <w:bookmarkStart w:id="22" w:name="les-six-axes"/>
    <w:p>
      <w:pPr>
        <w:pStyle w:val="Heading2"/>
      </w:pPr>
      <w:r>
        <w:t>B.3 Les six axes</w:t>
      </w:r>
    </w:p>
    <w:p>
      <w:pPr>
        <w:numPr>
          <w:ilvl w:val="0"/>
          <w:numId w:val="1002"/>
        </w:numPr>
      </w:pPr>
      <w:r>
        <w:rPr>
          <w:bCs/>
          <w:b/>
        </w:rPr>
        <w:t xml:space="preserve">Confiance / méfiance</w:t>
      </w:r>
      <w:r>
        <w:t xml:space="preserve"> </w:t>
      </w:r>
      <w:r>
        <w:t xml:space="preserve">— porte sur la couleur et la lumière.</w:t>
      </w:r>
    </w:p>
    <w:p>
      <w:pPr>
        <w:numPr>
          <w:ilvl w:val="0"/>
          <w:numId w:val="1002"/>
        </w:numPr>
      </w:pPr>
      <w:r>
        <w:rPr>
          <w:bCs/>
          <w:b/>
        </w:rPr>
        <w:t xml:space="preserve">Sérénité / inquiétude</w:t>
      </w:r>
      <w:r>
        <w:t xml:space="preserve"> </w:t>
      </w:r>
      <w:r>
        <w:t xml:space="preserve">— porte sur l’agitation du mouvement.</w:t>
      </w:r>
    </w:p>
    <w:p>
      <w:pPr>
        <w:numPr>
          <w:ilvl w:val="0"/>
          <w:numId w:val="1002"/>
        </w:numPr>
      </w:pPr>
      <w:r>
        <w:rPr>
          <w:bCs/>
          <w:b/>
        </w:rPr>
        <w:t xml:space="preserve">Lien / isolement</w:t>
      </w:r>
      <w:r>
        <w:t xml:space="preserve"> </w:t>
      </w:r>
      <w:r>
        <w:t xml:space="preserve">— porte sur la grégarité des entités.</w:t>
      </w:r>
    </w:p>
    <w:p>
      <w:pPr>
        <w:numPr>
          <w:ilvl w:val="0"/>
          <w:numId w:val="1002"/>
        </w:numPr>
      </w:pPr>
      <w:r>
        <w:rPr>
          <w:bCs/>
          <w:b/>
        </w:rPr>
        <w:t xml:space="preserve">Don / dépossession</w:t>
      </w:r>
      <w:r>
        <w:t xml:space="preserve"> </w:t>
      </w:r>
      <w:r>
        <w:t xml:space="preserve">— porte sur l’économie de la matière.</w:t>
      </w:r>
    </w:p>
    <w:p>
      <w:pPr>
        <w:numPr>
          <w:ilvl w:val="0"/>
          <w:numId w:val="1002"/>
        </w:numPr>
      </w:pPr>
      <w:r>
        <w:rPr>
          <w:bCs/>
          <w:b/>
        </w:rPr>
        <w:t>Passé / futur — porte sur la mémoire de la toile.</w:t>
      </w:r>
      <w:r/>
      <w:r/>
    </w:p>
    <w:p>
      <w:pPr>
        <w:numPr>
          <w:ilvl w:val="0"/>
          <w:numId w:val="1002"/>
        </w:numPr>
      </w:pPr>
      <w:r>
        <w:rPr>
          <w:bCs/>
          <w:b/>
        </w:rPr>
        <w:t xml:space="preserve">Concret / abstrait</w:t>
      </w:r>
      <w:r>
        <w:t xml:space="preserve"> </w:t>
      </w:r>
      <w:r>
        <w:t xml:space="preserve">— porte sur la facture de la marque.</w:t>
      </w:r>
    </w:p>
    <w:p>
      <w:pPr>
        <w:pStyle w:val="FirstParagraph"/>
      </w:pPr>
      <w:r>
        <w:t>Le quatrième axe est celui du titre. Sur le cinquième, une position vers le passé allonge la mémoire de la toile ; une position vers le futur la raccourcit. Cette interprétation est artistique, non psychologique.</w:t>
      </w:r>
    </w:p>
    <w:bookmarkEnd w:id="22"/>
    <w:bookmarkStart w:id="23" w:name="la-table-de-correspondance"/>
    <w:p>
      <w:pPr>
        <w:pStyle w:val="Heading2"/>
      </w:pPr>
      <w:r>
        <w:t>B.4 La table de correspondance</w:t>
      </w:r>
    </w:p>
    <w:p>
      <w:pPr>
        <w:pStyle w:val="FirstParagraph"/>
      </w:pPr>
      <w:r>
        <w:t>La table est fournie séparément en JSON. Les paramètres numériques portent les noms du prototype tissage-v15 ; les directives de couleur et de lumière restent des intentions plastiques à traduire en réglages opérationnels. Le JSON définit un projet de correspondance : son application automatique au prototype n’est pas encore intégrée. Il comporte trois blocs.</w:t>
      </w:r>
    </w:p>
    <w:p>
      <w:pPr>
        <w:pStyle w:val="BodyText"/>
      </w:pPr>
      <w:r>
        <w:rPr>
          <w:bCs/>
          <w:b/>
        </w:rPr>
        <w:t xml:space="preserve">L’état initial.</w:t>
      </w:r>
      <w:r>
        <w:t xml:space="preserve"> </w:t>
      </w:r>
      <w:r>
        <w:t xml:space="preserve">La configuration « Peau », organique et sans angle droit, sert d’origine et de point de rappel.</w:t>
      </w:r>
    </w:p>
    <w:p>
      <w:pPr>
        <w:pStyle w:val="BodyText"/>
      </w:pPr>
      <w:r>
        <w:rPr>
          <w:bCs/>
          <w:b/>
        </w:rPr>
        <w:t xml:space="preserve">L’empreinte.</w:t>
      </w:r>
      <w:r>
        <w:t xml:space="preserve"> </w:t>
      </w:r>
      <w:r>
        <w:t xml:space="preserve">Un effet commun à toute contribution, quel qu’en soit son contenu : la présence humaine durcit la géométrie d’un cran. L’inscription des arcs baisse, le module grandit, le grain du papier s’efface, les bords des taches se font nets ; à des seuils fixes, la trame passe de douze directions à huit, puis six, puis quatre, et les formes se calent sur la grille.</w:t>
      </w:r>
      <w:r>
        <w:t xml:space="preserve"> </w:t>
      </w:r>
      <w:r>
        <w:rPr>
          <w:bCs/>
          <w:b/>
        </w:rPr>
        <w:t xml:space="preserve">Ce terme n’est pas soumis au rappel : c’est un cliquet.</w:t>
      </w:r>
      <w:r>
        <w:t xml:space="preserve"> </w:t>
      </w:r>
      <w:r>
        <w:t xml:space="preserve">Le monde ne redevient pas vierge.</w:t>
      </w:r>
    </w:p>
    <w:p>
      <w:pPr>
        <w:pStyle w:val="BodyText"/>
      </w:pPr>
      <w:r>
        <w:rPr>
          <w:bCs/>
          <w:b/>
        </w:rPr>
        <w:t xml:space="preserve">Les axes.</w:t>
      </w:r>
      <w:r>
        <w:t xml:space="preserve"> </w:t>
      </w:r>
      <w:r>
        <w:t xml:space="preserve">Ils ne décident pas si le monde s’artificialise, mais de quelle manière. Chaque axe porte une liste de paramètres et un coefficient, exprimé en fraction de la demi-bande de dérive du paramètre. Un coefficient nul signifie simplement que l’axe n’agit pas sur ce paramètre : il n’y a pas de sous-ensembles à maintenir, une seule liste et une matrice creuse.</w:t>
      </w:r>
    </w:p>
    <w:bookmarkEnd w:id="23"/>
    <w:bookmarkStart w:id="24" w:name="dynamique"/>
    <w:p>
      <w:pPr>
        <w:pStyle w:val="Heading2"/>
      </w:pPr>
      <w:r>
        <w:t>B.5 Dynamique</w:t>
      </w:r>
    </w:p>
    <w:p>
      <w:pPr>
        <w:pStyle w:val="FirstParagraph"/>
      </w:pPr>
      <w:r>
        <w:t xml:space="preserve">À chaque contribution, pour chaque paramètre déplaçable :</w:t>
      </w:r>
    </w:p>
    <w:p>
      <w:pPr>
        <w:pStyle w:val="SourceCode"/>
      </w:pPr>
      <w:r>
        <w:rPr>
          <w:rStyle w:val="VerbatimChar"/>
        </w:rPr>
        <w:t>valeur += coefficient × position_de_l’axe × demi_bande</w:t>
        <w:br/>
        <w:t>valeur += 0,02 × (valeur_initiale − valeur)</w:t>
      </w:r>
      <w:r/>
      <w:r>
        <w:rPr>
          <w:rStyle w:val="VerbatimChar"/>
        </w:rPr>
      </w:r>
    </w:p>
    <w:p>
      <w:pPr>
        <w:pStyle w:val="FirstParagraph"/>
      </w:pPr>
      <w:r>
        <w:t xml:space="preserve">Le second terme est le rappel. Il ne s’applique pas aux paramètres de l’empreinte.</w:t>
      </w:r>
    </w:p>
    <w:p>
      <w:pPr>
        <w:pStyle w:val="BodyText"/>
      </w:pPr>
      <w:r>
        <w:t xml:space="preserve">Les bornes sont</w:t>
      </w:r>
      <w:r>
        <w:t xml:space="preserve"> </w:t>
      </w:r>
      <w:r>
        <w:rPr>
          <w:bCs/>
          <w:b/>
        </w:rPr>
        <w:t xml:space="preserve">réfléchissantes</w:t>
      </w:r>
      <w:r>
        <w:t xml:space="preserve"> </w:t>
      </w:r>
      <w:r>
        <w:t xml:space="preserve">et non écrêtantes : un déplacement qui dépasserait une borne rebondit. Sans cela, après quelques centaines de contributions, la moitié des paramètres se retrouveraient collés aux extrêmes et le monde se figerait.</w:t>
      </w:r>
    </w:p>
    <w:p>
      <w:pPr>
        <w:pStyle w:val="BodyText"/>
      </w:pPr>
      <w:r>
        <w:t>Le calibrage de travail — coefficients numériques généralement de l’ordre de 1 à 2 % et rappel à 2 % — vise les comportements suivants, à vérifier par des séries de contributions simulées :</w:t>
      </w:r>
    </w:p>
    <w:p>
      <w:pPr>
        <w:numPr>
          <w:ilvl w:val="0"/>
          <w:numId w:val="1003"/>
        </w:numPr>
      </w:pPr>
      <w:r>
        <w:t>un public exprimant des positions répétées sur un axe peut déplacer durablement les paramètres correspondants ;</w:t>
      </w:r>
    </w:p>
    <w:p>
      <w:pPr>
        <w:numPr>
          <w:ilvl w:val="0"/>
          <w:numId w:val="1003"/>
        </w:numPr>
      </w:pPr>
      <w:r>
        <w:t>des positions opposées peuvent se compenser progressivement, sans imposer une correction esthétique ;</w:t>
      </w:r>
    </w:p>
    <w:p>
      <w:pPr>
        <w:numPr>
          <w:ilvl w:val="0"/>
          <w:numId w:val="1003"/>
        </w:numPr>
      </w:pPr>
      <w:r>
        <w:t>l’influence d’une contribution isolée s’atténue au fil des contributions suivantes.</w:t>
      </w:r>
    </w:p>
    <w:p>
      <w:pPr>
        <w:pStyle w:val="FirstParagraph"/>
      </w:pPr>
      <w:r>
        <w:t>Le rappel agit vers les valeurs paramétriques initiales, sans choisir après coup une image jugée belle. Le collectif l’emporte sur l’individu par l’accumulation et l’atténuation des effets.</w:t>
      </w:r>
    </w:p>
    <w:bookmarkEnd w:id="24"/>
    <w:bookmarkStart w:id="25" w:name="bandes-de-dérive"/>
    <w:p>
      <w:pPr>
        <w:pStyle w:val="Heading2"/>
      </w:pPr>
      <w:r>
        <w:t>B.6 Bandes de dérive</w:t>
      </w:r>
    </w:p>
    <w:p>
      <w:pPr>
        <w:pStyle w:val="FirstParagraph"/>
      </w:pPr>
      <w:r>
        <w:t>Chaque paramètre numérique déplaçable est associé à une bande de dérive distincte de l’amplitude totale de son curseur. La table comporte 74 bandes. Les trois bandes de arcFit, traceAlpha et blobEdge ont été élargies juste assez pour inclure les valeurs de l’état initial ; la viabilité esthétique de l’ensemble des plages reste à tester.</w:t>
      </w:r>
    </w:p>
    <w:p>
      <w:pPr>
        <w:pStyle w:val="BodyText"/>
      </w:pPr>
      <w:r>
        <w:t>Les bandes seront ensuite recalibrées à partir des configurations de référence des auteurs et de tests visuels : inclure une configuration initiale ne suffit pas à garantir que chaque combinaison atteignable produira une image tenable.</w:t>
      </w:r>
    </w:p>
    <w:bookmarkEnd w:id="25"/>
    <w:bookmarkStart w:id="26" w:name="archive"/>
    <w:p>
      <w:pPr>
        <w:pStyle w:val="Heading2"/>
      </w:pPr>
      <w:r>
        <w:t>B.7 Archive</w:t>
      </w:r>
    </w:p>
    <w:p>
      <w:pPr>
        <w:pStyle w:val="FirstParagraph"/>
      </w:pPr>
      <w:r>
        <w:t xml:space="preserve">Une capture de l’image est faite à chaque déplacement du monde, c’est-à-dire après chaque contribution, et conservée avec le jeu de paramètres qui l’a produite. L’archive n’est donc pas une collection d’images mais une</w:t>
      </w:r>
      <w:r>
        <w:t xml:space="preserve"> </w:t>
      </w:r>
      <w:r>
        <w:rPr>
          <w:bCs/>
          <w:b/>
        </w:rPr>
        <w:t xml:space="preserve">trajectoire</w:t>
      </w:r>
      <w:r>
        <w:t xml:space="preserve"> </w:t>
      </w:r>
      <w:r>
        <w:t xml:space="preserve">: elle peut être rejouée, et remontée en mosaïque comme œuvre autonome. C’est cette mosaïque qui subsiste après l’exposition. L’œuvre vivante, elle, est éphémère.</w:t>
      </w:r>
    </w:p>
    <w:bookmarkEnd w:id="26"/>
    <w:bookmarkStart w:id="27" w:name="matériel-et-logiciel"/>
    <w:p>
      <w:pPr>
        <w:pStyle w:val="Heading2"/>
      </w:pPr>
      <w:r>
        <w:t>B.8 Matériel et logiciel</w:t>
      </w:r>
    </w:p>
    <w:p>
      <w:pPr>
        <w:numPr>
          <w:ilvl w:val="0"/>
          <w:numId w:val="1004"/>
        </w:numPr>
      </w:pPr>
      <w:r>
        <w:rPr>
          <w:bCs/>
          <w:b/>
        </w:rPr>
        <w:t xml:space="preserve">Cabine</w:t>
      </w:r>
      <w:r>
        <w:t xml:space="preserve"> </w:t>
      </w:r>
      <w:r>
        <w:t xml:space="preserve">— tablette tactile pour le questionnaire, écran distinct pour la présence numérique.</w:t>
      </w:r>
    </w:p>
    <w:p>
      <w:pPr>
        <w:numPr>
          <w:ilvl w:val="0"/>
          <w:numId w:val="1004"/>
        </w:numPr>
      </w:pPr>
      <w:r>
        <w:rPr>
          <w:bCs/>
          <w:b/>
        </w:rPr>
        <w:t xml:space="preserve">Calcul</w:t>
      </w:r>
      <w:r>
        <w:t xml:space="preserve"> </w:t>
      </w:r>
      <w:r>
        <w:t xml:space="preserve">— une machine unique dans la salle, prêt attendu.</w:t>
      </w:r>
    </w:p>
    <w:p>
      <w:pPr>
        <w:numPr>
          <w:ilvl w:val="0"/>
          <w:numId w:val="1004"/>
        </w:numPr>
      </w:pPr>
      <w:r>
        <w:rPr>
          <w:bCs/>
          <w:b/>
        </w:rPr>
        <w:t xml:space="preserve">Rendu</w:t>
      </w:r>
      <w:r>
        <w:t xml:space="preserve"> </w:t>
      </w:r>
      <w:r>
        <w:t xml:space="preserve">— générateur en HTML et JavaScript, sans dépendance, fonctionne hors ligne dans un navigateur.</w:t>
      </w:r>
    </w:p>
    <w:p>
      <w:pPr>
        <w:numPr>
          <w:ilvl w:val="0"/>
          <w:numId w:val="1004"/>
        </w:numPr>
      </w:pPr>
      <w:r>
        <w:rPr>
          <w:bCs/>
          <w:b/>
        </w:rPr>
        <w:t xml:space="preserve">Voix</w:t>
      </w:r>
      <w:r>
        <w:t xml:space="preserve"> </w:t>
      </w:r>
      <w:r>
        <w:t xml:space="preserve">— synthèse vocale locale, libre et gratuite : aucun appel distant, aucun coût récurrent.</w:t>
      </w:r>
    </w:p>
    <w:p>
      <w:pPr>
        <w:numPr>
          <w:ilvl w:val="0"/>
          <w:numId w:val="1004"/>
        </w:numPr>
      </w:pPr>
      <w:r>
        <w:rPr>
          <w:bCs/>
          <w:b/>
        </w:rPr>
        <w:t xml:space="preserve">Son</w:t>
      </w:r>
      <w:r>
        <w:t xml:space="preserve"> </w:t>
      </w:r>
      <w:r>
        <w:t xml:space="preserve">— traitement et diffusion via l’installation de la galerie ; architecture à arbitrer au prototypage.</w:t>
      </w:r>
    </w:p>
    <w:p>
      <w:pPr>
        <w:numPr>
          <w:ilvl w:val="0"/>
          <w:numId w:val="1004"/>
        </w:numPr>
      </w:pPr>
      <w:r>
        <w:rPr>
          <w:bCs/>
          <w:b/>
        </w:rPr>
        <w:t xml:space="preserve">Réseau</w:t>
      </w:r>
      <w:r>
        <w:t xml:space="preserve"> </w:t>
      </w:r>
      <w:r>
        <w:t xml:space="preserve">— aucun. La contrainte est assumée, elle fonde le § 3.9 du dossier.</w:t>
      </w:r>
    </w:p>
    <w:p>
      <w:pPr>
        <w:numPr>
          <w:ilvl w:val="0"/>
          <w:numId w:val="1004"/>
        </w:numPr>
      </w:pPr>
      <w:r>
        <w:rPr>
          <w:bCs/>
          <w:b/>
        </w:rPr>
        <w:t>Données prévues après validation — jusqu’à six coordonnées (une valeur absente si une paire est incomplète) et une phrase libre ; les réponses détaillées ne sont pas destinées à être archivées. Sans nom ni identifiant nominatif. Les captures visuelles et jeux de paramètres font l’objet d’une archive distincte. Les effets déjà mêlés au monde ne peuvent être effacés individuellement ; l’information préalable et la procédure sur les éléments encore individualisables restent à arrêter avant l’ouverture.</w:t>
      </w:r>
      <w:r/>
      <w:r/>
    </w:p>
    <w:bookmarkEnd w:id="27"/>
    <w:bookmarkStart w:id="28" w:name="ce-qui-reste-ouvert"/>
    <w:p>
      <w:pPr>
        <w:pStyle w:val="Heading2"/>
      </w:pPr>
      <w:r>
        <w:t>B.9 Ce qui reste ouvert</w:t>
      </w:r>
    </w:p>
    <w:p>
      <w:pPr>
        <w:numPr>
          <w:ilvl w:val="0"/>
          <w:numId w:val="1005"/>
        </w:numPr>
      </w:pPr>
      <w:r>
        <w:t>Tester et ajuster les formulations des douze questions de travail. Les six paires et le calcul de position sont fixés pour la version du dossier.</w:t>
      </w:r>
    </w:p>
    <w:p>
      <w:pPr>
        <w:numPr>
          <w:ilvl w:val="0"/>
          <w:numId w:val="1005"/>
        </w:numPr>
      </w:pPr>
      <w:r>
        <w:t xml:space="preserve">L’export JSON des configurations de référence, et le recalibrage des bandes qui s’ensuit.</w:t>
      </w:r>
    </w:p>
    <w:p>
      <w:pPr>
        <w:numPr>
          <w:ilvl w:val="0"/>
          <w:numId w:val="1005"/>
        </w:numPr>
      </w:pPr>
      <w:r>
        <w:t xml:space="preserve">Le réglage fin des coefficients, à valider en rejouant des séries de témoignages fictifs avant l’exposition.</w:t>
      </w:r>
    </w:p>
    <w:p>
      <w:pPr>
        <w:numPr>
          <w:ilvl w:val="0"/>
          <w:numId w:val="1005"/>
        </w:numPr>
      </w:pPr>
      <w:r>
        <w:t xml:space="preserve">Le choix de la synthèse vocale et du traitement sonore qui l’accompagne.</w:t>
      </w:r>
    </w:p>
    <w:p>
      <w:pPr>
        <w:numPr>
          <w:ilvl w:val="0"/>
          <w:numId w:val="1005"/>
        </w:numPr>
      </w:pPr>
      <w:r>
        <w:t>Le format des captures et la politique de conservation de l’archive (principe retenu : une capture après chaque contribution).</w:t>
      </w:r>
    </w:p>
    <w:bookmarkEnd w:id="28"/>
    <w:bookmarkEnd w:id="29"/>
    <w:p>
      <w:pPr>
        <w:pStyle w:val="Heading1"/>
        <w:pageBreakBefore/>
      </w:pPr>
      <w:r>
        <w:t>Annexe C — Détails des cabines</w:t>
      </w:r>
    </w:p>
    <w:p>
      <w:r>
        <w:t>Les deux parcours passent chacun par une cabine. La cabine « Contempler » est un simple sas : deux rideaux et du vide entre eux. La cabine « Contribuer » est un espace d’isolement équipé d’une tablette tactile pour le questionnaire et d’un écran distinct pour la présence numérique. Les deux cabines empêchent la lumière du hall d’atteindre la salle de projection. La sortie de la cabine « Contribuer » est orientée vers l’écran.</w:t>
      </w:r>
    </w:p>
    <w:p>
      <w:pPr>
        <w:spacing w:before="80" w:after="40"/>
        <w:jc w:val="center"/>
      </w:pPr>
      <w:r>
        <w:drawing>
          <wp:inline>
            <wp:extent cx="5472000" cy="4817478"/>
            <wp:docPr id="1" name="Picture 1"/>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5472000" cy="4817478"/>
                    </a:xfrm>
                    <a:prstGeom prst="rect"/>
                  </pic:spPr>
                </pic:pic>
              </a:graphicData>
            </a:graphic>
          </wp:inline>
        </w:drawing>
      </w:r>
    </w:p>
    <w:p>
      <w:pPr>
        <w:spacing w:after="160"/>
        <w:jc w:val="center"/>
      </w:pPr>
      <w:r>
        <w:rPr>
          <w:i/>
          <w:sz w:val="18"/>
        </w:rPr>
        <w:t>Étude 3D détaillée des deux cabines — « Contribuer » et « Contempler ».</w:t>
      </w:r>
    </w:p>
    <w:p>
      <w:pPr>
        <w:pStyle w:val="Heading1"/>
        <w:pageBreakBefore/>
      </w:pPr>
      <w:r>
        <w:t>Annexe D — Visuels complémentaires du générateur</w:t>
      </w:r>
    </w:p>
    <w:p>
      <w:r>
        <w:t>Les visuels ci-dessous montrent des états possibles du générateur et des études antérieures du même prototype. Le prototype tissage-v15 et la variation 2 « Peau » sont intégrés directement dans la description du monde du dossier principal.</w:t>
      </w:r>
    </w:p>
    <w:p>
      <w:pPr>
        <w:spacing w:before="80" w:after="40"/>
        <w:jc w:val="center"/>
      </w:pPr>
      <w:r>
        <w:drawing>
          <wp:inline>
            <wp:extent cx="5508000" cy="3107160"/>
            <wp:docPr id="2" name="Picture 2"/>
            <wp:cNvGraphicFramePr>
              <a:graphicFrameLocks noChangeAspect="1"/>
            </wp:cNvGraphicFramePr>
            <a:graphic>
              <a:graphicData uri="http://schemas.openxmlformats.org/drawingml/2006/picture">
                <pic:pic>
                  <pic:nvPicPr>
                    <pic:cNvPr id="0" name="image7.jpg"/>
                    <pic:cNvPicPr/>
                  </pic:nvPicPr>
                  <pic:blipFill>
                    <a:blip r:embed="rId10"/>
                    <a:stretch>
                      <a:fillRect/>
                    </a:stretch>
                  </pic:blipFill>
                  <pic:spPr>
                    <a:xfrm>
                      <a:off x="0" y="0"/>
                      <a:ext cx="5508000" cy="3107160"/>
                    </a:xfrm>
                    <a:prstGeom prst="rect"/>
                  </pic:spPr>
                </pic:pic>
              </a:graphicData>
            </a:graphic>
          </wp:inline>
        </w:drawing>
      </w:r>
    </w:p>
    <w:p>
      <w:pPr>
        <w:spacing w:after="160"/>
        <w:jc w:val="center"/>
      </w:pPr>
      <w:r>
        <w:rPr>
          <w:i/>
          <w:sz w:val="18"/>
        </w:rPr>
        <w:t>Variation 1 — tracés sur fond clair</w:t>
      </w:r>
    </w:p>
    <w:p>
      <w:pPr>
        <w:spacing w:before="80" w:after="40"/>
        <w:jc w:val="center"/>
      </w:pPr>
      <w:r>
        <w:drawing>
          <wp:inline>
            <wp:extent cx="5508000" cy="3107160"/>
            <wp:docPr id="3" name="Picture 3"/>
            <wp:cNvGraphicFramePr>
              <a:graphicFrameLocks noChangeAspect="1"/>
            </wp:cNvGraphicFramePr>
            <a:graphic>
              <a:graphicData uri="http://schemas.openxmlformats.org/drawingml/2006/picture">
                <pic:pic>
                  <pic:nvPicPr>
                    <pic:cNvPr id="0" name="image9.jpg"/>
                    <pic:cNvPicPr/>
                  </pic:nvPicPr>
                  <pic:blipFill>
                    <a:blip r:embed="rId11"/>
                    <a:stretch>
                      <a:fillRect/>
                    </a:stretch>
                  </pic:blipFill>
                  <pic:spPr>
                    <a:xfrm>
                      <a:off x="0" y="0"/>
                      <a:ext cx="5508000" cy="3107160"/>
                    </a:xfrm>
                    <a:prstGeom prst="rect"/>
                  </pic:spPr>
                </pic:pic>
              </a:graphicData>
            </a:graphic>
          </wp:inline>
        </w:drawing>
      </w:r>
    </w:p>
    <w:p>
      <w:pPr>
        <w:spacing w:after="160"/>
        <w:jc w:val="center"/>
      </w:pPr>
      <w:r>
        <w:rPr>
          <w:i/>
          <w:sz w:val="18"/>
        </w:rPr>
        <w:t>Variation 3 — « Balade nocturne »</w:t>
      </w:r>
    </w:p>
    <w:p>
      <w:pPr>
        <w:spacing w:before="80" w:after="40"/>
        <w:jc w:val="center"/>
      </w:pPr>
      <w:r>
        <w:drawing>
          <wp:inline>
            <wp:extent cx="5508000" cy="3107160"/>
            <wp:docPr id="4" name="Picture 4"/>
            <wp:cNvGraphicFramePr>
              <a:graphicFrameLocks noChangeAspect="1"/>
            </wp:cNvGraphicFramePr>
            <a:graphic>
              <a:graphicData uri="http://schemas.openxmlformats.org/drawingml/2006/picture">
                <pic:pic>
                  <pic:nvPicPr>
                    <pic:cNvPr id="0" name="image10.jpg"/>
                    <pic:cNvPicPr/>
                  </pic:nvPicPr>
                  <pic:blipFill>
                    <a:blip r:embed="rId12"/>
                    <a:stretch>
                      <a:fillRect/>
                    </a:stretch>
                  </pic:blipFill>
                  <pic:spPr>
                    <a:xfrm>
                      <a:off x="0" y="0"/>
                      <a:ext cx="5508000" cy="3107160"/>
                    </a:xfrm>
                    <a:prstGeom prst="rect"/>
                  </pic:spPr>
                </pic:pic>
              </a:graphicData>
            </a:graphic>
          </wp:inline>
        </w:drawing>
      </w:r>
    </w:p>
    <w:p>
      <w:pPr>
        <w:spacing w:after="160"/>
        <w:jc w:val="center"/>
      </w:pPr>
      <w:r>
        <w:rPr>
          <w:i/>
          <w:sz w:val="18"/>
        </w:rPr>
        <w:t>Variation 4 — tracés et espaces</w:t>
      </w:r>
    </w:p>
    <w:p>
      <w:pPr>
        <w:spacing w:before="80" w:after="40"/>
        <w:jc w:val="center"/>
      </w:pPr>
      <w:r>
        <w:drawing>
          <wp:inline>
            <wp:extent cx="5508000" cy="4131000"/>
            <wp:docPr id="5" name="Picture 5"/>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508000" cy="4131000"/>
                    </a:xfrm>
                    <a:prstGeom prst="rect"/>
                  </pic:spPr>
                </pic:pic>
              </a:graphicData>
            </a:graphic>
          </wp:inline>
        </w:drawing>
      </w:r>
    </w:p>
    <w:p>
      <w:pPr>
        <w:spacing w:after="160"/>
        <w:jc w:val="center"/>
      </w:pPr>
      <w:r>
        <w:rPr>
          <w:i/>
          <w:sz w:val="18"/>
        </w:rPr>
        <w:t>Étude antérieure 1</w:t>
      </w:r>
    </w:p>
    <w:p>
      <w:pPr>
        <w:spacing w:before="80" w:after="40"/>
        <w:jc w:val="center"/>
      </w:pPr>
      <w:r>
        <w:drawing>
          <wp:inline>
            <wp:extent cx="5508000" cy="4131000"/>
            <wp:docPr id="6" name="Picture 6"/>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508000" cy="4131000"/>
                    </a:xfrm>
                    <a:prstGeom prst="rect"/>
                  </pic:spPr>
                </pic:pic>
              </a:graphicData>
            </a:graphic>
          </wp:inline>
        </w:drawing>
      </w:r>
    </w:p>
    <w:p>
      <w:pPr>
        <w:spacing w:after="160"/>
        <w:jc w:val="center"/>
      </w:pPr>
      <w:r>
        <w:rPr>
          <w:i/>
          <w:sz w:val="18"/>
        </w:rPr>
        <w:t>Étude antérieure 3</w:t>
      </w:r>
    </w:p>
    <w:sectPr>
      <w:footerReference r:id="rId9" w:type="default"/>
      <w:headerReference w:type="default" r:id="rId15"/>
      <w:pgSz w:h="15840" w:orient="portrait" w:w="12240"/>
      <w:pgMar w:bottom="964" w:footer="720" w:header="720" w:left="1134" w:right="1134" w:top="964"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Offrir-Magnifier / Voler-Exploiter — Annexes — Version 6</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efaultTabStop w:val="720"/>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1"/>
        <w:szCs w:val="21"/>
        <w:lang w:val="en"/>
      </w:rPr>
    </w:rPrDefault>
    <w:pPrDefault>
      <w:pPr>
        <w:spacing w:after="100" w:line="259"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260" w:lineRule="auto"/>
    </w:pPr>
    <w:rPr>
      <w:rFonts w:ascii="Play" w:cs="Play" w:eastAsia="Play" w:hAnsi="Play"/>
      <w:b w:val="1"/>
      <w:bCs w:val="1"/>
      <w:color w:val="181818"/>
      <w:sz w:val="30"/>
      <w:szCs w:val="30"/>
    </w:rPr>
  </w:style>
  <w:style w:styleId="Heading2" w:type="paragraph">
    <w:name w:val="heading 2"/>
    <w:basedOn w:val="Normal"/>
    <w:next w:val="Normal"/>
    <w:pPr>
      <w:keepNext w:val="1"/>
      <w:keepLines w:val="1"/>
      <w:spacing w:after="80" w:before="160" w:lineRule="auto"/>
    </w:pPr>
    <w:rPr>
      <w:rFonts w:ascii="Play" w:cs="Play" w:eastAsia="Play" w:hAnsi="Play"/>
      <w:b w:val="1"/>
      <w:bCs w:val="1"/>
      <w:color w:val="181818"/>
      <w:sz w:val="23"/>
      <w:szCs w:val="23"/>
    </w:rPr>
  </w:style>
  <w:style w:styleId="Heading3" w:type="paragraph">
    <w:name w:val="heading 3"/>
    <w:basedOn w:val="Normal"/>
    <w:next w:val="Normal"/>
    <w:pPr>
      <w:keepNext w:val="1"/>
      <w:keepLines w:val="1"/>
      <w:spacing w:after="60" w:before="120" w:lineRule="auto"/>
    </w:pPr>
    <w:rPr>
      <w:rFonts w:ascii="Play" w:cs="Play" w:eastAsia="Play" w:hAnsi="Play"/>
      <w:b w:val="1"/>
      <w:bCs w:val="1"/>
      <w:color w:val="181818"/>
      <w:sz w:val="21"/>
      <w:szCs w:val="21"/>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160" w:before="0" w:line="240" w:lineRule="auto"/>
    </w:pPr>
    <w:rPr>
      <w:rFonts w:ascii="Play" w:cs="Play" w:eastAsia="Play" w:hAnsi="Play"/>
      <w:b w:val="1"/>
      <w:bCs w:val="1"/>
      <w:color w:val="181818"/>
      <w:sz w:val="48"/>
      <w:szCs w:val="48"/>
    </w:r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4"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5"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6"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7"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footer" Target="footer1.xml"/><Relationship Id="rId8"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2026-09-16T15:08:16Z</dcterms:created>
  <dcterms:modified xsi:type="dcterms:W3CDTF">2026-09-16T15:08:16Z</dcterms:modified>
</cp:coreProperties>
</file>

<file path=docProps/custom.xml><?xml version="1.0" encoding="utf-8"?>
<Properties xmlns="http://schemas.openxmlformats.org/officeDocument/2006/custom-properties" xmlns:vt="http://schemas.openxmlformats.org/officeDocument/2006/docPropsVTypes"/>
</file>