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1.png" ContentType="image/pn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b10673aa8989f895f20ec13ba84a6eb296f11c"/>
    <w:p>
      <w:pPr>
        <w:pStyle w:val="Heading1"/>
      </w:pPr>
      <w:r>
        <w:t xml:space="preserve">Annexe technique — Offrir-Magnifier / Voler-Exploiter</w:t>
      </w:r>
    </w:p>
    <w:p>
      <w:pPr>
        <w:pStyle w:val="FirstParagraph"/>
      </w:pPr>
      <w:r>
        <w:rPr>
          <w:bCs/>
          <w:b/>
        </w:rPr>
        <w:t>Version 2 — annexe coordonnée au dossier consolidé V4. Elle décrit le traitement prévu après l’abandon de la conversation générative au profit d’un questionnaire déterministe. Les questions sont reproduites dans le § 3.3 du dossier ; leurs formulations restent en cours de mise au point.</w:t>
      </w:r>
      <w:r/>
      <w:r/>
    </w:p>
    <w:bookmarkStart w:id="20" w:name="chaîne-de-traitement"/>
    <w:p>
      <w:pPr>
        <w:pStyle w:val="Heading2"/>
      </w:pPr>
      <w:r>
        <w:t xml:space="preserve">1. Chaîne de traitement</w:t>
      </w:r>
    </w:p>
    <w:p>
      <w:pPr>
        <w:pStyle w:val="FirstParagraph"/>
      </w:pPr>
      <w:r>
        <w:t xml:space="preserve">La chaîne est entièrement locale et déterministe :</w:t>
      </w:r>
    </w:p>
    <w:p>
      <w:pPr>
        <w:pStyle w:val="BodyText"/>
      </w:pPr>
      <w:r>
        <w:t>douze mises en situation → six coordonnées (ou valeurs manquantes) → déplacement du monde → capture d’archive</w:t>
      </w:r>
    </w:p>
    <w:p>
      <w:pPr>
        <w:pStyle w:val="BodyText"/>
      </w:pPr>
      <w:r>
        <w:t xml:space="preserve">Aucun modèle de langage, aucune transcription, aucun appel à un service distant. La seule brique générative est la synthèse vocale, qui dit la phrase libre laissée par le participant ; elle tourne hors ligne sur la machine de la salle.</w:t>
      </w:r>
    </w:p>
    <w:bookmarkEnd w:id="20"/>
    <w:bookmarkStart w:id="21" w:name="le-questionnaire"/>
    <w:p>
      <w:pPr>
        <w:pStyle w:val="Heading2"/>
      </w:pPr>
      <w:r>
        <w:t xml:space="preserve">2. Le questionnaire</w:t>
      </w:r>
    </w:p>
    <w:p>
      <w:pPr>
        <w:pStyle w:val="FirstParagraph"/>
      </w:pPr>
      <w:r>
        <w:t>Douze mises en situation présentées par la présence numérique dans la cabine : deux par axe, plus une zone de phrase libre. Chaque phrase se note de 1 à 5 (« Pas du tout », « Pas vraiment », « Un peu », « Assez », « Tout à fait »). Une question peut être passée.</w:t>
      </w:r>
    </w:p>
    <w:p>
      <w:pPr>
        <w:pStyle w:val="BodyText"/>
      </w:pPr>
      <w:r>
        <w:t>Pour chaque paire de questions, la coordonnée de l’axe est (note du premier pôle − note du second pôle) / 4, soit une valeur de −1 à +1. Si une réponse manque, la coordonnée est absente et cet axe ne déplace pas le monde. Une position centrale peut résulter de deux adhésions fortes et opposées ; elle reste centrale dans la simulation. Aucune « conviction » supplémentaire n’est multipliée à la coordonnée : son amplitude porte déjà l’intensité du déplacement. Les réponses individuelles peuvent être effacées après conversion ; seules les coordonnées retenues servent à l’œuvre.</w:t>
      </w:r>
      <w:r/>
      <w:r>
        <w:rPr>
          <w:bCs/>
          <w:b/>
        </w:rPr>
      </w:r>
      <w:r/>
      <w:r/>
      <w:r/>
      <w:r>
        <w:rPr>
          <w:bCs/>
          <w:b/>
        </w:rPr>
      </w:r>
      <w:r/>
      <w:r/>
    </w:p>
    <w:p>
      <w:pPr>
        <w:pStyle w:val="BodyText"/>
      </w:pPr>
      <w:r>
        <w:t>Deux principes d’écriture guident cette version de travail :</w:t>
      </w:r>
    </w:p>
    <w:p>
      <w:pPr>
        <w:numPr>
          <w:ilvl w:val="0"/>
          <w:numId w:val="1001"/>
        </w:numPr>
      </w:pPr>
      <w:r>
        <w:rPr>
          <w:bCs/>
          <w:b/>
        </w:rPr>
        <w:t>Obliquité. Les six axes ne sont pas montrés au visiteur. Les situations invitent à une réaction située plutôt qu’à déclarer une position générale sur la technologie ; chaque question est affectée à un seul pôle dans la table de travail.</w:t>
      </w:r>
      <w:r/>
      <w:r/>
    </w:p>
    <w:p>
      <w:pPr>
        <w:numPr>
          <w:ilvl w:val="0"/>
          <w:numId w:val="1001"/>
        </w:numPr>
      </w:pPr>
      <w:r>
        <w:rPr>
          <w:bCs/>
          <w:b/>
        </w:rPr>
        <w:t>Situation. Les questions partent d’une bibliothèque, d’un quartier, d’une création, d’une usine ou d’un outil : elles abordent société et technologie de biais, sans alternative imposée entre plusieurs opinions.</w:t>
      </w:r>
      <w:r/>
      <w:r/>
    </w:p>
    <w:p>
      <w:pPr>
        <w:pStyle w:val="FirstParagraph"/>
      </w:pPr>
      <w:r>
        <w:t xml:space="preserve">La phrase libre est écrite, jamais analysée, et n’alimente que le monde sonore.</w:t>
      </w:r>
    </w:p>
    <w:bookmarkEnd w:id="21"/>
    <w:bookmarkStart w:id="22" w:name="les-six-axes"/>
    <w:p>
      <w:pPr>
        <w:pStyle w:val="Heading2"/>
      </w:pPr>
      <w:r>
        <w:t xml:space="preserve">3. Les six axes</w:t>
      </w:r>
    </w:p>
    <w:p>
      <w:pPr>
        <w:numPr>
          <w:ilvl w:val="0"/>
          <w:numId w:val="1002"/>
        </w:numPr>
      </w:pPr>
      <w:r>
        <w:rPr>
          <w:bCs/>
          <w:b/>
        </w:rPr>
        <w:t xml:space="preserve">Confiance / méfiance</w:t>
      </w:r>
      <w:r>
        <w:t xml:space="preserve"> </w:t>
      </w:r>
      <w:r>
        <w:t xml:space="preserve">— porte sur la couleur et la lumière.</w:t>
      </w:r>
    </w:p>
    <w:p>
      <w:pPr>
        <w:numPr>
          <w:ilvl w:val="0"/>
          <w:numId w:val="1002"/>
        </w:numPr>
      </w:pPr>
      <w:r>
        <w:rPr>
          <w:bCs/>
          <w:b/>
        </w:rPr>
        <w:t xml:space="preserve">Sérénité / inquiétude</w:t>
      </w:r>
      <w:r>
        <w:t xml:space="preserve"> </w:t>
      </w:r>
      <w:r>
        <w:t xml:space="preserve">— porte sur l’agitation du mouvement.</w:t>
      </w:r>
    </w:p>
    <w:p>
      <w:pPr>
        <w:numPr>
          <w:ilvl w:val="0"/>
          <w:numId w:val="1002"/>
        </w:numPr>
      </w:pPr>
      <w:r>
        <w:rPr>
          <w:bCs/>
          <w:b/>
        </w:rPr>
        <w:t xml:space="preserve">Lien / isolement</w:t>
      </w:r>
      <w:r>
        <w:t xml:space="preserve"> </w:t>
      </w:r>
      <w:r>
        <w:t xml:space="preserve">— porte sur la grégarité des entités.</w:t>
      </w:r>
    </w:p>
    <w:p>
      <w:pPr>
        <w:numPr>
          <w:ilvl w:val="0"/>
          <w:numId w:val="1002"/>
        </w:numPr>
      </w:pPr>
      <w:r>
        <w:rPr>
          <w:bCs/>
          <w:b/>
        </w:rPr>
        <w:t xml:space="preserve">Don / dépossession</w:t>
      </w:r>
      <w:r>
        <w:t xml:space="preserve"> </w:t>
      </w:r>
      <w:r>
        <w:t xml:space="preserve">— porte sur l’économie de la matière.</w:t>
      </w:r>
    </w:p>
    <w:p>
      <w:pPr>
        <w:numPr>
          <w:ilvl w:val="0"/>
          <w:numId w:val="1002"/>
        </w:numPr>
      </w:pPr>
      <w:r>
        <w:rPr>
          <w:bCs/>
          <w:b/>
        </w:rPr>
        <w:t>Passé / futur — porte sur la mémoire de la toile.</w:t>
      </w:r>
      <w:r/>
      <w:r/>
    </w:p>
    <w:p>
      <w:pPr>
        <w:numPr>
          <w:ilvl w:val="0"/>
          <w:numId w:val="1002"/>
        </w:numPr>
      </w:pPr>
      <w:r>
        <w:rPr>
          <w:bCs/>
          <w:b/>
        </w:rPr>
        <w:t xml:space="preserve">Concret / abstrait</w:t>
      </w:r>
      <w:r>
        <w:t xml:space="preserve"> </w:t>
      </w:r>
      <w:r>
        <w:t xml:space="preserve">— porte sur la facture de la marque.</w:t>
      </w:r>
    </w:p>
    <w:p>
      <w:pPr>
        <w:pStyle w:val="FirstParagraph"/>
      </w:pPr>
      <w:r>
        <w:t>Le quatrième axe est celui du titre. Sur le cinquième, une position vers le passé allonge la mémoire de la toile ; une position vers le futur la raccourcit. Cette interprétation est artistique, non psychologique.</w:t>
      </w:r>
    </w:p>
    <w:bookmarkEnd w:id="22"/>
    <w:bookmarkStart w:id="23" w:name="la-table-de-correspondance"/>
    <w:p>
      <w:pPr>
        <w:pStyle w:val="Heading2"/>
      </w:pPr>
      <w:r>
        <w:t xml:space="preserve">4. La table de correspondance</w:t>
      </w:r>
    </w:p>
    <w:p>
      <w:pPr>
        <w:pStyle w:val="FirstParagraph"/>
      </w:pPr>
      <w:r>
        <w:t>La table est fournie séparément en JSON. Les paramètres numériques portent les noms du prototype tissage-v15 ; les directives de couleur et de lumière restent des intentions plastiques à traduire en réglages opérationnels. Le JSON définit un projet de correspondance : son application automatique au prototype n’est pas encore intégrée. Il comporte trois blocs.</w:t>
      </w:r>
    </w:p>
    <w:p>
      <w:pPr>
        <w:pStyle w:val="BodyText"/>
      </w:pPr>
      <w:r>
        <w:rPr>
          <w:bCs/>
          <w:b/>
        </w:rPr>
        <w:t xml:space="preserve">L’état initial.</w:t>
      </w:r>
      <w:r>
        <w:t xml:space="preserve"> </w:t>
      </w:r>
      <w:r>
        <w:t xml:space="preserve">La configuration « Peau », organique et sans angle droit, sert d’origine et de point de rappel.</w:t>
      </w:r>
    </w:p>
    <w:p>
      <w:pPr>
        <w:pStyle w:val="BodyText"/>
      </w:pPr>
      <w:r>
        <w:rPr>
          <w:bCs/>
          <w:b/>
        </w:rPr>
        <w:t xml:space="preserve">L’empreinte.</w:t>
      </w:r>
      <w:r>
        <w:t xml:space="preserve"> </w:t>
      </w:r>
      <w:r>
        <w:t xml:space="preserve">Un effet commun à toute contribution, quel qu’en soit son contenu : la présence humaine durcit la géométrie d’un cran. L’inscription des arcs baisse, le module grandit, le grain du papier s’efface, les bords des taches se font nets ; à des seuils fixes, la trame passe de douze directions à huit, puis six, puis quatre, et les formes se calent sur la grille.</w:t>
      </w:r>
      <w:r>
        <w:t xml:space="preserve"> </w:t>
      </w:r>
      <w:r>
        <w:rPr>
          <w:bCs/>
          <w:b/>
        </w:rPr>
        <w:t xml:space="preserve">Ce terme n’est pas soumis au rappel : c’est un cliquet.</w:t>
      </w:r>
      <w:r>
        <w:t xml:space="preserve"> </w:t>
      </w:r>
      <w:r>
        <w:t xml:space="preserve">Le monde ne redevient pas vierge.</w:t>
      </w:r>
    </w:p>
    <w:p>
      <w:pPr>
        <w:pStyle w:val="BodyText"/>
      </w:pPr>
      <w:r>
        <w:rPr>
          <w:bCs/>
          <w:b/>
        </w:rPr>
        <w:t xml:space="preserve">Les axes.</w:t>
      </w:r>
      <w:r>
        <w:t xml:space="preserve"> </w:t>
      </w:r>
      <w:r>
        <w:t xml:space="preserve">Ils ne décident pas si le monde s’artificialise, mais de quelle manière. Chaque axe porte une liste de paramètres et un coefficient, exprimé en fraction de la demi-bande de dérive du paramètre. Un coefficient nul signifie simplement que l’axe n’agit pas sur ce paramètre : il n’y a pas de sous-ensembles à maintenir, une seule liste et une matrice creuse.</w:t>
      </w:r>
    </w:p>
    <w:bookmarkEnd w:id="23"/>
    <w:bookmarkStart w:id="24" w:name="dynamique"/>
    <w:p>
      <w:pPr>
        <w:pStyle w:val="Heading2"/>
      </w:pPr>
      <w:r>
        <w:t xml:space="preserve">5. Dynamique</w:t>
      </w:r>
    </w:p>
    <w:p>
      <w:pPr>
        <w:pStyle w:val="FirstParagraph"/>
      </w:pPr>
      <w:r>
        <w:t xml:space="preserve">À chaque contribution, pour chaque paramètre déplaçable :</w:t>
      </w:r>
    </w:p>
    <w:p>
      <w:pPr>
        <w:pStyle w:val="SourceCode"/>
      </w:pPr>
      <w:r>
        <w:rPr>
          <w:rStyle w:val="VerbatimChar"/>
        </w:rPr>
        <w:t>valeur += coefficient × position_de_l’axe × demi_bande</w:t>
        <w:br/>
        <w:t>valeur += 0,02 × (valeur_initiale − valeur)</w:t>
      </w:r>
      <w:r/>
      <w:r>
        <w:rPr>
          <w:rStyle w:val="VerbatimChar"/>
        </w:rPr>
      </w:r>
    </w:p>
    <w:p>
      <w:pPr>
        <w:pStyle w:val="FirstParagraph"/>
      </w:pPr>
      <w:r>
        <w:t xml:space="preserve">Le second terme est le rappel. Il ne s’applique pas aux paramètres de l’empreinte.</w:t>
      </w:r>
    </w:p>
    <w:p>
      <w:pPr>
        <w:pStyle w:val="BodyText"/>
      </w:pPr>
      <w:r>
        <w:t xml:space="preserve">Les bornes sont</w:t>
      </w:r>
      <w:r>
        <w:t xml:space="preserve"> </w:t>
      </w:r>
      <w:r>
        <w:rPr>
          <w:bCs/>
          <w:b/>
        </w:rPr>
        <w:t xml:space="preserve">réfléchissantes</w:t>
      </w:r>
      <w:r>
        <w:t xml:space="preserve"> </w:t>
      </w:r>
      <w:r>
        <w:t xml:space="preserve">et non écrêtantes : un déplacement qui dépasserait une borne rebondit. Sans cela, après quelques centaines de contributions, la moitié des paramètres se retrouveraient collés aux extrêmes et le monde se figerait.</w:t>
      </w:r>
    </w:p>
    <w:p>
      <w:pPr>
        <w:pStyle w:val="BodyText"/>
      </w:pPr>
      <w:r>
        <w:t>Le calibrage de travail — coefficients numériques généralement de l’ordre de 1 à 2 % et rappel à 2 % — vise les comportements suivants, à vérifier par des séries de contributions simulées :</w:t>
      </w:r>
    </w:p>
    <w:p>
      <w:pPr>
        <w:numPr>
          <w:ilvl w:val="0"/>
          <w:numId w:val="1003"/>
        </w:numPr>
      </w:pPr>
      <w:r>
        <w:t>un public exprimant des positions répétées sur un axe peut déplacer durablement les paramètres correspondants ;</w:t>
      </w:r>
    </w:p>
    <w:p>
      <w:pPr>
        <w:numPr>
          <w:ilvl w:val="0"/>
          <w:numId w:val="1003"/>
        </w:numPr>
      </w:pPr>
      <w:r>
        <w:t>des positions opposées peuvent se compenser progressivement, sans imposer une correction esthétique ;</w:t>
      </w:r>
    </w:p>
    <w:p>
      <w:pPr>
        <w:numPr>
          <w:ilvl w:val="0"/>
          <w:numId w:val="1003"/>
        </w:numPr>
      </w:pPr>
      <w:r>
        <w:t>l’influence d’une contribution isolée s’atténue au fil des contributions suivantes.</w:t>
      </w:r>
    </w:p>
    <w:p>
      <w:pPr>
        <w:pStyle w:val="FirstParagraph"/>
      </w:pPr>
      <w:r>
        <w:t>Le rappel agit vers les valeurs paramétriques initiales, sans choisir après coup une image jugée belle. Le collectif l’emporte sur l’individu par l’accumulation et l’atténuation des effets.</w:t>
      </w:r>
    </w:p>
    <w:bookmarkEnd w:id="24"/>
    <w:bookmarkStart w:id="25" w:name="bandes-de-dérive"/>
    <w:p>
      <w:pPr>
        <w:pStyle w:val="Heading2"/>
      </w:pPr>
      <w:r>
        <w:t xml:space="preserve">6. Bandes de dérive</w:t>
      </w:r>
    </w:p>
    <w:p>
      <w:pPr>
        <w:pStyle w:val="FirstParagraph"/>
      </w:pPr>
      <w:r>
        <w:t>Chaque paramètre numérique déplaçable est associé à une bande de dérive distincte de l’amplitude totale de son curseur. La table comporte 74 bandes. Les trois bandes de arcFit, traceAlpha et blobEdge ont été élargies juste assez pour inclure les valeurs de l’état initial ; la viabilité esthétique de l’ensemble des plages reste à tester.</w:t>
      </w:r>
    </w:p>
    <w:p>
      <w:pPr>
        <w:pStyle w:val="BodyText"/>
      </w:pPr>
      <w:r>
        <w:t>Les bandes seront ensuite recalibrées à partir des configurations de référence des auteurs et de tests visuels : inclure une configuration initiale ne suffit pas à garantir que chaque combinaison atteignable produira une image tenable.</w:t>
      </w:r>
    </w:p>
    <w:bookmarkEnd w:id="25"/>
    <w:bookmarkStart w:id="26" w:name="archive"/>
    <w:p>
      <w:pPr>
        <w:pStyle w:val="Heading2"/>
      </w:pPr>
      <w:r>
        <w:t xml:space="preserve">7. Archive</w:t>
      </w:r>
    </w:p>
    <w:p>
      <w:pPr>
        <w:pStyle w:val="FirstParagraph"/>
      </w:pPr>
      <w:r>
        <w:t xml:space="preserve">Une capture de l’image est faite à chaque déplacement du monde, c’est-à-dire après chaque contribution, et conservée avec le jeu de paramètres qui l’a produite. L’archive n’est donc pas une collection d’images mais une</w:t>
      </w:r>
      <w:r>
        <w:t xml:space="preserve"> </w:t>
      </w:r>
      <w:r>
        <w:rPr>
          <w:bCs/>
          <w:b/>
        </w:rPr>
        <w:t xml:space="preserve">trajectoire</w:t>
      </w:r>
      <w:r>
        <w:t xml:space="preserve"> </w:t>
      </w:r>
      <w:r>
        <w:t xml:space="preserve">: elle peut être rejouée, et remontée en mosaïque comme œuvre autonome. C’est cette mosaïque qui subsiste après l’exposition. L’œuvre vivante, elle, est éphémère.</w:t>
      </w:r>
    </w:p>
    <w:bookmarkEnd w:id="26"/>
    <w:bookmarkStart w:id="27" w:name="matériel-et-logiciel"/>
    <w:p>
      <w:pPr>
        <w:pStyle w:val="Heading2"/>
      </w:pPr>
      <w:r>
        <w:t xml:space="preserve">8. Matériel et logiciel</w:t>
      </w:r>
    </w:p>
    <w:p>
      <w:pPr>
        <w:numPr>
          <w:ilvl w:val="0"/>
          <w:numId w:val="1004"/>
        </w:numPr>
      </w:pPr>
      <w:r>
        <w:rPr>
          <w:bCs/>
          <w:b/>
        </w:rPr>
        <w:t xml:space="preserve">Cabine</w:t>
      </w:r>
      <w:r>
        <w:t xml:space="preserve"> </w:t>
      </w:r>
      <w:r>
        <w:t xml:space="preserve">— tablette tactile pour le questionnaire, écran distinct pour la présence numérique.</w:t>
      </w:r>
    </w:p>
    <w:p>
      <w:pPr>
        <w:numPr>
          <w:ilvl w:val="0"/>
          <w:numId w:val="1004"/>
        </w:numPr>
      </w:pPr>
      <w:r>
        <w:rPr>
          <w:bCs/>
          <w:b/>
        </w:rPr>
        <w:t xml:space="preserve">Calcul</w:t>
      </w:r>
      <w:r>
        <w:t xml:space="preserve"> </w:t>
      </w:r>
      <w:r>
        <w:t xml:space="preserve">— une machine unique dans la salle, prêt attendu.</w:t>
      </w:r>
    </w:p>
    <w:p>
      <w:pPr>
        <w:numPr>
          <w:ilvl w:val="0"/>
          <w:numId w:val="1004"/>
        </w:numPr>
      </w:pPr>
      <w:r>
        <w:rPr>
          <w:bCs/>
          <w:b/>
        </w:rPr>
        <w:t xml:space="preserve">Rendu</w:t>
      </w:r>
      <w:r>
        <w:t xml:space="preserve"> </w:t>
      </w:r>
      <w:r>
        <w:t xml:space="preserve">— générateur en HTML et JavaScript, sans dépendance, fonctionne hors ligne dans un navigateur.</w:t>
      </w:r>
    </w:p>
    <w:p>
      <w:pPr>
        <w:numPr>
          <w:ilvl w:val="0"/>
          <w:numId w:val="1004"/>
        </w:numPr>
      </w:pPr>
      <w:r>
        <w:rPr>
          <w:bCs/>
          <w:b/>
        </w:rPr>
        <w:t xml:space="preserve">Voix</w:t>
      </w:r>
      <w:r>
        <w:t xml:space="preserve"> </w:t>
      </w:r>
      <w:r>
        <w:t xml:space="preserve">— synthèse vocale locale, libre et gratuite : aucun appel distant, aucun coût récurrent.</w:t>
      </w:r>
    </w:p>
    <w:p>
      <w:pPr>
        <w:numPr>
          <w:ilvl w:val="0"/>
          <w:numId w:val="1004"/>
        </w:numPr>
      </w:pPr>
      <w:r>
        <w:rPr>
          <w:bCs/>
          <w:b/>
        </w:rPr>
        <w:t xml:space="preserve">Son</w:t>
      </w:r>
      <w:r>
        <w:t xml:space="preserve"> </w:t>
      </w:r>
      <w:r>
        <w:t xml:space="preserve">— traitement et diffusion via l’installation de la galerie ; architecture à arbitrer au prototypage.</w:t>
      </w:r>
    </w:p>
    <w:p>
      <w:pPr>
        <w:numPr>
          <w:ilvl w:val="0"/>
          <w:numId w:val="1004"/>
        </w:numPr>
      </w:pPr>
      <w:r>
        <w:rPr>
          <w:bCs/>
          <w:b/>
        </w:rPr>
        <w:t xml:space="preserve">Réseau</w:t>
      </w:r>
      <w:r>
        <w:t xml:space="preserve"> </w:t>
      </w:r>
      <w:r>
        <w:t xml:space="preserve">— aucun. La contrainte est assumée, elle fonde le § 3.9 du dossier.</w:t>
      </w:r>
    </w:p>
    <w:p>
      <w:pPr>
        <w:numPr>
          <w:ilvl w:val="0"/>
          <w:numId w:val="1004"/>
        </w:numPr>
      </w:pPr>
      <w:r>
        <w:rPr>
          <w:bCs/>
          <w:b/>
        </w:rPr>
        <w:t>Données prévues après validation — jusqu’à six coordonnées (une valeur absente si une paire est incomplète) et une phrase libre ; les réponses détaillées ne sont pas destinées à être archivées. Sans nom ni identifiant nominatif. Les captures visuelles et jeux de paramètres font l’objet d’une archive distincte. Les effets déjà mêlés au monde ne peuvent être effacés individuellement ; l’information préalable et la procédure sur les éléments encore individualisables restent à arrêter avant l’ouverture.</w:t>
      </w:r>
      <w:r/>
      <w:r/>
    </w:p>
    <w:bookmarkEnd w:id="27"/>
    <w:bookmarkStart w:id="28" w:name="ce-qui-reste-ouvert"/>
    <w:p>
      <w:pPr>
        <w:pStyle w:val="Heading2"/>
      </w:pPr>
      <w:r>
        <w:t xml:space="preserve">9. Ce qui reste ouvert</w:t>
      </w:r>
    </w:p>
    <w:p>
      <w:pPr>
        <w:numPr>
          <w:ilvl w:val="0"/>
          <w:numId w:val="1005"/>
        </w:numPr>
      </w:pPr>
      <w:r>
        <w:t>Tester et ajuster les formulations des douze questions de travail. Les six paires et le calcul de position sont fixés pour la version du dossier.</w:t>
      </w:r>
    </w:p>
    <w:p>
      <w:pPr>
        <w:numPr>
          <w:ilvl w:val="0"/>
          <w:numId w:val="1005"/>
        </w:numPr>
      </w:pPr>
      <w:r>
        <w:t xml:space="preserve">L’export JSON des configurations de référence, et le recalibrage des bandes qui s’ensuit.</w:t>
      </w:r>
    </w:p>
    <w:p>
      <w:pPr>
        <w:numPr>
          <w:ilvl w:val="0"/>
          <w:numId w:val="1005"/>
        </w:numPr>
      </w:pPr>
      <w:r>
        <w:t xml:space="preserve">Le réglage fin des coefficients, à valider en rejouant des séries de témoignages fictifs avant l’exposition.</w:t>
      </w:r>
    </w:p>
    <w:p>
      <w:pPr>
        <w:numPr>
          <w:ilvl w:val="0"/>
          <w:numId w:val="1005"/>
        </w:numPr>
      </w:pPr>
      <w:r>
        <w:t xml:space="preserve">Le choix de la synthèse vocale et du traitement sonore qui l’accompagne.</w:t>
      </w:r>
    </w:p>
    <w:p>
      <w:pPr>
        <w:numPr>
          <w:ilvl w:val="0"/>
          <w:numId w:val="1005"/>
        </w:numPr>
      </w:pPr>
      <w:r>
        <w:t>Le format des captures et la politique de conservation de l’archive (principe retenu : une capture après chaque contribution).</w:t>
      </w:r>
    </w:p>
    <w:bookmarkEnd w:id="28"/>
    <w:bookmarkEnd w:id="29"/>
    <w:sectPr>
      <w:footerReference r:id="rId9" w:type="default"/>
      <w:pgSz w:h="15840" w:orient="portrait" w:w="12240"/>
      <w:pgMar w:bottom="964" w:footer="720" w:header="720" w:left="1134" w:right="1134" w:top="964"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Offrir-Magnifier / Voler-Exploiter — Annexe technique — version 2</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360"/>
      </w:pPr>
      <w:rPr>
        <w:rFonts w:ascii="Noto Sans Symbols" w:cs="Noto Sans Symbols" w:eastAsia="Noto Sans Symbols" w:hAnsi="Noto Sans Symbols"/>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efaultTabStop w:val="720"/>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ptos" w:cs="Aptos" w:eastAsia="Aptos" w:hAnsi="Aptos"/>
        <w:sz w:val="21"/>
        <w:szCs w:val="21"/>
        <w:lang w:val="en"/>
      </w:rPr>
    </w:rPrDefault>
    <w:pPrDefault>
      <w:pPr>
        <w:spacing w:after="100" w:line="259"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260" w:lineRule="auto"/>
    </w:pPr>
    <w:rPr>
      <w:rFonts w:ascii="Play" w:cs="Play" w:eastAsia="Play" w:hAnsi="Play"/>
      <w:b w:val="1"/>
      <w:bCs w:val="1"/>
      <w:color w:val="181818"/>
      <w:sz w:val="30"/>
      <w:szCs w:val="30"/>
    </w:rPr>
  </w:style>
  <w:style w:styleId="Heading2" w:type="paragraph">
    <w:name w:val="heading 2"/>
    <w:basedOn w:val="Normal"/>
    <w:next w:val="Normal"/>
    <w:pPr>
      <w:keepNext w:val="1"/>
      <w:keepLines w:val="1"/>
      <w:spacing w:after="80" w:before="160" w:lineRule="auto"/>
    </w:pPr>
    <w:rPr>
      <w:rFonts w:ascii="Play" w:cs="Play" w:eastAsia="Play" w:hAnsi="Play"/>
      <w:b w:val="1"/>
      <w:bCs w:val="1"/>
      <w:color w:val="181818"/>
      <w:sz w:val="23"/>
      <w:szCs w:val="23"/>
    </w:rPr>
  </w:style>
  <w:style w:styleId="Heading3" w:type="paragraph">
    <w:name w:val="heading 3"/>
    <w:basedOn w:val="Normal"/>
    <w:next w:val="Normal"/>
    <w:pPr>
      <w:keepNext w:val="1"/>
      <w:keepLines w:val="1"/>
      <w:spacing w:after="60" w:before="120" w:lineRule="auto"/>
    </w:pPr>
    <w:rPr>
      <w:rFonts w:ascii="Play" w:cs="Play" w:eastAsia="Play" w:hAnsi="Play"/>
      <w:b w:val="1"/>
      <w:bCs w:val="1"/>
      <w:color w:val="181818"/>
      <w:sz w:val="21"/>
      <w:szCs w:val="21"/>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pBdr>
        <w:bottom w:color="4f81bd" w:space="4" w:sz="8" w:val="single"/>
      </w:pBdr>
      <w:spacing w:after="160" w:before="0" w:line="240" w:lineRule="auto"/>
    </w:pPr>
    <w:rPr>
      <w:rFonts w:ascii="Play" w:cs="Play" w:eastAsia="Play" w:hAnsi="Play"/>
      <w:b w:val="1"/>
      <w:bCs w:val="1"/>
      <w:color w:val="181818"/>
      <w:sz w:val="48"/>
      <w:szCs w:val="48"/>
    </w:r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4"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5"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6"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7"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Id="rId9" Target="footer1.xml" Type="http://schemas.openxmlformats.org/officeDocument/2006/relationships/footer"/></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2026-09-16T15:08:16Z</dcterms:created>
  <dcterms:modified xsi:type="dcterms:W3CDTF">2026-09-16T15:08:16Z</dcterms:modified>
</cp:coreProperties>
</file>

<file path=docProps/custom.xml><?xml version="1.0" encoding="utf-8"?>
<Properties xmlns="http://schemas.openxmlformats.org/officeDocument/2006/custom-properties" xmlns:vt="http://schemas.openxmlformats.org/officeDocument/2006/docPropsVTypes"/>
</file>