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drawing>
          <wp:inline distB="0" distT="0" distL="114300" distR="114300">
            <wp:extent cx="2664000" cy="160279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64000" cy="1602791"/>
                    </a:xfrm>
                    <a:prstGeom prst="rect"/>
                    <a:ln/>
                  </pic:spPr>
                </pic:pic>
              </a:graphicData>
            </a:graphic>
          </wp:inline>
        </w:drawing>
      </w:r>
      <w:r>
        <w:rPr>
          <w:rtl w:val="0"/>
        </w:rPr>
      </w:r>
    </w:p>
    <w:p w:rsidR="00000000" w:rsidDel="00000000" w:rsidP="00000000" w:rsidRDefault="00000000" w:rsidRPr="00000000" w14:paraId="00000002">
      <w:pPr>
        <w:jc w:val="center"/>
        <w:rPr/>
      </w:pPr>
      <w:r>
        <w:rPr>
          <w:b w:val="1"/>
          <w:bCs w:val="1"/>
          <w:color w:val="5a5a5a"/>
          <w:sz w:val="21"/>
          <w:szCs w:val="21"/>
          <w:rtl w:val="0"/>
        </w:rPr>
        <w:t xml:space="preserve">APPEL À PROJETS ARTS NUMÉRIQUES 2026</w:t>
      </w:r>
      <w:r>
        <w:rPr>
          <w:rtl w:val="0"/>
        </w:rPr>
      </w:r>
    </w:p>
    <w:p w:rsidR="00000000" w:rsidDel="00000000" w:rsidP="00000000" w:rsidRDefault="00000000" w:rsidRPr="00000000" w14:paraId="00000003">
      <w:pPr>
        <w:pStyle w:val="Title"/>
        <w:jc w:val="center"/>
        <w:rPr/>
      </w:pPr>
      <w:r>
        <w:rPr>
          <w:rtl w:val="0"/>
        </w:rPr>
        <w:t xml:space="preserve">OFFRIR-MAGNIFIER / VOLER-EXPLOITER</w:t>
      </w:r>
    </w:p>
    <w:p w:rsidR="00000000" w:rsidDel="00000000" w:rsidP="00000000" w:rsidRDefault="00000000" w:rsidRPr="00000000" w14:paraId="00000004">
      <w:pPr>
        <w:jc w:val="center"/>
        <w:rPr/>
      </w:pPr>
      <w:r>
        <w:rPr>
          <w:i w:val="1"/>
          <w:iCs w:val="1"/>
          <w:color w:val="5a5a5a"/>
          <w:sz w:val="25"/>
          <w:szCs w:val="25"/>
          <w:rtl w:val="0"/>
        </w:rPr>
        <w:t>Dossier de candidature — Version 4 consolidée</w:t>
      </w:r>
      <w:r>
        <w:rPr>
          <w:rtl w:val="0"/>
        </w:rPr>
      </w:r>
    </w:p>
    <w:p w:rsidR="00000000" w:rsidDel="00000000" w:rsidP="00000000" w:rsidRDefault="00000000" w:rsidRPr="00000000" w14:paraId="00000005">
      <w:pPr>
        <w:rPr/>
      </w:pPr>
      <w:r>
        <w:rPr>
          <w:rtl w:val="0"/>
        </w:rPr>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1"/>
          <w:tblHeader w:val="0"/>
        </w:trPr>
        <w:tc>
          <w:tcPr>
            <w:shd w:fill="f6f6f6" w:val="clear"/>
            <w:tcMar>
              <w:top w:w="110.0" w:type="dxa"/>
              <w:bottom w:w="110.0" w:type="dxa"/>
            </w:tcMar>
          </w:tcPr>
          <w:p w:rsidR="00000000" w:rsidDel="00000000" w:rsidP="00000000" w:rsidRDefault="00000000" w:rsidRPr="00000000" w14:paraId="00000006">
            <w:pPr>
              <w:rPr/>
            </w:pPr>
            <w:r>
              <w:rPr>
                <w:b w:val="1"/>
                <w:bCs w:val="1"/>
                <w:rtl w:val="0"/>
              </w:rPr>
              <w:t xml:space="preserve">Opérateur</w:t>
            </w:r>
            <w:r>
              <w:rPr>
                <w:rtl w:val="0"/>
              </w:rPr>
            </w:r>
          </w:p>
        </w:tc>
        <w:tc>
          <w:tcPr>
            <w:shd w:fill="f6f6f6" w:val="clear"/>
            <w:tcMar>
              <w:top w:w="110.0" w:type="dxa"/>
              <w:bottom w:w="110.0" w:type="dxa"/>
            </w:tcMar>
          </w:tcPr>
          <w:p w:rsidR="00000000" w:rsidDel="00000000" w:rsidP="00000000" w:rsidRDefault="00000000" w:rsidRPr="00000000" w14:paraId="00000007">
            <w:pPr>
              <w:rPr/>
            </w:pPr>
            <w:r>
              <w:rPr>
                <w:rtl w:val="0"/>
              </w:rPr>
              <w:t xml:space="preserve">ASBL "La Galerie Du Livre Et de l'Étrange Théâtre"</w:t>
            </w:r>
          </w:p>
        </w:tc>
      </w:tr>
      <w:tr>
        <w:trPr>
          <w:cantSplit w:val="1"/>
          <w:tblHeader w:val="0"/>
        </w:trPr>
        <w:tc>
          <w:tcPr>
            <w:tcMar>
              <w:top w:w="110.0" w:type="dxa"/>
              <w:bottom w:w="110.0" w:type="dxa"/>
            </w:tcMar>
          </w:tcPr>
          <w:p w:rsidR="00000000" w:rsidDel="00000000" w:rsidP="00000000" w:rsidRDefault="00000000" w:rsidRPr="00000000" w14:paraId="00000008">
            <w:pPr>
              <w:rPr/>
            </w:pPr>
            <w:r>
              <w:rPr>
                <w:b w:val="1"/>
                <w:bCs w:val="1"/>
                <w:rtl w:val="0"/>
              </w:rPr>
              <w:t xml:space="preserve">Chef de projet / auteur principal</w:t>
            </w:r>
            <w:r>
              <w:rPr>
                <w:rtl w:val="0"/>
              </w:rPr>
            </w:r>
          </w:p>
        </w:tc>
        <w:tc>
          <w:tcPr>
            <w:tcMar>
              <w:top w:w="110.0" w:type="dxa"/>
              <w:bottom w:w="110.0" w:type="dxa"/>
            </w:tcMar>
          </w:tcPr>
          <w:p w:rsidR="00000000" w:rsidDel="00000000" w:rsidP="00000000" w:rsidRDefault="00000000" w:rsidRPr="00000000" w14:paraId="00000009">
            <w:pPr>
              <w:rPr/>
            </w:pPr>
            <w:r>
              <w:rPr>
                <w:rtl w:val="0"/>
              </w:rPr>
              <w:t xml:space="preserve">Denis Gauder</w:t>
            </w:r>
          </w:p>
        </w:tc>
      </w:tr>
      <w:tr>
        <w:trPr>
          <w:cantSplit w:val="1"/>
          <w:tblHeader w:val="0"/>
        </w:trPr>
        <w:tc>
          <w:tcPr>
            <w:shd w:fill="f6f6f6" w:val="clear"/>
            <w:tcMar>
              <w:top w:w="110.0" w:type="dxa"/>
              <w:bottom w:w="110.0" w:type="dxa"/>
            </w:tcMar>
          </w:tcPr>
          <w:p w:rsidR="00000000" w:rsidDel="00000000" w:rsidP="00000000" w:rsidRDefault="00000000" w:rsidRPr="00000000" w14:paraId="0000000A">
            <w:pPr>
              <w:rPr/>
            </w:pPr>
            <w:r>
              <w:rPr>
                <w:b w:val="1"/>
                <w:bCs w:val="1"/>
                <w:rtl w:val="0"/>
              </w:rPr>
              <w:t xml:space="preserve">Collaborateur principal</w:t>
            </w:r>
            <w:r>
              <w:rPr>
                <w:rtl w:val="0"/>
              </w:rPr>
            </w:r>
          </w:p>
        </w:tc>
        <w:tc>
          <w:tcPr>
            <w:shd w:fill="f6f6f6" w:val="clear"/>
            <w:tcMar>
              <w:top w:w="110.0" w:type="dxa"/>
              <w:bottom w:w="110.0" w:type="dxa"/>
            </w:tcMar>
          </w:tcPr>
          <w:p w:rsidR="00000000" w:rsidDel="00000000" w:rsidP="00000000" w:rsidRDefault="00000000" w:rsidRPr="00000000" w14:paraId="0000000B">
            <w:pPr>
              <w:rPr/>
            </w:pPr>
            <w:r>
              <w:rPr>
                <w:rtl w:val="0"/>
              </w:rPr>
              <w:t xml:space="preserve">Guillaume Denys</w:t>
            </w:r>
          </w:p>
        </w:tc>
      </w:tr>
      <w:tr>
        <w:trPr>
          <w:cantSplit w:val="1"/>
          <w:tblHeader w:val="0"/>
        </w:trPr>
        <w:tc>
          <w:tcPr>
            <w:tcMar>
              <w:top w:w="110.0" w:type="dxa"/>
              <w:bottom w:w="110.0" w:type="dxa"/>
            </w:tcMar>
          </w:tcPr>
          <w:p w:rsidR="00000000" w:rsidDel="00000000" w:rsidP="00000000" w:rsidRDefault="00000000" w:rsidRPr="00000000" w14:paraId="0000000C">
            <w:pPr>
              <w:rPr/>
            </w:pPr>
            <w:r>
              <w:rPr>
                <w:b w:val="1"/>
                <w:bCs w:val="1"/>
                <w:rtl w:val="0"/>
              </w:rPr>
              <w:t xml:space="preserve">Lieu</w:t>
            </w:r>
            <w:r>
              <w:rPr>
                <w:rtl w:val="0"/>
              </w:rPr>
            </w:r>
          </w:p>
        </w:tc>
        <w:tc>
          <w:tcPr>
            <w:tcMar>
              <w:top w:w="110.0" w:type="dxa"/>
              <w:bottom w:w="110.0" w:type="dxa"/>
            </w:tcMar>
          </w:tcPr>
          <w:p w:rsidR="00000000" w:rsidDel="00000000" w:rsidP="00000000" w:rsidRDefault="00000000" w:rsidRPr="00000000" w14:paraId="0000000D">
            <w:pPr>
              <w:rPr/>
            </w:pPr>
            <w:r>
              <w:rPr>
                <w:rtl w:val="0"/>
              </w:rPr>
              <w:t xml:space="preserve">Galerie Overflow — Rue Hongrée 6, 4000 Liège</w:t>
            </w:r>
          </w:p>
        </w:tc>
      </w:tr>
      <w:tr>
        <w:trPr>
          <w:cantSplit w:val="1"/>
          <w:tblHeader w:val="0"/>
        </w:trPr>
        <w:tc>
          <w:tcPr>
            <w:shd w:fill="f6f6f6" w:val="clear"/>
            <w:tcMar>
              <w:top w:w="110.0" w:type="dxa"/>
              <w:bottom w:w="110.0" w:type="dxa"/>
            </w:tcMar>
          </w:tcPr>
          <w:p w:rsidR="00000000" w:rsidDel="00000000" w:rsidP="00000000" w:rsidRDefault="00000000" w:rsidRPr="00000000" w14:paraId="0000000E">
            <w:pPr>
              <w:rPr/>
            </w:pPr>
            <w:r>
              <w:rPr>
                <w:b w:val="1"/>
                <w:bCs w:val="1"/>
                <w:rtl w:val="0"/>
              </w:rPr>
              <w:t xml:space="preserve">Statut du lieu</w:t>
            </w:r>
            <w:r>
              <w:rPr>
                <w:rtl w:val="0"/>
              </w:rPr>
            </w:r>
          </w:p>
        </w:tc>
        <w:tc>
          <w:tcPr>
            <w:shd w:fill="f6f6f6" w:val="clear"/>
            <w:tcMar>
              <w:top w:w="110.0" w:type="dxa"/>
              <w:bottom w:w="110.0" w:type="dxa"/>
            </w:tcMar>
          </w:tcPr>
          <w:p w:rsidR="00000000" w:rsidDel="00000000" w:rsidP="00000000" w:rsidRDefault="00000000" w:rsidRPr="00000000" w14:paraId="0000000F">
            <w:pPr>
              <w:rPr/>
            </w:pPr>
            <w:r>
              <w:rPr>
                <w:rtl w:val="0"/>
              </w:rPr>
              <w:t xml:space="preserve">Accord de principe obtenu ; dates et horaires à préciser après retour du dossier</w:t>
            </w:r>
          </w:p>
        </w:tc>
      </w:tr>
    </w:tbl>
    <w:p w:rsidR="00000000" w:rsidDel="00000000" w:rsidP="00000000" w:rsidRDefault="00000000" w:rsidRPr="00000000" w14:paraId="00000010">
      <w:pPr>
        <w:rPr/>
      </w:pPr>
      <w:r>
        <w:rPr>
          <w:rtl w:val="0"/>
        </w:rPr>
      </w:r>
    </w:p>
    <w:tbl>
      <w:tblPr>
        <w:tblStyle w:val="Table2"/>
        <w:tblW w:w="9972.0" w:type="dxa"/>
        <w:jc w:val="center"/>
        <w:tblLayout w:type="fixed"/>
        <w:tblLook w:val="0400"/>
      </w:tblPr>
      <w:tblGrid>
        <w:gridCol w:w="9972"/>
        <w:tblGridChange w:id="0">
          <w:tblGrid>
            <w:gridCol w:w="9972"/>
          </w:tblGrid>
        </w:tblGridChange>
      </w:tblGrid>
      <w:tr>
        <w:trPr>
          <w:cantSplit w:val="1"/>
          <w:tblHeader w:val="0"/>
        </w:trPr>
        <w:tc>
          <w:tcPr>
            <w:shd w:fill="f2f2f2" w:val="clear"/>
            <w:tcMar>
              <w:top w:w="140.0" w:type="dxa"/>
              <w:bottom w:w="140.0" w:type="dxa"/>
            </w:tcMar>
          </w:tcPr>
          <w:p w:rsidR="00000000" w:rsidDel="00000000" w:rsidP="00000000" w:rsidRDefault="00000000" w:rsidRPr="00000000" w14:paraId="00000011">
            <w:pPr>
              <w:rPr/>
            </w:pPr>
            <w:r>
              <w:rPr>
                <w:color w:val="414141"/>
                <w:sz w:val="18"/>
                <w:szCs w:val="18"/>
                <w:rtl w:val="0"/>
              </w:rPr>
              <w:t xml:space="preserve">Version de dépôt. Elle fixe le calendrier, le budget et la scénographie, et intègre les visuels du prototype réellement développé.</w:t>
            </w:r>
            <w:r>
              <w:rPr>
                <w:rtl w:val="0"/>
              </w:rPr>
            </w:r>
          </w:p>
        </w:tc>
      </w:tr>
    </w:tbl>
    <w:p w:rsidR="00000000" w:rsidDel="00000000" w:rsidP="00000000" w:rsidRDefault="00000000" w:rsidRPr="00000000" w14:paraId="00000012">
      <w:pPr>
        <w:rPr/>
      </w:pPr>
      <w:r>
        <w:br w:type="page"/>
      </w:r>
      <w:r>
        <w:rPr>
          <w:rtl w:val="0"/>
        </w:rPr>
      </w:r>
    </w:p>
    <w:p w:rsidR="00000000" w:rsidDel="00000000" w:rsidP="00000000" w:rsidRDefault="00000000" w:rsidRPr="00000000" w14:paraId="00000013">
      <w:pPr>
        <w:pStyle w:val="Heading1"/>
        <w:rPr/>
      </w:pPr>
      <w:r>
        <w:rPr>
          <w:rtl w:val="0"/>
        </w:rPr>
        <w:t xml:space="preserve">1. Intitulé du projet</w:t>
      </w:r>
    </w:p>
    <w:p w:rsidR="00000000" w:rsidDel="00000000" w:rsidP="00000000" w:rsidRDefault="00000000" w:rsidRPr="00000000" w14:paraId="00000014">
      <w:pPr>
        <w:rPr/>
      </w:pPr>
      <w:r>
        <w:rPr>
          <w:b w:val="1"/>
          <w:bCs w:val="1"/>
          <w:sz w:val="27"/>
          <w:szCs w:val="27"/>
          <w:rtl w:val="0"/>
        </w:rPr>
        <w:t xml:space="preserve">Offrir-Magnifier / Voler-Exploiter</w:t>
      </w:r>
      <w:r>
        <w:rPr>
          <w:rtl w:val="0"/>
        </w:rPr>
      </w:r>
    </w:p>
    <w:p w:rsidR="00000000" w:rsidDel="00000000" w:rsidP="00000000" w:rsidRDefault="00000000" w:rsidRPr="00000000" w14:paraId="00000015">
      <w:pPr>
        <w:pStyle w:val="Heading1"/>
        <w:rPr/>
      </w:pPr>
      <w:r>
        <w:rPr>
          <w:rtl w:val="0"/>
        </w:rPr>
        <w:t xml:space="preserve">2. Opérateur et équipe projet</w:t>
      </w:r>
    </w:p>
    <w:p w:rsidR="00000000" w:rsidDel="00000000" w:rsidP="00000000" w:rsidRDefault="00000000" w:rsidRPr="00000000" w14:paraId="00000016">
      <w:pPr>
        <w:rPr/>
      </w:pPr>
      <w:r>
        <w:rPr>
          <w:rtl w:val="0"/>
        </w:rPr>
        <w:t xml:space="preserve">Le projet est soumis par l’ASBL "La Galerie Du Livre Et de l'Étrange Théâtre".</w:t>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1"/>
          <w:tblHeader w:val="1"/>
        </w:trPr>
        <w:tc>
          <w:tcPr>
            <w:shd w:fill="ededed" w:val="clear"/>
            <w:tcMar>
              <w:top w:w="110.0" w:type="dxa"/>
              <w:bottom w:w="110.0" w:type="dxa"/>
            </w:tcMar>
          </w:tcPr>
          <w:p w:rsidR="00000000" w:rsidDel="00000000" w:rsidP="00000000" w:rsidRDefault="00000000" w:rsidRPr="00000000" w14:paraId="00000017">
            <w:pPr>
              <w:rPr/>
            </w:pPr>
            <w:r>
              <w:rPr>
                <w:b w:val="1"/>
                <w:bCs w:val="1"/>
                <w:rtl w:val="0"/>
              </w:rPr>
              <w:t xml:space="preserve">Membre</w:t>
            </w:r>
            <w:r>
              <w:rPr>
                <w:rtl w:val="0"/>
              </w:rPr>
            </w:r>
          </w:p>
        </w:tc>
        <w:tc>
          <w:tcPr>
            <w:shd w:fill="ededed" w:val="clear"/>
            <w:tcMar>
              <w:top w:w="110.0" w:type="dxa"/>
              <w:bottom w:w="110.0" w:type="dxa"/>
            </w:tcMar>
          </w:tcPr>
          <w:p w:rsidR="00000000" w:rsidDel="00000000" w:rsidP="00000000" w:rsidRDefault="00000000" w:rsidRPr="00000000" w14:paraId="00000018">
            <w:pPr>
              <w:rPr/>
            </w:pPr>
            <w:r>
              <w:rPr>
                <w:b w:val="1"/>
                <w:bCs w:val="1"/>
                <w:rtl w:val="0"/>
              </w:rPr>
              <w:t xml:space="preserve">Rôle</w:t>
            </w:r>
            <w:r>
              <w:rPr>
                <w:rtl w:val="0"/>
              </w:rPr>
            </w:r>
          </w:p>
        </w:tc>
      </w:tr>
      <w:tr>
        <w:trPr>
          <w:cantSplit w:val="1"/>
          <w:tblHeader w:val="0"/>
        </w:trPr>
        <w:tc>
          <w:tcPr>
            <w:tcMar>
              <w:top w:w="110.0" w:type="dxa"/>
              <w:bottom w:w="110.0" w:type="dxa"/>
            </w:tcMar>
            <w:vAlign w:val="top"/>
          </w:tcPr>
          <w:p w:rsidR="00000000" w:rsidDel="00000000" w:rsidP="00000000" w:rsidRDefault="00000000" w:rsidRPr="00000000" w14:paraId="00000019">
            <w:pPr>
              <w:rPr/>
            </w:pPr>
            <w:r>
              <w:rPr>
                <w:rtl w:val="0"/>
              </w:rPr>
              <w:t xml:space="preserve">Denis Gauder</w:t>
            </w:r>
          </w:p>
        </w:tc>
        <w:tc>
          <w:tcPr>
            <w:tcMar>
              <w:top w:w="110.0" w:type="dxa"/>
              <w:bottom w:w="110.0" w:type="dxa"/>
            </w:tcMar>
            <w:vAlign w:val="top"/>
          </w:tcPr>
          <w:p w:rsidR="00000000" w:rsidDel="00000000" w:rsidP="00000000" w:rsidRDefault="00000000" w:rsidRPr="00000000" w14:paraId="0000001A">
            <w:pPr>
              <w:rPr/>
            </w:pPr>
            <w:r>
              <w:rPr>
                <w:rtl w:val="0"/>
              </w:rPr>
              <w:t xml:space="preserve">Chef de projet et auteur principal — conception, direction artistique, simulation générative, intégration générale.</w:t>
            </w:r>
          </w:p>
        </w:tc>
      </w:tr>
      <w:tr>
        <w:trPr>
          <w:cantSplit w:val="1"/>
          <w:tblHeader w:val="0"/>
        </w:trPr>
        <w:tc>
          <w:tcPr>
            <w:tcMar>
              <w:top w:w="110.0" w:type="dxa"/>
              <w:bottom w:w="110.0" w:type="dxa"/>
            </w:tcMar>
            <w:vAlign w:val="top"/>
          </w:tcPr>
          <w:p w:rsidR="00000000" w:rsidDel="00000000" w:rsidP="00000000" w:rsidRDefault="00000000" w:rsidRPr="00000000" w14:paraId="0000001B">
            <w:pPr>
              <w:rPr/>
            </w:pPr>
            <w:r>
              <w:rPr>
                <w:rtl w:val="0"/>
              </w:rPr>
              <w:t xml:space="preserve">Guillaume Denys</w:t>
            </w:r>
          </w:p>
        </w:tc>
        <w:tc>
          <w:tcPr>
            <w:tcMar>
              <w:top w:w="110.0" w:type="dxa"/>
              <w:bottom w:w="110.0" w:type="dxa"/>
            </w:tcMar>
            <w:vAlign w:val="top"/>
          </w:tcPr>
          <w:p w:rsidR="00000000" w:rsidDel="00000000" w:rsidP="00000000" w:rsidRDefault="00000000" w:rsidRPr="00000000" w14:paraId="0000001C">
            <w:pPr>
              <w:rPr/>
            </w:pPr>
            <w:r>
              <w:rPr>
                <w:rtl w:val="0"/>
              </w:rPr>
              <w:t xml:space="preserve">Collaborateur principal — développement conceptuel et artistique, regard critique et accompagnement de la mise en forme du projet.</w:t>
            </w:r>
          </w:p>
        </w:tc>
      </w:tr>
      <w:tr>
        <w:trPr>
          <w:cantSplit w:val="1"/>
          <w:tblHeader w:val="0"/>
        </w:trPr>
        <w:tc>
          <w:tcPr>
            <w:tcMar>
              <w:top w:w="110.0" w:type="dxa"/>
              <w:bottom w:w="110.0" w:type="dxa"/>
            </w:tcMar>
            <w:vAlign w:val="top"/>
          </w:tcPr>
          <w:p w:rsidR="00000000" w:rsidDel="00000000" w:rsidP="00000000" w:rsidRDefault="00000000" w:rsidRPr="00000000" w14:paraId="0000001D">
            <w:pPr>
              <w:rPr/>
            </w:pPr>
            <w:r>
              <w:rPr>
                <w:rtl w:val="0"/>
              </w:rPr>
              <w:t xml:space="preserve">Julien Hubar</w:t>
            </w:r>
          </w:p>
        </w:tc>
        <w:tc>
          <w:tcPr>
            <w:tcMar>
              <w:top w:w="110.0" w:type="dxa"/>
              <w:bottom w:w="110.0" w:type="dxa"/>
            </w:tcMar>
            <w:vAlign w:val="top"/>
          </w:tcPr>
          <w:p w:rsidR="00000000" w:rsidDel="00000000" w:rsidP="00000000" w:rsidRDefault="00000000" w:rsidRPr="00000000" w14:paraId="0000001E">
            <w:pPr>
              <w:rPr/>
            </w:pPr>
            <w:r>
              <w:rPr>
                <w:rtl w:val="0"/>
              </w:rPr>
              <w:t xml:space="preserve">Développement technique — soutien au codage et à l’intégration du dispositif interactif.</w:t>
            </w:r>
          </w:p>
        </w:tc>
      </w:tr>
      <w:tr>
        <w:trPr>
          <w:cantSplit w:val="1"/>
          <w:tblHeader w:val="0"/>
        </w:trPr>
        <w:tc>
          <w:tcPr>
            <w:tcMar>
              <w:top w:w="110.0" w:type="dxa"/>
              <w:bottom w:w="110.0" w:type="dxa"/>
            </w:tcMar>
            <w:vAlign w:val="top"/>
          </w:tcPr>
          <w:p w:rsidR="00000000" w:rsidDel="00000000" w:rsidP="00000000" w:rsidRDefault="00000000" w:rsidRPr="00000000" w14:paraId="0000001F">
            <w:pPr>
              <w:rPr/>
            </w:pPr>
            <w:r>
              <w:rPr>
                <w:rtl w:val="0"/>
              </w:rPr>
              <w:t xml:space="preserve">Edwin Joassart</w:t>
            </w:r>
          </w:p>
        </w:tc>
        <w:tc>
          <w:tcPr>
            <w:tcMar>
              <w:top w:w="110.0" w:type="dxa"/>
              <w:bottom w:w="110.0" w:type="dxa"/>
            </w:tcMar>
            <w:vAlign w:val="top"/>
          </w:tcPr>
          <w:p w:rsidR="00000000" w:rsidDel="00000000" w:rsidP="00000000" w:rsidRDefault="00000000" w:rsidRPr="00000000" w14:paraId="00000020">
            <w:pPr>
              <w:rPr/>
            </w:pPr>
            <w:r>
              <w:rPr>
                <w:rtl w:val="0"/>
              </w:rPr>
              <w:t xml:space="preserve">Conseiller artistique — accompagnement artistique, scénographique et critique.</w:t>
            </w:r>
          </w:p>
        </w:tc>
      </w:tr>
    </w:tbl>
    <w:p w:rsidR="00000000" w:rsidDel="00000000" w:rsidP="00000000" w:rsidRDefault="00000000" w:rsidRPr="00000000" w14:paraId="00000021">
      <w:pPr>
        <w:pStyle w:val="Heading1"/>
        <w:rPr/>
      </w:pPr>
      <w:r>
        <w:rPr>
          <w:rtl w:val="0"/>
        </w:rPr>
        <w:t xml:space="preserve">3. Description du projet</w:t>
      </w:r>
    </w:p>
    <w:p w:rsidR="00000000" w:rsidDel="00000000" w:rsidP="00000000" w:rsidRDefault="00000000" w:rsidRPr="00000000" w14:paraId="00000022">
      <w:pPr>
        <w:pStyle w:val="Heading2"/>
        <w:rPr/>
      </w:pPr>
      <w:r>
        <w:rPr>
          <w:rtl w:val="0"/>
        </w:rPr>
        <w:t xml:space="preserve">3.1 Description courte</w:t>
      </w:r>
    </w:p>
    <w:p w:rsidR="00000000" w:rsidDel="00000000" w:rsidP="00000000" w:rsidRDefault="00000000" w:rsidRPr="00000000" w14:paraId="00000023">
      <w:pPr>
        <w:rPr/>
      </w:pPr>
      <w:r>
        <w:rPr>
          <w:rtl w:val="0"/>
        </w:rPr>
        <w:t>Offrir-Magnifier / Voler-Exploiter est une installation numérique générative et participative qui met en tension deux façons de contribuer à un système. La première, devenue familière dans le monde numérique, consiste à laisser involontairement nos paroles, comportements et préférences être captés puis exploités. La seconde est celle que propose l’œuvre : offrir consciemment un témoignage personnel afin qu’il soit transformé, magnifié et intégré à un monde collectif qui nous dépasse. Le visiteur peut choisir de contempler ce monde ou de contribuer à sa croissance. Sa contribution donne naissance à un « enfant » numérique doté d’un comportement singulier, laisse une empreinte chromatique et alimente un paysage sonore à partir d’une phrase librement écrite. Chaque enfant rejoint ensuite les autres, interagit avec eux et participe à un tissu visuel et sonore en transformation permanente. L’œuvre devient ainsi un témoignage collectif de notre rapport contemporain à la technologie, mais un témoignage rendu vivant plutôt qu’archivé.</w:t>
      </w:r>
    </w:p>
    <w:p w:rsidR="00000000" w:rsidDel="00000000" w:rsidP="00000000" w:rsidRDefault="00000000" w:rsidRPr="00000000" w14:paraId="00000024">
      <w:pPr>
        <w:pStyle w:val="Heading2"/>
        <w:rPr/>
      </w:pPr>
      <w:r>
        <w:rPr>
          <w:rtl w:val="0"/>
        </w:rPr>
        <w:t xml:space="preserve">3.2 Intention artistique et concept central</w:t>
      </w:r>
    </w:p>
    <w:p w:rsidR="00000000" w:rsidDel="00000000" w:rsidP="00000000" w:rsidRDefault="00000000" w:rsidRPr="00000000" w14:paraId="00000025">
      <w:pPr>
        <w:rPr/>
      </w:pPr>
      <w:r>
        <w:rPr>
          <w:rtl w:val="0"/>
        </w:rPr>
        <w:t xml:space="preserve">Le point de départ du projet est une opposition volontairement frontale. Nos usages numériques quotidiens nous amènent à contribuer en permanence à des systèmes dont la finalité nous échappe souvent : nous produisons des traces, de l’attention, des préférences, des mots et des comportements qui sont captés, analysés et transformés en valeur. Le titre nomme volontairement cette logique « Voler-Exploiter » : une captation qui prélève sans acte de don explicite et transforme la contribution en ressource au bénéfice du système qui la recueille.</w:t>
      </w:r>
    </w:p>
    <w:p w:rsidR="00000000" w:rsidDel="00000000" w:rsidP="00000000" w:rsidRDefault="00000000" w:rsidRPr="00000000" w14:paraId="00000026">
      <w:pPr>
        <w:rPr/>
      </w:pPr>
      <w:r>
        <w:rPr>
          <w:rtl w:val="0"/>
        </w:rPr>
        <w:t xml:space="preserve">L’installation propose le mouvement inverse : « Offrir-Magnifier ». Le participant sait qu’il contribue, choisit ce qu’il souhaite confier et peut observer ce que son geste devient. La technologie n’est alors plus mobilisée pour extraire une valeur cachée de l’individu, mais pour transformer sa contribution en matière artistique et la faire participer à quelque chose de plus vaste que lui.</w:t>
      </w:r>
    </w:p>
    <w:p w:rsidR="00000000" w:rsidDel="00000000" w:rsidP="00000000" w:rsidRDefault="00000000" w:rsidRPr="00000000" w14:paraId="00000027">
      <w:pPr>
        <w:rPr/>
      </w:pPr>
      <w:r>
        <w:rPr>
          <w:rtl w:val="0"/>
        </w:rPr>
        <w:t xml:space="preserve">Cette proposition n’est pas technophobe. Elle cherche au contraire à remettre la technologie en perspective et à imaginer un autre contrat entre société et systèmes numériques : un rapport fondé sur le consentement, la visibilité des conséquences, le don, la transformation et la création commune. La critique et la proposition positive sont indissociables.</w:t>
      </w:r>
    </w:p>
    <w:p w:rsidR="00000000" w:rsidDel="00000000" w:rsidP="00000000" w:rsidRDefault="00000000" w:rsidRPr="00000000" w14:paraId="00000028">
      <w:pPr>
        <w:jc w:val="center"/>
        <w:rPr>
          <w:b w:val="1"/>
          <w:bCs w:val="1"/>
          <w:sz w:val="23"/>
          <w:szCs w:val="23"/>
        </w:rPr>
      </w:pPr>
      <w:r>
        <w:rPr>
          <w:b w:val="1"/>
          <w:bCs w:val="1"/>
          <w:sz w:val="23"/>
          <w:szCs w:val="23"/>
          <w:rtl w:val="0"/>
        </w:rPr>
        <w:t xml:space="preserve">Contribuer volontairement à une sublimation qui nous dépasse,</w:t>
        <w:br w:type="textWrapping"/>
        <w:t xml:space="preserve">plutôt que contribuer involontairement à un système qui nous exploite.</w:t>
      </w:r>
    </w:p>
    <w:p w:rsidR="00000000" w:rsidDel="00000000" w:rsidP="00000000" w:rsidRDefault="00000000" w:rsidRPr="00000000" w14:paraId="00000029">
      <w:pPr>
        <w:jc w:val="center"/>
        <w:rPr>
          <w:b w:val="1"/>
          <w:bCs w:val="1"/>
          <w:sz w:val="23"/>
          <w:szCs w:val="23"/>
        </w:rPr>
      </w:pPr>
      <w:r>
        <w:rPr>
          <w:b w:val="1"/>
          <w:bCs w:val="1"/>
          <w:sz w:val="23"/>
          <w:szCs w:val="23"/>
          <w:rtl w:val="0"/>
        </w:rPr>
        <w:t xml:space="preserve">L’oeuvre se réinvente en permanence et représente un témoignage vivant de notre rapport à la technologie et la société</w:t>
      </w:r>
    </w:p>
    <w:p w:rsidR="00000000" w:rsidDel="00000000" w:rsidP="00000000" w:rsidRDefault="00000000" w:rsidRPr="00000000" w14:paraId="0000002A">
      <w:pPr>
        <w:pStyle w:val="Heading2"/>
        <w:rPr/>
      </w:pPr>
      <w:r>
        <w:rPr>
          <w:rtl w:val="0"/>
        </w:rPr>
        <w:t xml:space="preserve">3.3 Une contribution qui devient témoignage collectif</w:t>
      </w:r>
    </w:p>
    <w:p w:rsidR="00000000" w:rsidDel="00000000" w:rsidP="00000000" w:rsidRDefault="00000000" w:rsidRPr="00000000" w14:paraId="0000002B">
      <w:pPr>
        <w:rPr/>
      </w:pPr>
      <w:r>
        <w:rPr>
          <w:rtl w:val="0"/>
        </w:rPr>
        <w:t>Le projet cherche moins à collecter des « données » qu’à recueillir des témoignages. Dans la cabine de contribution, une présence numérique animée accueille le visiteur et lui soumet douze courtes mises en situation portant sur notre rapport à la société et à la technologie, parfois abordée de biais. Pour chacune, il indique dans quelle mesure une réaction lui correspond sur une échelle à cinq degrés (« Pas du tout », « Pas vraiment », « Un peu », « Assez », « Tout à fait ») ; il peut passer une question. Deux questions alimentent chacun des six axes. Il peut ensuite laisser une phrase libre. Ce format tranche volontairement avec l’attendu : une intelligence artificielle qui fait parler, c’est le dispositif de captation déguisé en rencontre ; un questionnaire, c’est le dispositif de captation qui se montre. Pour une œuvre qui porte ce titre, la seconde option est la plus juste.</w:t>
      </w:r>
    </w:p>
    <w:p>
      <w:pPr>
        <w:spacing w:before="140" w:after="100"/>
      </w:pPr>
      <w:r>
        <w:rPr>
          <w:b/>
        </w:rPr>
        <w:t>Questions proposées — version de travail (12 items)</w:t>
      </w:r>
    </w:p>
    <w:p>
      <w:pPr>
        <w:keepLines/>
        <w:spacing w:before="0" w:after="80"/>
      </w:pPr>
      <w:r>
        <w:rPr>
          <w:b/>
        </w:rPr>
        <w:t xml:space="preserve">01.  </w:t>
      </w:r>
      <w:r>
        <w:t xml:space="preserve">Une bibliothèque laisse un programme choisir une partie des livres qu’elle met en avant.  </w:t>
      </w:r>
      <w:r>
        <w:rPr>
          <w:i/>
        </w:rPr>
        <w:t>Je lui laisserais volontiers une chance de me faire découvrir quelque chose.</w:t>
      </w:r>
    </w:p>
    <w:p>
      <w:pPr>
        <w:keepLines/>
        <w:spacing w:before="0" w:after="80"/>
      </w:pPr>
      <w:r>
        <w:rPr>
          <w:b/>
        </w:rPr>
        <w:t xml:space="preserve">02.  </w:t>
      </w:r>
      <w:r>
        <w:t xml:space="preserve">Une ville installe un système qui règle automatiquement la circulation. Un jour, il se trompe.  </w:t>
      </w:r>
      <w:r>
        <w:rPr>
          <w:i/>
        </w:rPr>
        <w:t>J’aurais du mal à lui faire confiance à nouveau.</w:t>
      </w:r>
    </w:p>
    <w:p>
      <w:pPr>
        <w:keepLines/>
        <w:spacing w:before="0" w:after="80"/>
      </w:pPr>
      <w:r>
        <w:rPr>
          <w:b/>
        </w:rPr>
        <w:t xml:space="preserve">03.  </w:t>
      </w:r>
      <w:r>
        <w:t xml:space="preserve">Dans un quartier, les commerces et les habitudes changent peu à peu.  </w:t>
      </w:r>
      <w:r>
        <w:rPr>
          <w:i/>
        </w:rPr>
        <w:t>Je me dis que les habitants finiront par trouver un nouvel équilibre.</w:t>
      </w:r>
    </w:p>
    <w:p>
      <w:pPr>
        <w:keepLines/>
        <w:spacing w:before="0" w:after="80"/>
      </w:pPr>
      <w:r>
        <w:rPr>
          <w:b/>
        </w:rPr>
        <w:t xml:space="preserve">04.  </w:t>
      </w:r>
      <w:r>
        <w:t xml:space="preserve">Au travail, un nouvel outil arrive alors qu’on commence à peine à maîtriser le précédent.  </w:t>
      </w:r>
      <w:r>
        <w:rPr>
          <w:i/>
        </w:rPr>
        <w:t>J’aurais envie que les choses ralentissent un peu.</w:t>
      </w:r>
    </w:p>
    <w:p>
      <w:pPr>
        <w:keepLines/>
        <w:spacing w:before="0" w:after="80"/>
      </w:pPr>
      <w:r>
        <w:rPr>
          <w:b/>
        </w:rPr>
        <w:t xml:space="preserve">05.  </w:t>
      </w:r>
      <w:r>
        <w:t xml:space="preserve">Deux amis vivent très loin l’un de l’autre. Chaque semaine, ils se retrouvent pour créer quelque chose ensemble, à distance.  </w:t>
      </w:r>
      <w:r>
        <w:rPr>
          <w:i/>
        </w:rPr>
        <w:t>J’ai le sentiment que ces moments peuvent les rapprocher.</w:t>
      </w:r>
    </w:p>
    <w:p>
      <w:pPr>
        <w:keepLines/>
        <w:spacing w:before="0" w:after="80"/>
      </w:pPr>
      <w:r>
        <w:rPr>
          <w:b/>
        </w:rPr>
        <w:t xml:space="preserve">06.  </w:t>
      </w:r>
      <w:r>
        <w:t xml:space="preserve">Dans une rue, presque tout peut désormais être commandé et livré à domicile.  </w:t>
      </w:r>
      <w:r>
        <w:rPr>
          <w:i/>
        </w:rPr>
        <w:t>Je me demande si les habitants ne perdent pas quelque chose en se croisant moins.</w:t>
      </w:r>
    </w:p>
    <w:p>
      <w:pPr>
        <w:keepLines/>
        <w:spacing w:before="0" w:after="80"/>
      </w:pPr>
      <w:r>
        <w:rPr>
          <w:b/>
        </w:rPr>
        <w:t xml:space="preserve">07.  </w:t>
      </w:r>
      <w:r>
        <w:t xml:space="preserve">Tu partages une idée. Quelqu’un que tu ne connais pas la reprend et en fait quelque chose de complètement différent.  </w:t>
      </w:r>
      <w:r>
        <w:rPr>
          <w:i/>
        </w:rPr>
        <w:t>Je serais heureux de voir mon idée prendre une vie qui m’échappe.</w:t>
      </w:r>
    </w:p>
    <w:p>
      <w:pPr>
        <w:keepLines/>
        <w:spacing w:before="0" w:after="80"/>
      </w:pPr>
      <w:r>
        <w:rPr>
          <w:b/>
        </w:rPr>
        <w:t xml:space="preserve">08.  </w:t>
      </w:r>
      <w:r>
        <w:t xml:space="preserve">Tu partages une création. Elle circule, se transforme et finit par être reprise un peu partout.  </w:t>
      </w:r>
      <w:r>
        <w:rPr>
          <w:i/>
        </w:rPr>
        <w:t>J’aurais le sentiment qu’une partie de cette création ne m’appartient plus vraiment.</w:t>
      </w:r>
    </w:p>
    <w:p>
      <w:pPr>
        <w:keepLines/>
        <w:spacing w:before="0" w:after="80"/>
      </w:pPr>
      <w:r>
        <w:rPr>
          <w:b/>
        </w:rPr>
        <w:t xml:space="preserve">09.  </w:t>
      </w:r>
      <w:r>
        <w:t xml:space="preserve">Une ancienne usine va devenir un lieu ouvert à tous. On peut en conserver certaines traces ou repartir d’une page blanche.  </w:t>
      </w:r>
      <w:r>
        <w:rPr>
          <w:i/>
        </w:rPr>
        <w:t>J’aimerais que son histoire reste visible dans ce nouveau lieu.</w:t>
      </w:r>
    </w:p>
    <w:p>
      <w:pPr>
        <w:keepLines/>
        <w:spacing w:before="0" w:after="80"/>
      </w:pPr>
      <w:r>
        <w:rPr>
          <w:b/>
        </w:rPr>
        <w:t xml:space="preserve">10.  </w:t>
      </w:r>
      <w:r>
        <w:t xml:space="preserve">On imagine une ville dans laquelle les habitants vivraient et travailleraient d’une manière encore inconnue.  </w:t>
      </w:r>
      <w:r>
        <w:rPr>
          <w:i/>
        </w:rPr>
        <w:t>L’idée de découvrir ces nouvelles façons de vivre me fait rêver.</w:t>
      </w:r>
    </w:p>
    <w:p>
      <w:pPr>
        <w:keepLines/>
        <w:spacing w:before="0" w:after="80"/>
      </w:pPr>
      <w:r>
        <w:rPr>
          <w:b/>
        </w:rPr>
        <w:t xml:space="preserve">11.  </w:t>
      </w:r>
      <w:r>
        <w:t xml:space="preserve">Quelqu’un présente une invention qui pourrait changer notre manière de nous déplacer.  </w:t>
      </w:r>
      <w:r>
        <w:rPr>
          <w:i/>
        </w:rPr>
        <w:t>Ce que j’aurais d’abord envie de voir, c’est ce qu’elle change dans une journée ordinaire.</w:t>
      </w:r>
    </w:p>
    <w:p>
      <w:pPr>
        <w:keepLines/>
        <w:spacing w:before="0" w:after="80"/>
      </w:pPr>
      <w:r>
        <w:rPr>
          <w:b/>
        </w:rPr>
        <w:t xml:space="preserve">12.  </w:t>
      </w:r>
      <w:r>
        <w:t xml:space="preserve">Quelqu’un présente une nouvelle manière de prendre des décisions ensemble, sans savoir encore comment la mettre en pratique.  </w:t>
      </w:r>
      <w:r>
        <w:rPr>
          <w:i/>
        </w:rPr>
        <w:t>Même sans exemple concret, réfléchir à ce principe m’intéresserait.</w:t>
      </w:r>
    </w:p>
    <w:p>
      <w:pPr>
        <w:spacing w:before="40" w:after="140"/>
      </w:pPr>
      <w:r>
        <w:rPr>
          <w:b/>
        </w:rPr>
        <w:t xml:space="preserve">Correspondance de travail (non affichée au visiteur) : </w:t>
      </w:r>
      <w:r>
        <w:t>Q1–Q2 confiance / méfiance ; Q3–Q4 sérénité / inquiétude ; Q5–Q6 lien / isolement ; Q7–Q8 don / dépossession ; Q9–Q10 passé / futur ; Q11–Q12 concret / abstrait.</w:t>
      </w:r>
    </w:p>
    <w:p w:rsidR="00000000" w:rsidDel="00000000" w:rsidP="00000000" w:rsidRDefault="00000000" w:rsidRPr="00000000" w14:paraId="0000002C">
      <w:pPr>
        <w:rPr/>
      </w:pPr>
      <w:r>
        <w:rPr>
          <w:rtl w:val="0"/>
        </w:rPr>
        <w:t xml:space="preserve">Chaque réponse reste singulière, mais elle rejoint progressivement celles des autres. L’œuvre ne présente pas les témoignages sous la forme d’une liste ou d’une archive documentaire : elle les traduit en voix, en comportements, en couleurs et en trajectoires.</w:t>
      </w:r>
      <w:r>
        <w:rPr>
          <w:rtl w:val="0"/>
        </w:rPr>
        <w:t xml:space="preserve"> Le témoignage collectif est donc l’œuvre elle-même</w:t>
      </w:r>
      <w:r/>
      <w:r>
        <w:rPr>
          <w:rtl w:val="0"/>
        </w:rPr>
        <w:t xml:space="preserve">, telle qu’elle se construit et se transforme au fil des participants.</w:t>
      </w:r>
    </w:p>
    <w:p w:rsidR="00000000" w:rsidDel="00000000" w:rsidP="00000000" w:rsidRDefault="00000000" w:rsidRPr="00000000" w14:paraId="0000002D">
      <w:pPr>
        <w:pStyle w:val="Heading2"/>
        <w:rPr/>
      </w:pPr>
      <w:r>
        <w:rPr>
          <w:rtl w:val="0"/>
        </w:rPr>
        <w:t xml:space="preserve">3.4 Parcours du visiteur</w:t>
      </w:r>
    </w:p>
    <w:p w:rsidR="00000000" w:rsidDel="00000000" w:rsidP="00000000" w:rsidRDefault="00000000" w:rsidRPr="00000000" w14:paraId="0000002E">
      <w:pPr>
        <w:rPr/>
      </w:pPr>
      <w:r>
        <w:rPr>
          <w:rtl w:val="0"/>
        </w:rPr>
        <w:t xml:space="preserve">L’expérience commence par un espace d’accueil qui explique simplement les règles du dispositif et met le visiteur à l’aise, sans l’orienter vers un choix particulier. Deux voies lui sont ensuite proposées : « CONTEMPLER » et « CONTRIBUER ». Les deux choix sont complets et légitimes.</w:t>
      </w:r>
    </w:p>
    <w:p w:rsidR="00000000" w:rsidDel="00000000" w:rsidP="00000000" w:rsidRDefault="00000000" w:rsidRPr="00000000" w14:paraId="0000002F">
      <w:pPr>
        <w:rPr/>
      </w:pPr>
      <w:r>
        <w:rPr>
          <w:rtl w:val="0"/>
        </w:rPr>
        <w:t xml:space="preserve">La voie « Contempler » donne accès au monde visuel et sonore en cours. La voie « Contribuer » mène à une petite cabine individuelle où une présence numérique volontairement simple, animée et accueillante établit une relation minimale avec le visiteur avant de lui soumettre les questions. Tout le soin porte sur cette présence : elle attend, elle réagit, elle accuse réception. L’interface doit rester </w:t>
      </w:r>
      <w:r>
        <w:rPr>
          <w:rtl w:val="0"/>
        </w:rPr>
        <w:t xml:space="preserve">chaleureuse</w:t>
      </w:r>
      <w:r/>
      <w:r/>
      <w:r>
        <w:rPr>
          <w:rtl w:val="0"/>
        </w:rPr>
        <w:t xml:space="preserve"> et lisible : elle ne cherche ni à impressionner ni à donner l’impression d’un test.</w:t>
      </w:r>
    </w:p>
    <w:p w:rsidR="00000000" w:rsidDel="00000000" w:rsidP="00000000" w:rsidRDefault="00000000" w:rsidRPr="00000000" w14:paraId="00000030">
      <w:pPr>
        <w:rPr/>
      </w:pPr>
      <w:r>
        <w:rPr>
          <w:rtl w:val="0"/>
        </w:rPr>
        <w:t xml:space="preserve">Avec son consentement, le témoignage est ensuite transformé en matière pour l’œuvre. Une nouvelle entité est créée : son « enfant ». Le terme est volontairement légèrement provocateur. Il désigne quelque chose qui vient du participant et porte une trace de lui, mais qui commence immédiatement une existence autonome. Lorsque la personne sort de la cabine, le dernier enfant créé est mis en évidence dans la projection afin qu’elle puisse le reconnaître. Après quelques instants, ce privilège disparaît : l’enfant rejoint le monde commun et n’appartient plus à son auteur.</w:t>
      </w:r>
    </w:p>
    <w:p w:rsidR="00000000" w:rsidDel="00000000" w:rsidP="00000000" w:rsidRDefault="00000000" w:rsidRPr="00000000" w14:paraId="00000031">
      <w:pPr>
        <w:rPr/>
      </w:pPr>
      <w:r>
        <w:rPr/>
        <w:drawing>
          <wp:inline distB="114300" distT="114300" distL="114300" distR="114300">
            <wp:extent cx="6332220" cy="59309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32220" cy="5930900"/>
                    </a:xfrm>
                    <a:prstGeom prst="rect"/>
                    <a:ln/>
                  </pic:spPr>
                </pic:pic>
              </a:graphicData>
            </a:graphic>
          </wp:inline>
        </w:drawing>
      </w:r>
      <w:r>
        <w:rPr>
          <w:rtl w:val="0"/>
        </w:rPr>
      </w:r>
    </w:p>
    <w:p>
      <w:pPr>
        <w:rPr/>
      </w:pPr>
      <w:r>
        <w:rPr>
          <w:rtl w:val="0"/>
        </w:rPr>
        <w:t xml:space="preserve">Les deux parcours passent chacun par une cabine. Celle de la contemplation est un simple sas : deux rideaux et du vide entre eux. Celle de la contribution est un espace d’isolement sensoriel, fermé par un rideau à l’entrée et une porte à la sortie, équipé d’un écran pour la présence numérique et d’une tablette tactile pour la contribution. Les deux cabines remplissent en outre une même fonction technique : empêcher la lumière du hall d’atteindre la salle de projection, qui reste dans le noir. La sortie de la cabine « Contribuer » est orientée vers l’écran, de sorte que le contributeur débouche face au monde commun à l’instant où son enfant y est mis en évidence.</w:t>
      </w:r>
    </w:p>
    <w:p w:rsidR="00000000" w:rsidDel="00000000" w:rsidP="00000000" w:rsidRDefault="00000000" w:rsidRPr="00000000" w14:paraId="00000032">
      <w:pPr>
        <w:pStyle w:val="Heading2"/>
        <w:rPr/>
      </w:pPr>
      <w:r>
        <w:rPr>
          <w:rtl w:val="0"/>
        </w:rPr>
        <w:t xml:space="preserve">3.5 Du témoignage à l’œuvre</w:t>
      </w:r>
    </w:p>
    <w:p w:rsidR="00000000" w:rsidDel="00000000" w:rsidP="00000000" w:rsidRDefault="00000000" w:rsidRPr="00000000" w14:paraId="00000033">
      <w:pPr>
        <w:rPr/>
      </w:pPr>
      <w:r>
        <w:rPr>
          <w:rtl w:val="0"/>
        </w:rPr>
        <w:t xml:space="preserve">Chaque contribution produit quatre effets, deux immédiats et personnels, deux lents et collectifs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 xml:space="preserve">Un littéral : une phrase librement écrite par le participant et retenue, avec son accord, comme trace directe de sa contribution. Elle alimente le monde sonore et n’est jamais analysée.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 xml:space="preserve">Un profil comportemental fictif : quelques paramètres artistiques qui déterminent la manière dont l’enfant réagit, se déplace et entre en relation. Ce profil ne prétend pas diagnostiquer la personnalité réelle du participant.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 xml:space="preserve">Une empreinte chromatique : une matière colorée introduite dans le milieu, dont la signification précise et les règles de transformation seront stabilisées par prototypage.</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Un déplacement du monde : les réponses situent le témoignage sur six axes — confiance ou méfiance, sérénité ou inquiétude, lien ou isolement, don ou dépossession, passé ou futur, concret ou abstrait. Chaque coordonnée est la différence normalisée entre deux réponses graduées ; si l’une manque, l’axe n’est pas calculé. Ces coordonnées déplacent les paramètres du générateur — agitation des entités, grégarité, palette, clarté du fond, durée de mémoire de la toile, facture de la marque — en proportion de leur valeur. Deux adhésions fortes et opposées peuvent ainsi produire une position centrale.</w:t>
      </w:r>
    </w:p>
    <w:p>
      <w:pPr>
        <w:rPr/>
      </w:pPr>
      <w:r>
        <w:rPr>
          <w:rtl w:val="0"/>
        </w:rPr>
        <w:t>L’état initial du monde est une configuration organique : courbes continues, bords flous, palette de chair et de terre, aucune trace d’angle droit. À cet endroit se superpose un second effet, commun à toute contribution quel qu’en soit le contenu : la présence humaine durcit progressivement la géométrie — la trame se resserre, les bords se font nets, les formes se calent sur une grille. Cet effet-là n’est pas soumis au rappel : le monde ne redevient pas vierge. Ce que vous confiez oriente le monde ; le simple fait de contribuer le transforme irréversiblement.</w:t>
      </w:r>
    </w:p>
    <w:p w:rsidR="00000000" w:rsidDel="00000000" w:rsidP="00000000" w:rsidRDefault="00000000" w:rsidRPr="00000000" w14:paraId="00000037">
      <w:pPr>
        <w:rPr/>
      </w:pPr>
      <w:r>
        <w:rPr>
          <w:rtl w:val="0"/>
        </w:rPr>
        <w:t>Le principe de conception est de conserver peu de paramètres, mais de leur donner des conséquences riches. Le calcul des six coordonnées est déterministe : pour chaque axe, la position vaut (note du premier pôle − note du second pôle) / 4, de −1 à +1 ; une paire incomplète n’agit pas sur cet axe. Aucun modèle de langage n’interprète les réponses ni la phrase libre. La table de correspondance documente les déplacements du monde ; les intentions chromatiques restent à traduire en réglages opérationnels du générateur.</w:t>
      </w:r>
    </w:p>
    <w:p>
      <w:pPr>
        <w:rPr/>
      </w:pPr>
      <w:r>
        <w:rPr>
          <w:rtl w:val="0"/>
        </w:rPr>
        <w:t xml:space="preserve">Le monde n’est donc pas un décor fixe qui accumulerait des habitants : il dérive, et sa dérive est l’œuvre collective. Un visiteur voit immédiatement naître son enfant et entend sa phrase ; ce qu’il ne voit pas, et que seul le temps long révèle, c’est que son témoignage a incliné le monde entier d’un degré.</w:t>
      </w:r>
    </w:p>
    <w:p>
      <w:pPr>
        <w:rPr/>
      </w:pPr>
      <w:r>
        <w:rPr>
          <w:rtl w:val="0"/>
        </w:rPr>
        <w:t xml:space="preserve">La table de correspondance entre ces coordonnées et les paramètres du monde constitue le cœur du travail artistique : c’est elle qui décide ce que l’inquiétude fait au mouvement, ou ce que la confiance fait à la couleur. Elle est écrite par les auteurs, non produite par la machine, et elle sera publiée avec l’œuvre.</w:t>
      </w:r>
    </w:p>
    <w:p>
      <w:pPr>
        <w:rPr/>
      </w:pPr>
      <w:r>
        <w:rPr>
          <w:rtl w:val="0"/>
        </w:rPr>
        <w:t>Une telle dérive risquerait de conduire le monde vers des régions visuellement inertes. Chaque paramètre déplaçable est encadré par une bande de dérive et le déplacement prévu se réfléchit sur ses bornes au lieu de s’y écraser. Une faible force de rappel le ramène lentement vers sa valeur initiale, sans correction esthétique ajoutée après coup. Le calibrage visuel de ces bandes et l’intégration de la table au générateur restent à valider sur le prototype.</w:t>
      </w:r>
    </w:p>
    <w:p w:rsidR="00000000" w:rsidDel="00000000" w:rsidP="00000000" w:rsidRDefault="00000000" w:rsidRPr="00000000" w14:paraId="00000038">
      <w:pPr>
        <w:pStyle w:val="Heading2"/>
        <w:rPr/>
      </w:pPr>
      <w:r>
        <w:rPr>
          <w:rtl w:val="0"/>
        </w:rPr>
        <w:t xml:space="preserve">3.6 Le monde visuel : comportements, mouvement et tissage</w:t>
      </w:r>
    </w:p>
    <w:p>
      <w:pPr>
        <w:keepLines/>
        <w:spacing w:after="160"/>
      </w:pPr>
      <w:r>
        <w:t>Ces images montrent des apparences possibles du générateur, non un rendu prédéfini. La forme finale émergera des contributions successives et des interactions entre les entités.</w:t>
      </w:r>
    </w:p>
    <w:p w:rsidR="00000000" w:rsidDel="00000000" w:rsidP="00000000" w:rsidRDefault="00000000" w:rsidRPr="00000000" w14:paraId="0000003C">
      <w:pPr>
        <w:rPr/>
      </w:pPr>
      <w:r>
        <w:rPr>
          <w:rtl w:val="0"/>
        </w:rPr>
        <w:t xml:space="preserve">Le monde visuel s’inspire de systèmes cybernétiques et de modèles multi-agents : des entités relativement simples, sans vision globale du système, produisent par leurs interactions locales des formes et des dynamiques impossibles à prédire exactement. Des expérimentations antérieures, notamment Lumen Society, servent de laboratoire de référence pour cette logique d’émergence.</w:t>
      </w:r>
    </w:p>
    <w:p w:rsidR="00000000" w:rsidDel="00000000" w:rsidP="00000000" w:rsidRDefault="00000000" w:rsidRPr="00000000" w14:paraId="0000003D">
      <w:pPr>
        <w:rPr/>
      </w:pPr>
      <w:r>
        <w:rPr>
          <w:rtl w:val="0"/>
        </w:rPr>
        <w:t xml:space="preserve">L’objectif n’est toutefois pas de laisser des agents tracer des lignes arbitraires. Une simulation socialement intéressante peut très vite produire un dessin illisible. Le projet distingue donc clairement la grammaire du comportement — ce que l’entité décide de faire — de la grammaire du mouvement — la manière dont cette décision s’inscrit graphiquement dans l’espace.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 xml:space="preserve">Grammaire du comportement : attraction, évitement, suivi, influence de proximité, réaction au milieu et autres interactions locales.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 xml:space="preserve">États internes : une première version se limite à deux états, détendu et stressé, qui modifient la façon dont l’entité se déplace et réagit.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 xml:space="preserve">Grammaire du mouvement : continuité des courbes, inertie, rayons de rotation, changements de direction, tendance à suivre, croiser ou reprendre des trajectoires existantes.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 xml:space="preserve">Grammaire de la couleur : des zones ou « blobs » de couleur peuvent être traversés, prélevés, transportés, mélangés et redéposés par les entités.</w:t>
      </w:r>
    </w:p>
    <w:p w:rsidR="00000000" w:rsidDel="00000000" w:rsidP="00000000" w:rsidRDefault="00000000" w:rsidRPr="00000000" w14:paraId="00000042">
      <w:pPr>
        <w:rPr/>
      </w:pPr>
      <w:r>
        <w:rPr>
          <w:rtl w:val="0"/>
        </w:rPr>
        <w:t xml:space="preserve">La notion de tissage constitue à la fois un principe formel et une métaphore du tissu social. Au fil du temps, les trajectoires ne restent pas des traces isolées : elles se croisent, se reprennent, se mêlent aux couleurs transportées par les autres et forment une surface organique. L’ambition plastique se situe entre le dessin automatique, le pen-plotter et un pinceau humide qui étirerait et mélangerait des pigments au gré de son passage.</w:t>
      </w:r>
    </w:p>
    <w:p>
      <w:pPr>
        <w:keepNext/>
        <w:spacing w:before="180" w:after="100"/>
      </w:pPr>
      <w:r>
        <w:rPr>
          <w:b/>
          <w:color w:val="435368"/>
          <w:sz w:val="20"/>
        </w:rPr>
        <w:t>Variations visuelles du prototype — exemples, non rendus prédéterminés</w:t>
      </w:r>
    </w:p>
    <w:tbl>
      <w:tblPr>
        <w:tblW w:type="auto" w:w="0"/>
        <w:jc w:val="center"/>
        <w:tblLayout w:type="fixed"/>
        <w:tblLook w:firstColumn="1" w:firstRow="1" w:lastColumn="0" w:lastRow="0" w:noHBand="0" w:noVBand="1" w:val="04A0"/>
      </w:tblPr>
      <w:tblGrid>
        <w:gridCol w:w="4853"/>
        <w:gridCol w:w="4853"/>
      </w:tblGrid>
      <w:tr>
        <w:trPr>
          <w:cantSplit/>
        </w:trPr>
        <w:tc>
          <w:tcPr>
            <w:tcW w:type="dxa" w:w="4853"/>
            <w:vAlign w:val="center"/>
            <w:tcMar>
              <w:top w:w="90" w:type="dxa"/>
              <w:start w:w="85" w:type="dxa"/>
              <w:bottom w:w="60" w:type="dxa"/>
              <w:end w:w="85" w:type="dxa"/>
            </w:tcMar>
          </w:tcPr>
          <w:p>
            <w:pPr>
              <w:spacing w:before="0" w:after="0"/>
              <w:jc w:val="center"/>
            </w:pPr>
            <w:r>
              <w:drawing>
                <wp:inline>
                  <wp:extent cx="2944368" cy="1660970"/>
                  <wp:docPr id="8" name="Picture 8" descr="Variation 1 — tracés sur fond clair"/>
                  <wp:cNvGraphicFramePr>
                    <a:graphicFrameLocks noChangeAspect="1"/>
                  </wp:cNvGraphicFramePr>
                  <a:graphic>
                    <a:graphicData uri="http://schemas.openxmlformats.org/drawingml/2006/picture">
                      <pic:pic>
                        <pic:nvPicPr>
                          <pic:cNvPr id="0" name="image.jpg"/>
                          <pic:cNvPicPr/>
                        </pic:nvPicPr>
                        <pic:blipFill>
                          <a:blip r:embed="rId2"/>
                          <a:stretch>
                            <a:fillRect/>
                          </a:stretch>
                        </pic:blipFill>
                        <pic:spPr>
                          <a:xfrm>
                            <a:off x="0" y="0"/>
                            <a:ext cx="2944368" cy="1660970"/>
                          </a:xfrm>
                          <a:prstGeom prst="rect"/>
                        </pic:spPr>
                      </pic:pic>
                    </a:graphicData>
                  </a:graphic>
                </wp:inline>
              </w:drawing>
            </w:r>
          </w:p>
          <w:p>
            <w:pPr>
              <w:spacing w:before="60" w:after="40"/>
              <w:jc w:val="center"/>
            </w:pPr>
            <w:r>
              <w:rPr>
                <w:i/>
                <w:color w:val="586069"/>
                <w:sz w:val="16"/>
              </w:rPr>
              <w:t>Variation 1 — tracés sur fond clair</w:t>
            </w:r>
          </w:p>
        </w:tc>
        <w:tc>
          <w:tcPr>
            <w:tcW w:type="dxa" w:w="4853"/>
            <w:vAlign w:val="center"/>
            <w:tcMar>
              <w:top w:w="90" w:type="dxa"/>
              <w:start w:w="85" w:type="dxa"/>
              <w:bottom w:w="60" w:type="dxa"/>
              <w:end w:w="85" w:type="dxa"/>
            </w:tcMar>
          </w:tcPr>
          <w:p>
            <w:pPr>
              <w:spacing w:before="0" w:after="0"/>
              <w:jc w:val="center"/>
            </w:pPr>
            <w:r>
              <w:drawing>
                <wp:inline>
                  <wp:extent cx="2944368" cy="1660970"/>
                  <wp:docPr id="9" name="Picture 9" descr="Variation 2 — « Peau »"/>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944368" cy="1660970"/>
                          </a:xfrm>
                          <a:prstGeom prst="rect"/>
                        </pic:spPr>
                      </pic:pic>
                    </a:graphicData>
                  </a:graphic>
                </wp:inline>
              </w:drawing>
            </w:r>
          </w:p>
          <w:p>
            <w:pPr>
              <w:spacing w:before="60" w:after="40"/>
              <w:jc w:val="center"/>
            </w:pPr>
            <w:r>
              <w:rPr>
                <w:i/>
                <w:color w:val="586069"/>
                <w:sz w:val="16"/>
              </w:rPr>
              <w:t>Variation 2 — « Peau »</w:t>
            </w:r>
          </w:p>
        </w:tc>
      </w:tr>
      <w:tr>
        <w:trPr>
          <w:cantSplit/>
        </w:trPr>
        <w:tc>
          <w:tcPr>
            <w:tcW w:type="dxa" w:w="4853"/>
            <w:vAlign w:val="center"/>
            <w:tcMar>
              <w:top w:w="90" w:type="dxa"/>
              <w:start w:w="85" w:type="dxa"/>
              <w:bottom w:w="60" w:type="dxa"/>
              <w:end w:w="85" w:type="dxa"/>
            </w:tcMar>
          </w:tcPr>
          <w:p>
            <w:pPr>
              <w:spacing w:before="0" w:after="0"/>
              <w:jc w:val="center"/>
            </w:pPr>
            <w:r>
              <w:drawing>
                <wp:inline>
                  <wp:extent cx="2944368" cy="1660970"/>
                  <wp:docPr id="10" name="Picture 10" descr="Variation 3 — « Balade nocturne »"/>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944368" cy="1660970"/>
                          </a:xfrm>
                          <a:prstGeom prst="rect"/>
                        </pic:spPr>
                      </pic:pic>
                    </a:graphicData>
                  </a:graphic>
                </wp:inline>
              </w:drawing>
            </w:r>
          </w:p>
          <w:p>
            <w:pPr>
              <w:spacing w:before="60" w:after="40"/>
              <w:jc w:val="center"/>
            </w:pPr>
            <w:r>
              <w:rPr>
                <w:i/>
                <w:color w:val="586069"/>
                <w:sz w:val="16"/>
              </w:rPr>
              <w:t>Variation 3 — « Balade nocturne »</w:t>
            </w:r>
          </w:p>
        </w:tc>
        <w:tc>
          <w:tcPr>
            <w:tcW w:type="dxa" w:w="4853"/>
            <w:vAlign w:val="center"/>
            <w:tcMar>
              <w:top w:w="90" w:type="dxa"/>
              <w:start w:w="85" w:type="dxa"/>
              <w:bottom w:w="60" w:type="dxa"/>
              <w:end w:w="85" w:type="dxa"/>
            </w:tcMar>
          </w:tcPr>
          <w:p>
            <w:pPr>
              <w:spacing w:before="0" w:after="0"/>
              <w:jc w:val="center"/>
            </w:pPr>
            <w:r>
              <w:drawing>
                <wp:inline>
                  <wp:extent cx="2944368" cy="1660970"/>
                  <wp:docPr id="11" name="Picture 11" descr="Variation 4 — tracés et espaces"/>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944368" cy="1660970"/>
                          </a:xfrm>
                          <a:prstGeom prst="rect"/>
                        </pic:spPr>
                      </pic:pic>
                    </a:graphicData>
                  </a:graphic>
                </wp:inline>
              </w:drawing>
            </w:r>
          </w:p>
          <w:p>
            <w:pPr>
              <w:spacing w:before="60" w:after="40"/>
              <w:jc w:val="center"/>
            </w:pPr>
            <w:r>
              <w:rPr>
                <w:i/>
                <w:color w:val="586069"/>
                <w:sz w:val="16"/>
              </w:rPr>
              <w:t>Variation 4 — tracés et espaces</w:t>
            </w:r>
          </w:p>
        </w:tc>
      </w:tr>
      <w:tr>
        <w:trPr>
          <w:cantSplit/>
        </w:trPr>
        <w:tc>
          <w:tcPr>
            <w:tcW w:type="dxa" w:w="9706"/>
            <w:gridSpan w:val="2"/>
            <w:vAlign w:val="center"/>
            <w:tcMar>
              <w:top w:w="90" w:type="dxa"/>
              <w:start w:w="85" w:type="dxa"/>
              <w:bottom w:w="60" w:type="dxa"/>
              <w:end w:w="85" w:type="dxa"/>
            </w:tcMar>
          </w:tcPr>
          <w:p>
            <w:pPr>
              <w:spacing w:before="0" w:after="0"/>
              <w:jc w:val="center"/>
            </w:pPr>
            <w:r>
              <w:drawing>
                <wp:inline>
                  <wp:extent cx="4846320" cy="2733895"/>
                  <wp:docPr id="12" name="Picture 12" descr="Variation 5 — palette nocturne"/>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846320" cy="2733895"/>
                          </a:xfrm>
                          <a:prstGeom prst="rect"/>
                        </pic:spPr>
                      </pic:pic>
                    </a:graphicData>
                  </a:graphic>
                </wp:inline>
              </w:drawing>
            </w:r>
          </w:p>
          <w:p>
            <w:pPr>
              <w:spacing w:before="60" w:after="40"/>
              <w:jc w:val="center"/>
            </w:pPr>
            <w:r>
              <w:rPr>
                <w:i/>
                <w:color w:val="586069"/>
                <w:sz w:val="16"/>
              </w:rPr>
              <w:t>Variation 5 — palette nocturne</w:t>
            </w:r>
          </w:p>
        </w:tc>
      </w:tr>
    </w:tbl>
    <w:p>
      <w:pPr>
        <w:keepNext/>
        <w:spacing w:before="140" w:after="60"/>
      </w:pPr>
      <w:r>
        <w:rPr>
          <w:b/>
          <w:color w:val="435368"/>
          <w:sz w:val="18"/>
        </w:rPr>
        <w:t>Études antérieures du même prototype</w:t>
      </w:r>
    </w:p>
    <w:tbl>
      <w:tblPr>
        <w:tblW w:type="auto" w:w="0"/>
        <w:jc w:val="center"/>
        <w:tblLayout w:type="fixed"/>
        <w:tblLook w:firstColumn="1" w:firstRow="1" w:lastColumn="0" w:lastRow="0" w:noHBand="0" w:noVBand="1" w:val="04A0"/>
      </w:tblPr>
      <w:tblGrid>
        <w:gridCol w:w="3226"/>
        <w:gridCol w:w="3226"/>
        <w:gridCol w:w="3226"/>
      </w:tblGrid>
      <w:tr>
        <w:trPr>
          <w:cantSplit/>
        </w:trPr>
        <w:tc>
          <w:tcPr>
            <w:tcW w:type="dxa" w:w="3226"/>
            <w:vAlign w:val="center"/>
            <w:tcMar>
              <w:top w:w="90" w:type="dxa"/>
              <w:start w:w="85" w:type="dxa"/>
              <w:bottom w:w="60" w:type="dxa"/>
              <w:end w:w="85" w:type="dxa"/>
            </w:tcMar>
          </w:tcPr>
          <w:p>
            <w:pPr>
              <w:spacing w:before="0" w:after="0"/>
              <w:jc w:val="center"/>
            </w:pPr>
            <w:r>
              <w:drawing>
                <wp:inline>
                  <wp:extent cx="1911095" cy="1433321"/>
                  <wp:docPr id="13" name="Picture 13" descr="Étude antérie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911095" cy="1433321"/>
                          </a:xfrm>
                          <a:prstGeom prst="rect"/>
                        </pic:spPr>
                      </pic:pic>
                    </a:graphicData>
                  </a:graphic>
                </wp:inline>
              </w:drawing>
            </w:r>
          </w:p>
          <w:p>
            <w:pPr>
              <w:spacing w:before="60" w:after="40"/>
              <w:jc w:val="center"/>
            </w:pPr>
            <w:r>
              <w:rPr>
                <w:i/>
                <w:color w:val="586069"/>
                <w:sz w:val="16"/>
              </w:rPr>
              <w:t>Étude antérieure 1</w:t>
            </w:r>
          </w:p>
        </w:tc>
        <w:tc>
          <w:tcPr>
            <w:tcW w:type="dxa" w:w="3226"/>
            <w:vAlign w:val="center"/>
            <w:tcMar>
              <w:top w:w="90" w:type="dxa"/>
              <w:start w:w="85" w:type="dxa"/>
              <w:bottom w:w="60" w:type="dxa"/>
              <w:end w:w="85" w:type="dxa"/>
            </w:tcMar>
          </w:tcPr>
          <w:p>
            <w:pPr>
              <w:spacing w:before="0" w:after="0"/>
              <w:jc w:val="center"/>
            </w:pPr>
            <w:r>
              <w:drawing>
                <wp:inline>
                  <wp:extent cx="1911095" cy="1433321"/>
                  <wp:docPr id="14" name="Picture 14" descr="Étude antérie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911095" cy="1433321"/>
                          </a:xfrm>
                          <a:prstGeom prst="rect"/>
                        </pic:spPr>
                      </pic:pic>
                    </a:graphicData>
                  </a:graphic>
                </wp:inline>
              </w:drawing>
            </w:r>
          </w:p>
          <w:p>
            <w:pPr>
              <w:spacing w:before="60" w:after="40"/>
              <w:jc w:val="center"/>
            </w:pPr>
            <w:r>
              <w:rPr>
                <w:i/>
                <w:color w:val="586069"/>
                <w:sz w:val="16"/>
              </w:rPr>
              <w:t>Étude antérieure 2</w:t>
            </w:r>
          </w:p>
        </w:tc>
        <w:tc>
          <w:tcPr>
            <w:tcW w:type="dxa" w:w="3226"/>
            <w:vAlign w:val="center"/>
            <w:tcMar>
              <w:top w:w="90" w:type="dxa"/>
              <w:start w:w="85" w:type="dxa"/>
              <w:bottom w:w="60" w:type="dxa"/>
              <w:end w:w="85" w:type="dxa"/>
            </w:tcMar>
          </w:tcPr>
          <w:p>
            <w:pPr>
              <w:spacing w:before="0" w:after="0"/>
              <w:jc w:val="center"/>
            </w:pPr>
            <w:r>
              <w:drawing>
                <wp:inline>
                  <wp:extent cx="1911095" cy="1433321"/>
                  <wp:docPr id="15" name="Picture 15" descr="Étude antérie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911095" cy="1433321"/>
                          </a:xfrm>
                          <a:prstGeom prst="rect"/>
                        </pic:spPr>
                      </pic:pic>
                    </a:graphicData>
                  </a:graphic>
                </wp:inline>
              </w:drawing>
            </w:r>
          </w:p>
          <w:p>
            <w:pPr>
              <w:spacing w:before="60" w:after="40"/>
              <w:jc w:val="center"/>
            </w:pPr>
            <w:r>
              <w:rPr>
                <w:i/>
                <w:color w:val="586069"/>
                <w:sz w:val="16"/>
              </w:rPr>
              <w:t>Étude antérieure 3</w:t>
            </w:r>
          </w:p>
        </w:tc>
      </w:tr>
    </w:tbl>
    <w:p>
      <w:pPr>
        <w:spacing w:before="100" w:after="160"/>
      </w:pPr>
      <w:r>
        <w:rPr>
          <w:color w:val="586069"/>
          <w:sz w:val="18"/>
        </w:rPr>
        <w:t>Ces instantanés illustrent la diversité plastique du générateur ; ils ne préjugent pas de la forme que prendra le monde au contact du public.</w:t>
      </w:r>
    </w:p>
    <w:p w:rsidR="00000000" w:rsidDel="00000000" w:rsidP="00000000" w:rsidRDefault="00000000" w:rsidRPr="00000000" w14:paraId="00000043">
      <w:pPr>
        <w:pStyle w:val="Heading2"/>
        <w:rPr/>
      </w:pPr>
      <w:r>
        <w:rPr>
          <w:rtl w:val="0"/>
        </w:rPr>
        <w:t xml:space="preserve">3.7 Le monde sonore</w:t>
      </w:r>
    </w:p>
    <w:p w:rsidR="00000000" w:rsidDel="00000000" w:rsidP="00000000" w:rsidRDefault="00000000" w:rsidRPr="00000000" w14:paraId="00000044">
      <w:pPr>
        <w:rPr/>
      </w:pPr>
      <w:r>
        <w:rPr>
          <w:rtl w:val="0"/>
        </w:rPr>
        <w:t xml:space="preserve">Le son est la trace la plus littérale du témoignage. La phrase libre laissée par le participant rejoint un paysage sonore évolutif. Elle peut être dite, murmurée, transformée, étirée, fragmentée ou intégrée à une forme de spoken word et de musique générative. Le spectateur qui contemple le monde entend ainsi, de manière diffuse, les pensées de ceux qui l’ont fabriqué.</w:t>
      </w:r>
    </w:p>
    <w:p w:rsidR="00000000" w:rsidDel="00000000" w:rsidP="00000000" w:rsidRDefault="00000000" w:rsidRPr="00000000" w14:paraId="00000045">
      <w:pPr>
        <w:rPr/>
      </w:pPr>
      <w:r>
        <w:rPr>
          <w:rtl w:val="0"/>
        </w:rPr>
        <w:t xml:space="preserve">Le principe artistique est volontairement indépendant d’un outil commercial. La phrase étant écrite et non dite, elle est portée à la voix par une synthèse vocale locale, libre et gratuite, qui fonctionne hors ligne. Le prototypage arbitrera le traitement qui l’accompagne — granulaire, nappes, boucles, recomposition algorithmique — selon l’équilibre entre latence, qualité et cohérence esthétique.</w:t>
      </w:r>
    </w:p>
    <w:p w:rsidR="00000000" w:rsidDel="00000000" w:rsidP="00000000" w:rsidRDefault="00000000" w:rsidRPr="00000000" w14:paraId="00000046">
      <w:pPr>
        <w:pStyle w:val="Heading2"/>
        <w:rPr/>
      </w:pPr>
      <w:r>
        <w:rPr>
          <w:rtl w:val="0"/>
        </w:rPr>
        <w:t xml:space="preserve">3.8 Deux temporalités : l’événement et la mémoire</w:t>
      </w:r>
    </w:p>
    <w:p w:rsidR="00000000" w:rsidDel="00000000" w:rsidP="00000000" w:rsidRDefault="00000000" w:rsidRPr="00000000" w14:paraId="00000047">
      <w:pPr>
        <w:rPr/>
      </w:pPr>
      <w:r>
        <w:rPr>
          <w:rtl w:val="0"/>
        </w:rPr>
        <w:t xml:space="preserve">L’œuvre évolue selon deux temporalités complémentaires. La première est immédiate : mouvements, rencontres, changements d’état et transferts de couleur rendent visible une société en activité. La seconde est lente : chaque contribution laisse des conséquences qui s’accumulent, se mêlent et modifient progressivement l’aspect du monde.</w:t>
      </w:r>
    </w:p>
    <w:p w:rsidR="00000000" w:rsidDel="00000000" w:rsidP="00000000" w:rsidRDefault="00000000" w:rsidRPr="00000000" w14:paraId="00000048">
      <w:pPr>
        <w:rPr/>
      </w:pPr>
      <w:r>
        <w:rPr>
          <w:rtl w:val="0"/>
        </w:rPr>
        <w:t xml:space="preserve">Cette double temporalité est essentielle. Elle permet de reconnaître à la fois l’individu qui vient d’entrer dans le système et la structure collective qui le dépasse. L’œuvre n’est donc jamais réellement achevée : son état présent contient l’histoire transformée des personnes qui l’ont traversée.</w:t>
      </w:r>
    </w:p>
    <w:p>
      <w:pPr>
        <w:rPr/>
      </w:pPr>
      <w:r>
        <w:rPr>
          <w:rtl w:val="0"/>
        </w:rPr>
        <w:t xml:space="preserve">La question de ce qui subsiste appelle une réponse nette. À chaque déplacement du monde, une image est capturée et conservée avec le jeu de paramètres qui l’a produite. L’archive n’est donc pas une collection d’images mais une trajectoire : elle peut être rejouée, remontée en une œuvre autonome, et lue comme un témoignage collectif sur le rapport de ce public à la technologie. Mais la captation reste le vestige, non l’œuvre : celle-ci est vivante et éphémère, et son état à un instant donné n’existe qu’une fois.</w:t>
      </w:r>
    </w:p>
    <w:p w:rsidR="00000000" w:rsidDel="00000000" w:rsidP="00000000" w:rsidRDefault="00000000" w:rsidRPr="00000000" w14:paraId="00000049">
      <w:pPr>
        <w:pStyle w:val="Heading2"/>
        <w:rPr/>
      </w:pPr>
      <w:r>
        <w:rPr>
          <w:rtl w:val="0"/>
        </w:rPr>
        <w:t xml:space="preserve">3.9 Consentement, transformation et perte de contrôle</w:t>
      </w:r>
    </w:p>
    <w:p w:rsidR="00000000" w:rsidDel="00000000" w:rsidP="00000000" w:rsidRDefault="00000000" w:rsidRPr="00000000" w14:paraId="0000004A">
      <w:pPr>
        <w:rPr/>
      </w:pPr>
      <w:r>
        <w:rPr>
          <w:rtl w:val="0"/>
        </w:rPr>
        <w:t xml:space="preserve">Le consentement n’est pas une formalité administrative ajoutée au dispositif : il appartient au sujet même de l’œuvre. Le participant choisit de contribuer et sait que sa parole sera transformée. Le dispositif est conçu pour éviter l’accumulation inutile de données brutes : l’objectif est de ne conserver que ce qui est nécessaire à l’œuvre — le littéral validé et les paramètres artistiques dérivés — plutôt qu’un dossier sur la personne.</w:t>
      </w:r>
    </w:p>
    <w:p w:rsidR="00000000" w:rsidDel="00000000" w:rsidP="00000000" w:rsidRDefault="00000000" w:rsidRPr="00000000" w14:paraId="0000004B">
      <w:pPr>
        <w:rPr/>
      </w:pPr>
      <w:r>
        <w:rPr>
          <w:rtl w:val="0"/>
        </w:rPr>
        <w:t xml:space="preserve">La contribution volontaire n’implique pourtant pas la maîtrise permanente. Une fois offerte, elle entre dans un système collectif : l’enfant rencontre les autres, change d’état, transporte leurs couleurs, modifie les siennes et participe à une composition que son auteur ne peut plus contrôler. Cette perte de contrôle est précisément ce qui permet au don de devenir autre chose qu’une personnalisation : il devient une participation à une sublimation collective.</w:t>
      </w:r>
    </w:p>
    <w:p>
      <w:pPr>
        <w:rPr/>
      </w:pPr>
      <w:r>
        <w:rPr>
          <w:rtl w:val="0"/>
        </w:rPr>
        <w:t>Le dispositif est conçu pour limiter les données conservées. Il ne prévoit ni enregistrement de voix, ni transcription, ni envoi de texte vers un service distant. Après validation, les réponses détaillées ne sont pas destinées à être archivées : sont retenues la phrase écrite volontairement et les six coordonnées artistiques, éventuellement non renseignées pour les paires incomplètes, sans identifiant nominatif. Le visiteur peut corriger ses réponses ou renoncer avant de valider. Une fois une contribution intégrée au monde commun, ses effets collectifs ne peuvent plus être isolés et retirés individuellement ; cette limite doit être expliquée avant le consentement. La procédure de conservation, de retrait éventuel des éléments encore individualisables et d’exercice des droits sera finalisée avant l’ouverture. Le traitement interactif est prévu sur une machine présente dans la salle, sans service distant.</w:t>
      </w:r>
    </w:p>
    <w:p w:rsidR="00000000" w:rsidDel="00000000" w:rsidP="00000000" w:rsidRDefault="00000000" w:rsidRPr="00000000" w14:paraId="0000004C">
      <w:pPr>
        <w:pStyle w:val="Heading2"/>
        <w:rPr/>
      </w:pPr>
      <w:r>
        <w:rPr>
          <w:rtl w:val="0"/>
        </w:rPr>
        <w:t xml:space="preserve">3.10 Particularités et force du projet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 xml:space="preserve">Le numérique et l’interactivité ne sont pas un support de diffusion mais le médium même de l’œuvre.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Une présence numérique animée accueille le visiteur et une synthèse vocale locale porte sa phrase ; aucune IA conversationnelle ne déduit de profil personnel.</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 xml:space="preserve">La critique de l’économie extractive des données est mise en scène par une expérience positive et concrète de contribution volontaire.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 xml:space="preserve">Le projet articule une expérience individuelle très simple avec une dynamique collective émergente et durable.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 xml:space="preserve">Le visiteur voit immédiatement une conséquence de son geste, puis assiste à l’autonomisation de cette conséquence.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 xml:space="preserve">La forme visuelle est guidée par une recherche plastique explicite — mouvement, tissage, couleur — afin que l’émergence produise une œuvre et non un simple diagramme de simulation.</w:t>
      </w:r>
    </w:p>
    <w:p w:rsidR="00000000" w:rsidDel="00000000" w:rsidP="00000000" w:rsidRDefault="00000000" w:rsidRPr="00000000" w14:paraId="00000053">
      <w:pPr>
        <w:pStyle w:val="Heading1"/>
        <w:pageBreakBefore w:val="1"/>
        <w:rPr/>
      </w:pPr>
      <w:r>
        <w:rPr>
          <w:rtl w:val="0"/>
        </w:rPr>
        <w:t xml:space="preserve">4. Schéma fonctionnel du dispositif</w:t>
      </w:r>
    </w:p>
    <w:p w:rsidR="00000000" w:rsidDel="00000000" w:rsidP="00000000" w:rsidRDefault="00000000" w:rsidRPr="00000000" w14:paraId="00000054">
      <w:pPr>
        <w:rPr/>
      </w:pPr>
      <w:r>
        <w:rPr>
          <w:rtl w:val="0"/>
        </w:rPr>
        <w:t xml:space="preserve">Le schéma ci-dessous reprend la chaîne de transformation actuellement envisagée. Il est construit avec des éléments Word éditables afin de pouvoir évoluer avec les prototypes.</w:t>
      </w:r>
    </w:p>
    <w:tbl>
      <w:tblPr>
        <w:tblStyle w:val="Table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1"/>
          <w:tblHeader w:val="0"/>
        </w:trPr>
        <w:tc>
          <w:tcPr>
            <w:vMerge w:val="restart"/>
            <w:shd w:fill="f4f4f4" w:val="clear"/>
            <w:tcMar>
              <w:top w:w="140.0" w:type="dxa"/>
              <w:bottom w:w="140.0" w:type="dxa"/>
            </w:tcMar>
            <w:vAlign w:val="center"/>
          </w:tcPr>
          <w:p w:rsidR="00000000" w:rsidDel="00000000" w:rsidP="00000000" w:rsidRDefault="00000000" w:rsidRPr="00000000" w14:paraId="00000055">
            <w:pPr>
              <w:jc w:val="center"/>
              <w:rPr/>
            </w:pPr>
            <w:r>
              <w:rPr>
                <w:b w:val="1"/>
                <w:bCs w:val="1"/>
                <w:sz w:val="19"/>
                <w:szCs w:val="19"/>
                <w:rtl w:val="0"/>
              </w:rPr>
              <w:t xml:space="preserve">EXPÉRIENCE</w:t>
              <w:br w:type="textWrapping"/>
              <w:t xml:space="preserve">CABINE</w:t>
              <w:br w:type="textWrapping"/>
              <w:t xml:space="preserve">→</w:t>
            </w:r>
            <w:r>
              <w:rPr>
                <w:rtl w:val="0"/>
              </w:rPr>
            </w:r>
          </w:p>
        </w:tc>
        <w:tc>
          <w:tcPr>
            <w:vMerge w:val="restart"/>
            <w:shd w:fill="f4f4f4" w:val="clear"/>
            <w:tcMar>
              <w:top w:w="140.0" w:type="dxa"/>
              <w:bottom w:w="140.0" w:type="dxa"/>
            </w:tcMar>
            <w:vAlign w:val="center"/>
          </w:tcPr>
          <w:p w:rsidR="00000000" w:rsidDel="00000000" w:rsidP="00000000" w:rsidRDefault="00000000" w:rsidRPr="00000000" w14:paraId="00000056">
            <w:pPr>
              <w:jc w:val="center"/>
              <w:rPr/>
            </w:pPr>
            <w:r>
              <w:rPr>
                <w:b w:val="1"/>
                <w:bCs w:val="1"/>
                <w:sz w:val="19"/>
                <w:szCs w:val="19"/>
                <w:rtl w:val="0"/>
              </w:rPr>
              <w:t xml:space="preserve">EXTRACTION</w:t>
              <w:br w:type="textWrapping"/>
              <w:t xml:space="preserve">Littéral</w:t>
              <w:br w:type="textWrapping"/>
              <w:t xml:space="preserve">Profil comportemental</w:t>
              <w:br w:type="textWrapping"/>
              <w:t xml:space="preserve">Empreinte chromatique</w:t>
              <w:br w:type="textWrapping"/>
              <w:t xml:space="preserve">→</w:t>
            </w:r>
            <w:r>
              <w:rPr>
                <w:rtl w:val="0"/>
              </w:rPr>
            </w:r>
          </w:p>
        </w:tc>
        <w:tc>
          <w:tcPr>
            <w:shd w:fill="f4f4f4" w:val="clear"/>
            <w:tcMar>
              <w:top w:w="140.0" w:type="dxa"/>
              <w:bottom w:w="140.0" w:type="dxa"/>
            </w:tcMar>
            <w:vAlign w:val="center"/>
          </w:tcPr>
          <w:p w:rsidR="00000000" w:rsidDel="00000000" w:rsidP="00000000" w:rsidRDefault="00000000" w:rsidRPr="00000000" w14:paraId="00000057">
            <w:pPr>
              <w:jc w:val="center"/>
              <w:rPr/>
            </w:pPr>
            <w:r>
              <w:rPr>
                <w:b w:val="1"/>
                <w:bCs w:val="1"/>
                <w:sz w:val="19"/>
                <w:szCs w:val="19"/>
                <w:rtl w:val="0"/>
              </w:rPr>
              <w:t xml:space="preserve">CRÉATION D’UN « ENFANT »</w:t>
              <w:br w:type="textWrapping"/>
              <w:t xml:space="preserve">+ matière couleur</w:t>
              <w:br w:type="textWrapping"/>
              <w:t xml:space="preserve">→</w:t>
            </w:r>
            <w:r>
              <w:rPr>
                <w:rtl w:val="0"/>
              </w:rPr>
            </w:r>
          </w:p>
        </w:tc>
        <w:tc>
          <w:tcPr>
            <w:shd w:fill="f4f4f4" w:val="clear"/>
            <w:tcMar>
              <w:top w:w="140.0" w:type="dxa"/>
              <w:bottom w:w="140.0" w:type="dxa"/>
            </w:tcMar>
            <w:vAlign w:val="center"/>
          </w:tcPr>
          <w:p w:rsidR="00000000" w:rsidDel="00000000" w:rsidP="00000000" w:rsidRDefault="00000000" w:rsidRPr="00000000" w14:paraId="00000058">
            <w:pPr>
              <w:jc w:val="center"/>
              <w:rPr/>
            </w:pPr>
            <w:r>
              <w:rPr>
                <w:b w:val="1"/>
                <w:bCs w:val="1"/>
                <w:sz w:val="20"/>
                <w:szCs w:val="20"/>
                <w:rtl w:val="0"/>
              </w:rPr>
              <w:t xml:space="preserve">MONDE VISUEL</w:t>
              <w:br w:type="textWrapping"/>
              <w:t xml:space="preserve">évolutif et auto-interactif</w:t>
            </w:r>
            <w:r>
              <w:rPr>
                <w:rtl w:val="0"/>
              </w:rPr>
            </w:r>
          </w:p>
        </w:tc>
      </w:tr>
      <w:tr>
        <w:trPr>
          <w:cantSplit w:val="1"/>
          <w:tblHeader w:val="0"/>
        </w:trPr>
        <w:tc>
          <w:tcPr>
            <w:vMerge w:val="continue"/>
            <w:shd w:fill="f4f4f4" w:val="clear"/>
            <w:tcMar>
              <w:top w:w="140.0" w:type="dxa"/>
              <w:bottom w:w="14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vMerge w:val="continue"/>
            <w:shd w:fill="f4f4f4" w:val="clear"/>
            <w:tcMar>
              <w:top w:w="140.0" w:type="dxa"/>
              <w:bottom w:w="14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shd w:fill="f4f4f4" w:val="clear"/>
            <w:tcMar>
              <w:top w:w="140.0" w:type="dxa"/>
              <w:bottom w:w="140.0" w:type="dxa"/>
            </w:tcMar>
            <w:vAlign w:val="center"/>
          </w:tcPr>
          <w:p w:rsidR="00000000" w:rsidDel="00000000" w:rsidP="00000000" w:rsidRDefault="00000000" w:rsidRPr="00000000" w14:paraId="0000005B">
            <w:pPr>
              <w:jc w:val="center"/>
              <w:rPr/>
            </w:pPr>
            <w:r>
              <w:rPr>
                <w:b w:val="1"/>
                <w:bCs w:val="1"/>
                <w:sz w:val="19"/>
                <w:szCs w:val="19"/>
                <w:rtl w:val="0"/>
              </w:rPr>
              <w:t xml:space="preserve">TRAITEMENT DU LITTÉRAL</w:t>
              <w:br w:type="textWrapping"/>
              <w:t xml:space="preserve">voix / spoken word /</w:t>
              <w:br w:type="textWrapping"/>
              <w:t xml:space="preserve">transformation sonore</w:t>
              <w:br w:type="textWrapping"/>
              <w:t xml:space="preserve">→</w:t>
            </w:r>
            <w:r>
              <w:rPr>
                <w:rtl w:val="0"/>
              </w:rPr>
            </w:r>
          </w:p>
        </w:tc>
        <w:tc>
          <w:tcPr>
            <w:shd w:fill="f4f4f4" w:val="clear"/>
            <w:tcMar>
              <w:top w:w="140.0" w:type="dxa"/>
              <w:bottom w:w="140.0" w:type="dxa"/>
            </w:tcMar>
            <w:vAlign w:val="center"/>
          </w:tcPr>
          <w:p w:rsidR="00000000" w:rsidDel="00000000" w:rsidP="00000000" w:rsidRDefault="00000000" w:rsidRPr="00000000" w14:paraId="0000005C">
            <w:pPr>
              <w:jc w:val="center"/>
              <w:rPr/>
            </w:pPr>
            <w:r>
              <w:rPr>
                <w:b w:val="1"/>
                <w:bCs w:val="1"/>
                <w:sz w:val="20"/>
                <w:szCs w:val="20"/>
                <w:rtl w:val="0"/>
              </w:rPr>
              <w:t xml:space="preserve">MONDE SONORE</w:t>
              <w:br w:type="textWrapping"/>
              <w:t xml:space="preserve">évolutif</w:t>
            </w:r>
            <w:r>
              <w:rPr>
                <w:rtl w:val="0"/>
              </w:rPr>
            </w:r>
          </w:p>
        </w:tc>
      </w:tr>
    </w:tbl>
    <w:p w:rsidR="00000000" w:rsidDel="00000000" w:rsidP="00000000" w:rsidRDefault="00000000" w:rsidRPr="00000000" w14:paraId="0000005D">
      <w:pPr>
        <w:jc w:val="center"/>
        <w:rPr/>
      </w:pPr>
      <w:r>
        <w:rPr>
          <w:i w:val="1"/>
          <w:iCs w:val="1"/>
          <w:color w:val="646464"/>
          <w:sz w:val="17"/>
          <w:szCs w:val="17"/>
          <w:rtl w:val="0"/>
        </w:rPr>
        <w:t xml:space="preserve">Schéma fonctionnel — version de travail éditable</w:t>
      </w:r>
      <w:r>
        <w:rPr>
          <w:rtl w:val="0"/>
        </w:rPr>
      </w:r>
    </w:p>
    <w:p w:rsidR="00000000" w:rsidDel="00000000" w:rsidP="00000000" w:rsidRDefault="00000000" w:rsidRPr="00000000" w14:paraId="0000005E">
      <w:pPr>
        <w:pStyle w:val="Heading1"/>
        <w:rPr/>
      </w:pPr>
      <w:r>
        <w:rPr>
          <w:rtl w:val="0"/>
        </w:rPr>
        <w:t xml:space="preserve">5. Lieu et moyen de diffusion</w:t>
      </w:r>
    </w:p>
    <w:p w:rsidR="00000000" w:rsidDel="00000000" w:rsidP="00000000" w:rsidRDefault="00000000" w:rsidRPr="00000000" w14:paraId="0000005F">
      <w:pPr>
        <w:rPr/>
      </w:pPr>
      <w:r>
        <w:rPr/>
        <w:drawing>
          <wp:inline distB="114300" distT="114300" distL="114300" distR="114300">
            <wp:extent cx="6332220" cy="63373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332220" cy="6337300"/>
                    </a:xfrm>
                    <a:prstGeom prst="rect"/>
                    <a:ln/>
                  </pic:spPr>
                </pic:pic>
              </a:graphicData>
            </a:graphic>
          </wp:inline>
        </w:drawing>
      </w:r>
      <w:r>
        <w:rPr>
          <w:rtl w:val="0"/>
        </w:rPr>
      </w:r>
    </w:p>
    <w:p w:rsidR="00000000" w:rsidDel="00000000" w:rsidP="00000000" w:rsidRDefault="00000000" w:rsidRPr="00000000" w14:paraId="00000060">
      <w:pPr>
        <w:rPr/>
      </w:pPr>
      <w:r>
        <w:rPr>
          <w:rtl w:val="0"/>
        </w:rPr>
        <w:t xml:space="preserve">L’installation est prévue à la Galerie Overflow, Rue Hongrée 6, 4000 Liège. Un accord de principe pour l’accueil du projet a été obtenu. Les modalités pratiques — période exacte d’exposition, durée d’ouverture et horaires — seront précisées en fonction du retour de l’appel à projets et des contraintes de production.</w:t>
      </w:r>
    </w:p>
    <w:p w:rsidR="00000000" w:rsidDel="00000000" w:rsidP="00000000" w:rsidRDefault="00000000" w:rsidRPr="00000000" w14:paraId="00000061">
      <w:pPr>
        <w:rPr/>
      </w:pPr>
      <w:r>
        <w:rPr>
          <w:b w:val="1"/>
          <w:bCs w:val="1"/>
          <w:rtl w:val="0"/>
        </w:rPr>
        <w:t xml:space="preserve">Adresse : </w:t>
      </w:r>
      <w:hyperlink r:id="rId13">
        <w:r>
          <w:rPr>
            <w:color w:val="2f5597"/>
            <w:u w:val="single"/>
            <w:rtl w:val="0"/>
          </w:rPr>
          <w:t xml:space="preserve">Galerie Overflow — Rue Hongrée 6, 4000 Liège</w:t>
        </w:r>
      </w:hyperlink>
      <w:r>
        <w:rPr>
          <w:rtl w:val="0"/>
        </w:rPr>
      </w:r>
    </w:p>
    <w:p w:rsidR="00000000" w:rsidDel="00000000" w:rsidP="00000000" w:rsidRDefault="00000000" w:rsidRPr="00000000" w14:paraId="00000062">
      <w:pPr>
        <w:rPr/>
      </w:pPr>
      <w:r>
        <w:rPr>
          <w:rtl w:val="0"/>
        </w:rPr>
        <w:t xml:space="preserve">Le projet est conçu prioritairement pour une diffusion in situ : l’espace d’accueil, les deux parcours, la contribution en cabine, la naissance de l’enfant et l’immersion simultanée dans le monde visuel et sonore constituent une seule expérience.</w:t>
      </w:r>
    </w:p>
    <w:p w:rsidR="00000000" w:rsidDel="00000000" w:rsidP="00000000" w:rsidRDefault="00000000" w:rsidRPr="00000000" w14:paraId="00000063">
      <w:pPr>
        <w:pStyle w:val="Heading1"/>
        <w:rPr/>
      </w:pPr>
      <w:r>
        <w:rPr>
          <w:rtl w:val="0"/>
        </w:rPr>
        <w:t xml:space="preserve">6. Programmation envisagée</w:t>
      </w:r>
    </w:p>
    <w:tbl>
      <w:tblPr>
        <w:tblStyle w:val="Table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1"/>
          <w:tblHeader w:val="1"/>
        </w:trPr>
        <w:tc>
          <w:tcPr>
            <w:shd w:fill="ededed" w:val="clear"/>
            <w:tcMar>
              <w:top w:w="110.0" w:type="dxa"/>
              <w:bottom w:w="110.0" w:type="dxa"/>
            </w:tcMar>
          </w:tcPr>
          <w:p w:rsidR="00000000" w:rsidDel="00000000" w:rsidP="00000000" w:rsidRDefault="00000000" w:rsidRPr="00000000" w14:paraId="00000064">
            <w:pPr>
              <w:rPr/>
            </w:pPr>
            <w:r>
              <w:rPr>
                <w:b w:val="1"/>
                <w:bCs w:val="1"/>
                <w:rtl w:val="0"/>
              </w:rPr>
              <w:t xml:space="preserve">Phase</w:t>
            </w:r>
            <w:r>
              <w:rPr>
                <w:rtl w:val="0"/>
              </w:rPr>
            </w:r>
          </w:p>
        </w:tc>
        <w:tc>
          <w:tcPr>
            <w:shd w:fill="ededed" w:val="clear"/>
            <w:tcMar>
              <w:top w:w="110.0" w:type="dxa"/>
              <w:bottom w:w="110.0" w:type="dxa"/>
            </w:tcMar>
          </w:tcPr>
          <w:p w:rsidR="00000000" w:rsidDel="00000000" w:rsidP="00000000" w:rsidRDefault="00000000" w:rsidRPr="00000000" w14:paraId="00000065">
            <w:pPr>
              <w:rPr/>
            </w:pPr>
            <w:r>
              <w:rPr>
                <w:b w:val="1"/>
                <w:bCs w:val="1"/>
                <w:rtl w:val="0"/>
              </w:rPr>
              <w:t xml:space="preserve">Contenu</w:t>
            </w:r>
            <w:r>
              <w:rPr>
                <w:rtl w:val="0"/>
              </w:rPr>
            </w:r>
          </w:p>
        </w:tc>
        <w:tc>
          <w:tcPr>
            <w:shd w:fill="ededed" w:val="clear"/>
            <w:tcMar>
              <w:top w:w="110.0" w:type="dxa"/>
              <w:bottom w:w="110.0" w:type="dxa"/>
            </w:tcMar>
          </w:tcPr>
          <w:p w:rsidR="00000000" w:rsidDel="00000000" w:rsidP="00000000" w:rsidRDefault="00000000" w:rsidRPr="00000000" w14:paraId="00000066">
            <w:pPr>
              <w:rPr/>
            </w:pPr>
            <w:r>
              <w:rPr>
                <w:b w:val="1"/>
                <w:bCs w:val="1"/>
                <w:rtl w:val="0"/>
              </w:rPr>
              <w:t xml:space="preserve">Période indicative</w:t>
            </w:r>
            <w:r>
              <w:rPr>
                <w:rtl w:val="0"/>
              </w:rPr>
            </w:r>
          </w:p>
        </w:tc>
        <w:tc>
          <w:tcPr>
            <w:shd w:fill="ededed" w:val="clear"/>
            <w:tcMar>
              <w:top w:w="110.0" w:type="dxa"/>
              <w:bottom w:w="110.0" w:type="dxa"/>
            </w:tcMar>
          </w:tcPr>
          <w:p w:rsidR="00000000" w:rsidDel="00000000" w:rsidP="00000000" w:rsidRDefault="00000000" w:rsidRPr="00000000" w14:paraId="00000067">
            <w:pPr>
              <w:rPr/>
            </w:pPr>
            <w:r>
              <w:rPr>
                <w:b w:val="1"/>
                <w:bCs w:val="1"/>
                <w:rtl w:val="0"/>
              </w:rPr>
              <w:t xml:space="preserve">Résultat</w:t>
            </w:r>
            <w:r>
              <w:rPr>
                <w:rtl w:val="0"/>
              </w:rPr>
            </w:r>
          </w:p>
        </w:tc>
      </w:tr>
      <w:tr>
        <w:trPr>
          <w:cantSplit w:val="1"/>
          <w:tblHeader w:val="0"/>
        </w:trPr>
        <w:tc>
          <w:tcPr>
            <w:tcMar>
              <w:top w:w="110.0" w:type="dxa"/>
              <w:bottom w:w="110.0" w:type="dxa"/>
            </w:tcMar>
            <w:vAlign w:val="top"/>
          </w:tcPr>
          <w:p w:rsidR="00000000" w:rsidDel="00000000" w:rsidP="00000000" w:rsidRDefault="00000000" w:rsidRPr="00000000" w14:paraId="00000068">
            <w:pPr>
              <w:rPr/>
            </w:pPr>
            <w:r>
              <w:rPr>
                <w:rtl w:val="0"/>
              </w:rPr>
              <w:t xml:space="preserve">1. Prototypage plastique</w:t>
            </w:r>
          </w:p>
        </w:tc>
        <w:tc>
          <w:tcPr>
            <w:tcMar>
              <w:top w:w="110.0" w:type="dxa"/>
              <w:bottom w:w="110.0" w:type="dxa"/>
            </w:tcMar>
            <w:vAlign w:val="top"/>
          </w:tcPr>
          <w:p w:rsidR="00000000" w:rsidDel="00000000" w:rsidP="00000000" w:rsidRDefault="00000000" w:rsidRPr="00000000" w14:paraId="00000069">
            <w:pPr>
              <w:rPr/>
            </w:pPr>
            <w:r>
              <w:rPr>
                <w:rtl w:val="0"/>
              </w:rPr>
              <w:t xml:space="preserve">Grammaires de comportement, mouvement et couleur ; tests de tissage ; reconnaissance du dernier enfant ; premiers tests sonores.</w:t>
            </w:r>
          </w:p>
        </w:tc>
        <w:tc>
          <w:tcPr>
            <w:tcMar>
              <w:top w:w="110.0" w:type="dxa"/>
              <w:bottom w:w="110.0" w:type="dxa"/>
            </w:tcMar>
            <w:vAlign w:val="top"/>
          </w:tcPr>
          <w:p w:rsidR="00000000" w:rsidDel="00000000" w:rsidP="00000000" w:rsidRDefault="00000000" w:rsidRPr="00000000" w14:paraId="0000006A">
            <w:pPr>
              <w:rPr/>
            </w:pPr>
            <w:r>
              <w:rPr>
                <w:rtl w:val="0"/>
              </w:rPr>
              <w:t xml:space="preserve">1ᵉʳ déc. 2026 – 9 jan. 2027</w:t>
            </w:r>
          </w:p>
        </w:tc>
        <w:tc>
          <w:tcPr>
            <w:tcMar>
              <w:top w:w="110.0" w:type="dxa"/>
              <w:bottom w:w="110.0" w:type="dxa"/>
            </w:tcMar>
            <w:vAlign w:val="top"/>
          </w:tcPr>
          <w:p w:rsidR="00000000" w:rsidDel="00000000" w:rsidP="00000000" w:rsidRDefault="00000000" w:rsidRPr="00000000" w14:paraId="0000006B">
            <w:pPr>
              <w:rPr/>
            </w:pPr>
            <w:r>
              <w:rPr>
                <w:rtl w:val="0"/>
              </w:rPr>
              <w:t xml:space="preserve">Prototype visuel et sonore.</w:t>
            </w:r>
          </w:p>
        </w:tc>
      </w:tr>
      <w:tr>
        <w:trPr>
          <w:cantSplit w:val="1"/>
          <w:tblHeader w:val="0"/>
        </w:trPr>
        <w:tc>
          <w:tcPr>
            <w:tcMar>
              <w:top w:w="110.0" w:type="dxa"/>
              <w:bottom w:w="110.0" w:type="dxa"/>
            </w:tcMar>
            <w:vAlign w:val="top"/>
          </w:tcPr>
          <w:p w:rsidR="00000000" w:rsidDel="00000000" w:rsidP="00000000" w:rsidRDefault="00000000" w:rsidRPr="00000000" w14:paraId="0000006C">
            <w:pPr>
              <w:rPr/>
            </w:pPr>
            <w:r>
              <w:rPr>
                <w:rtl w:val="0"/>
              </w:rPr>
              <w:t xml:space="preserve">2. Interaction</w:t>
            </w:r>
          </w:p>
        </w:tc>
        <w:tc>
          <w:tcPr>
            <w:tcMar>
              <w:top w:w="110.0" w:type="dxa"/>
              <w:bottom w:w="110.0" w:type="dxa"/>
            </w:tcMar>
            <w:vAlign w:val="top"/>
          </w:tcPr>
          <w:p w:rsidR="00000000" w:rsidDel="00000000" w:rsidP="00000000" w:rsidRDefault="00000000" w:rsidRPr="00000000" w14:paraId="0000006D">
            <w:pPr>
              <w:rPr/>
            </w:pPr>
            <w:r>
              <w:rPr>
                <w:rtl w:val="0"/>
              </w:rPr>
              <w:t xml:space="preserve">Présence animée, famille de questions, conversation, consentement et traduction en paramètres.</w:t>
            </w:r>
          </w:p>
        </w:tc>
        <w:tc>
          <w:tcPr>
            <w:tcMar>
              <w:top w:w="110.0" w:type="dxa"/>
              <w:bottom w:w="110.0" w:type="dxa"/>
            </w:tcMar>
            <w:vAlign w:val="top"/>
          </w:tcPr>
          <w:p w:rsidR="00000000" w:rsidDel="00000000" w:rsidP="00000000" w:rsidRDefault="00000000" w:rsidRPr="00000000" w14:paraId="0000006E">
            <w:pPr>
              <w:rPr/>
            </w:pPr>
            <w:r>
              <w:rPr>
                <w:rtl w:val="0"/>
              </w:rPr>
              <w:t xml:space="preserve">11 jan. – 6 fév. 2027</w:t>
            </w:r>
          </w:p>
        </w:tc>
        <w:tc>
          <w:tcPr>
            <w:tcMar>
              <w:top w:w="110.0" w:type="dxa"/>
              <w:bottom w:w="110.0" w:type="dxa"/>
            </w:tcMar>
            <w:vAlign w:val="top"/>
          </w:tcPr>
          <w:p w:rsidR="00000000" w:rsidDel="00000000" w:rsidP="00000000" w:rsidRDefault="00000000" w:rsidRPr="00000000" w14:paraId="0000006F">
            <w:pPr>
              <w:rPr/>
            </w:pPr>
            <w:r>
              <w:rPr>
                <w:rtl w:val="0"/>
              </w:rPr>
              <w:t xml:space="preserve">Prototype complet de la cabine « Contribuer ».</w:t>
            </w:r>
          </w:p>
        </w:tc>
      </w:tr>
      <w:tr>
        <w:trPr>
          <w:cantSplit w:val="1"/>
          <w:tblHeader w:val="0"/>
        </w:trPr>
        <w:tc>
          <w:tcPr>
            <w:tcMar>
              <w:top w:w="110.0" w:type="dxa"/>
              <w:bottom w:w="110.0" w:type="dxa"/>
            </w:tcMar>
            <w:vAlign w:val="top"/>
          </w:tcPr>
          <w:p w:rsidR="00000000" w:rsidDel="00000000" w:rsidP="00000000" w:rsidRDefault="00000000" w:rsidRPr="00000000" w14:paraId="00000070">
            <w:pPr>
              <w:rPr/>
            </w:pPr>
            <w:r>
              <w:rPr>
                <w:rtl w:val="0"/>
              </w:rPr>
              <w:t xml:space="preserve">3. Intégration</w:t>
            </w:r>
          </w:p>
        </w:tc>
        <w:tc>
          <w:tcPr>
            <w:tcMar>
              <w:top w:w="110.0" w:type="dxa"/>
              <w:bottom w:w="110.0" w:type="dxa"/>
            </w:tcMar>
            <w:vAlign w:val="top"/>
          </w:tcPr>
          <w:p w:rsidR="00000000" w:rsidDel="00000000" w:rsidP="00000000" w:rsidRDefault="00000000" w:rsidRPr="00000000" w14:paraId="00000071">
            <w:pPr>
              <w:rPr/>
            </w:pPr>
            <w:r>
              <w:rPr>
                <w:rtl w:val="0"/>
              </w:rPr>
              <w:t xml:space="preserve">Connexion conversation → enfant → monde visuel → monde sonore ; tests de robustesse.</w:t>
            </w:r>
          </w:p>
        </w:tc>
        <w:tc>
          <w:tcPr>
            <w:tcMar>
              <w:top w:w="110.0" w:type="dxa"/>
              <w:bottom w:w="110.0" w:type="dxa"/>
            </w:tcMar>
            <w:vAlign w:val="top"/>
          </w:tcPr>
          <w:p w:rsidR="00000000" w:rsidDel="00000000" w:rsidP="00000000" w:rsidRDefault="00000000" w:rsidRPr="00000000" w14:paraId="00000072">
            <w:pPr>
              <w:rPr/>
            </w:pPr>
            <w:r>
              <w:rPr>
                <w:rtl w:val="0"/>
              </w:rPr>
              <w:t xml:space="preserve">8 – 18 fév. 2027</w:t>
            </w:r>
          </w:p>
        </w:tc>
        <w:tc>
          <w:tcPr>
            <w:tcMar>
              <w:top w:w="110.0" w:type="dxa"/>
              <w:bottom w:w="110.0" w:type="dxa"/>
            </w:tcMar>
            <w:vAlign w:val="top"/>
          </w:tcPr>
          <w:p w:rsidR="00000000" w:rsidDel="00000000" w:rsidP="00000000" w:rsidRDefault="00000000" w:rsidRPr="00000000" w14:paraId="00000073">
            <w:pPr>
              <w:rPr/>
            </w:pPr>
            <w:r>
              <w:rPr>
                <w:rtl w:val="0"/>
              </w:rPr>
              <w:t xml:space="preserve">Système interactif intégré.</w:t>
            </w:r>
          </w:p>
        </w:tc>
      </w:tr>
      <w:tr>
        <w:trPr>
          <w:cantSplit w:val="1"/>
          <w:tblHeader w:val="0"/>
        </w:trPr>
        <w:tc>
          <w:tcPr>
            <w:tcMar>
              <w:top w:w="110.0" w:type="dxa"/>
              <w:bottom w:w="110.0" w:type="dxa"/>
            </w:tcMar>
            <w:vAlign w:val="top"/>
          </w:tcPr>
          <w:p w:rsidR="00000000" w:rsidDel="00000000" w:rsidP="00000000" w:rsidRDefault="00000000" w:rsidRPr="00000000" w14:paraId="00000074">
            <w:pPr>
              <w:rPr/>
            </w:pPr>
            <w:r>
              <w:rPr>
                <w:rtl w:val="0"/>
              </w:rPr>
              <w:t xml:space="preserve">4. Scénographie et production</w:t>
            </w:r>
          </w:p>
        </w:tc>
        <w:tc>
          <w:tcPr>
            <w:tcMar>
              <w:top w:w="110.0" w:type="dxa"/>
              <w:bottom w:w="110.0" w:type="dxa"/>
            </w:tcMar>
            <w:vAlign w:val="top"/>
          </w:tcPr>
          <w:p w:rsidR="00000000" w:rsidDel="00000000" w:rsidP="00000000" w:rsidRDefault="00000000" w:rsidRPr="00000000" w14:paraId="00000075">
            <w:pPr>
              <w:rPr/>
            </w:pPr>
            <w:r>
              <w:rPr>
                <w:rtl w:val="0"/>
              </w:rPr>
              <w:t xml:space="preserve">Fabrication légère des espaces, projection, son, signalétique d’accueil.</w:t>
            </w:r>
          </w:p>
        </w:tc>
        <w:tc>
          <w:tcPr>
            <w:tcMar>
              <w:top w:w="110.0" w:type="dxa"/>
              <w:bottom w:w="110.0" w:type="dxa"/>
            </w:tcMar>
            <w:vAlign w:val="top"/>
          </w:tcPr>
          <w:p w:rsidR="00000000" w:rsidDel="00000000" w:rsidP="00000000" w:rsidRDefault="00000000" w:rsidRPr="00000000" w14:paraId="00000076">
            <w:pPr>
              <w:rPr/>
            </w:pPr>
            <w:r>
              <w:rPr>
                <w:rtl w:val="0"/>
              </w:rPr>
              <w:t xml:space="preserve">25 jan. – 18 fév. 2027</w:t>
            </w:r>
          </w:p>
        </w:tc>
        <w:tc>
          <w:tcPr>
            <w:tcMar>
              <w:top w:w="110.0" w:type="dxa"/>
              <w:bottom w:w="110.0" w:type="dxa"/>
            </w:tcMar>
            <w:vAlign w:val="top"/>
          </w:tcPr>
          <w:p w:rsidR="00000000" w:rsidDel="00000000" w:rsidP="00000000" w:rsidRDefault="00000000" w:rsidRPr="00000000" w14:paraId="00000077">
            <w:pPr>
              <w:rPr/>
            </w:pPr>
            <w:r>
              <w:rPr>
                <w:rtl w:val="0"/>
              </w:rPr>
              <w:t xml:space="preserve">Installation prête au montage.</w:t>
            </w:r>
          </w:p>
        </w:tc>
      </w:tr>
      <w:tr>
        <w:trPr>
          <w:cantSplit w:val="1"/>
          <w:tblHeader w:val="0"/>
        </w:trPr>
        <w:tc>
          <w:tcPr>
            <w:tcMar>
              <w:top w:w="110.0" w:type="dxa"/>
              <w:bottom w:w="110.0" w:type="dxa"/>
            </w:tcMar>
            <w:vAlign w:val="top"/>
          </w:tcPr>
          <w:p w:rsidR="00000000" w:rsidDel="00000000" w:rsidP="00000000" w:rsidRDefault="00000000" w:rsidRPr="00000000" w14:paraId="00000078">
            <w:pPr>
              <w:rPr/>
            </w:pPr>
            <w:r>
              <w:rPr>
                <w:rtl w:val="0"/>
              </w:rPr>
              <w:t xml:space="preserve">5. Installation in situ</w:t>
            </w:r>
          </w:p>
        </w:tc>
        <w:tc>
          <w:tcPr>
            <w:tcMar>
              <w:top w:w="110.0" w:type="dxa"/>
              <w:bottom w:w="110.0" w:type="dxa"/>
            </w:tcMar>
            <w:vAlign w:val="top"/>
          </w:tcPr>
          <w:p w:rsidR="00000000" w:rsidDel="00000000" w:rsidP="00000000" w:rsidRDefault="00000000" w:rsidRPr="00000000" w14:paraId="00000079">
            <w:pPr>
              <w:rPr/>
            </w:pPr>
            <w:r>
              <w:rPr>
                <w:rtl w:val="0"/>
              </w:rPr>
              <w:t xml:space="preserve">Montage à Overflow, calibration, répétitions et tests publics restreints.</w:t>
            </w:r>
          </w:p>
        </w:tc>
        <w:tc>
          <w:tcPr>
            <w:tcMar>
              <w:top w:w="110.0" w:type="dxa"/>
              <w:bottom w:w="110.0" w:type="dxa"/>
            </w:tcMar>
            <w:vAlign w:val="top"/>
          </w:tcPr>
          <w:p w:rsidR="00000000" w:rsidDel="00000000" w:rsidP="00000000" w:rsidRDefault="00000000" w:rsidRPr="00000000" w14:paraId="0000007A">
            <w:pPr>
              <w:rPr/>
            </w:pPr>
            <w:r>
              <w:rPr>
                <w:rtl w:val="0"/>
              </w:rPr>
              <w:t xml:space="preserve">19 – 25 fév. 2027</w:t>
            </w:r>
          </w:p>
        </w:tc>
        <w:tc>
          <w:tcPr>
            <w:tcMar>
              <w:top w:w="110.0" w:type="dxa"/>
              <w:bottom w:w="110.0" w:type="dxa"/>
            </w:tcMar>
            <w:vAlign w:val="top"/>
          </w:tcPr>
          <w:p w:rsidR="00000000" w:rsidDel="00000000" w:rsidP="00000000" w:rsidRDefault="00000000" w:rsidRPr="00000000" w14:paraId="0000007B">
            <w:pPr>
              <w:rPr/>
            </w:pPr>
            <w:r>
              <w:rPr>
                <w:rtl w:val="0"/>
              </w:rPr>
              <w:t xml:space="preserve">Ouverture.</w:t>
            </w:r>
          </w:p>
        </w:tc>
      </w:tr>
      <w:tr>
        <w:trPr>
          <w:cantSplit w:val="1"/>
          <w:tblHeader w:val="0"/>
        </w:trPr>
        <w:tc>
          <w:tcPr>
            <w:tcMar>
              <w:top w:w="110.0" w:type="dxa"/>
              <w:bottom w:w="110.0" w:type="dxa"/>
            </w:tcMar>
            <w:vAlign w:val="top"/>
          </w:tcPr>
          <w:p w:rsidR="00000000" w:rsidDel="00000000" w:rsidP="00000000" w:rsidRDefault="00000000" w:rsidRPr="00000000" w14:paraId="0000007C">
            <w:pPr>
              <w:rPr/>
            </w:pPr>
            <w:r>
              <w:rPr>
                <w:rtl w:val="0"/>
              </w:rPr>
              <w:t xml:space="preserve">6. Présentation publique</w:t>
            </w:r>
          </w:p>
        </w:tc>
        <w:tc>
          <w:tcPr>
            <w:tcMar>
              <w:top w:w="110.0" w:type="dxa"/>
              <w:bottom w:w="110.0" w:type="dxa"/>
            </w:tcMar>
            <w:vAlign w:val="top"/>
          </w:tcPr>
          <w:p w:rsidR="00000000" w:rsidDel="00000000" w:rsidP="00000000" w:rsidRDefault="00000000" w:rsidRPr="00000000" w14:paraId="0000007D">
            <w:pPr>
              <w:rPr/>
            </w:pPr>
            <w:r>
              <w:rPr>
                <w:rtl w:val="0"/>
              </w:rPr>
              <w:t xml:space="preserve">Accueil du public et évolution continue de l’œuvre.</w:t>
            </w:r>
          </w:p>
        </w:tc>
        <w:tc>
          <w:tcPr>
            <w:tcMar>
              <w:top w:w="110.0" w:type="dxa"/>
              <w:bottom w:w="110.0" w:type="dxa"/>
            </w:tcMar>
            <w:vAlign w:val="top"/>
          </w:tcPr>
          <w:p w:rsidR="00000000" w:rsidDel="00000000" w:rsidP="00000000" w:rsidRDefault="00000000" w:rsidRPr="00000000" w14:paraId="0000007E">
            <w:pPr>
              <w:rPr/>
            </w:pPr>
            <w:r>
              <w:rPr>
                <w:rtl w:val="0"/>
              </w:rPr>
              <w:t xml:space="preserve">26 fév. – 14 mars 2027</w:t>
            </w:r>
          </w:p>
        </w:tc>
        <w:tc>
          <w:tcPr>
            <w:tcMar>
              <w:top w:w="110.0" w:type="dxa"/>
              <w:bottom w:w="110.0" w:type="dxa"/>
            </w:tcMar>
            <w:vAlign w:val="top"/>
          </w:tcPr>
          <w:p w:rsidR="00000000" w:rsidDel="00000000" w:rsidP="00000000" w:rsidRDefault="00000000" w:rsidRPr="00000000" w14:paraId="0000007F">
            <w:pPr>
              <w:rPr/>
            </w:pPr>
            <w:r>
              <w:rPr>
                <w:rtl w:val="0"/>
              </w:rPr>
              <w:t xml:space="preserve">Exposition.</w:t>
            </w:r>
          </w:p>
        </w:tc>
      </w:tr>
      <w:tr>
        <w:trPr>
          <w:cantSplit w:val="1"/>
          <w:tblHeader w:val="0"/>
        </w:trPr>
        <w:tc>
          <w:tcPr>
            <w:tcMar>
              <w:top w:w="110.0" w:type="dxa"/>
              <w:bottom w:w="110.0" w:type="dxa"/>
            </w:tcMar>
            <w:vAlign w:val="top"/>
          </w:tcPr>
          <w:p w:rsidR="00000000" w:rsidDel="00000000" w:rsidP="00000000" w:rsidRDefault="00000000" w:rsidRPr="00000000" w14:paraId="00000080">
            <w:pPr>
              <w:rPr/>
            </w:pPr>
            <w:r>
              <w:rPr>
                <w:rtl w:val="0"/>
              </w:rPr>
              <w:t xml:space="preserve">7. Documentation / bilan</w:t>
            </w:r>
          </w:p>
        </w:tc>
        <w:tc>
          <w:tcPr>
            <w:tcMar>
              <w:top w:w="110.0" w:type="dxa"/>
              <w:bottom w:w="110.0" w:type="dxa"/>
            </w:tcMar>
            <w:vAlign w:val="top"/>
          </w:tcPr>
          <w:p w:rsidR="00000000" w:rsidDel="00000000" w:rsidP="00000000" w:rsidRDefault="00000000" w:rsidRPr="00000000" w14:paraId="00000081">
            <w:pPr>
              <w:rPr/>
            </w:pPr>
            <w:r>
              <w:rPr>
                <w:rtl w:val="0"/>
              </w:rPr>
              <w:t xml:space="preserve">Captation, démontage, retour d’expérience, réunion des pièces justificatives.</w:t>
            </w:r>
          </w:p>
        </w:tc>
        <w:tc>
          <w:tcPr>
            <w:tcMar>
              <w:top w:w="110.0" w:type="dxa"/>
              <w:bottom w:w="110.0" w:type="dxa"/>
            </w:tcMar>
            <w:vAlign w:val="top"/>
          </w:tcPr>
          <w:p w:rsidR="00000000" w:rsidDel="00000000" w:rsidP="00000000" w:rsidRDefault="00000000" w:rsidRPr="00000000" w14:paraId="00000082">
            <w:pPr>
              <w:rPr/>
            </w:pPr>
            <w:r>
              <w:rPr>
                <w:rtl w:val="0"/>
              </w:rPr>
              <w:t xml:space="preserve">15 mars – 30 juin 2027</w:t>
            </w:r>
          </w:p>
        </w:tc>
        <w:tc>
          <w:tcPr>
            <w:tcMar>
              <w:top w:w="110.0" w:type="dxa"/>
              <w:bottom w:w="110.0" w:type="dxa"/>
            </w:tcMar>
            <w:vAlign w:val="top"/>
          </w:tcPr>
          <w:p w:rsidR="00000000" w:rsidDel="00000000" w:rsidP="00000000" w:rsidRDefault="00000000" w:rsidRPr="00000000" w14:paraId="00000083">
            <w:pPr>
              <w:rPr/>
            </w:pPr>
            <w:r>
              <w:rPr>
                <w:rtl w:val="0"/>
              </w:rPr>
              <w:t xml:space="preserve">Documentation finale.</w:t>
            </w:r>
          </w:p>
        </w:tc>
      </w:tr>
    </w:tbl>
    <w:p w:rsidR="00000000" w:rsidDel="00000000" w:rsidP="00000000" w:rsidRDefault="00000000" w:rsidRPr="00000000" w14:paraId="00000084">
      <w:pPr>
        <w:pStyle w:val="Heading1"/>
        <w:rPr/>
      </w:pPr>
      <w:r>
        <w:rPr>
          <w:rtl w:val="0"/>
        </w:rPr>
        <w:t xml:space="preserve">7. Durée du projet</w:t>
      </w:r>
    </w:p>
    <w:p w:rsidR="00000000" w:rsidDel="00000000" w:rsidP="00000000" w:rsidRDefault="00000000" w:rsidRPr="00000000" w14:paraId="00000085">
      <w:pPr>
        <w:rPr/>
      </w:pPr>
      <w:r>
        <w:rPr>
          <w:rtl w:val="0"/>
        </w:rPr>
        <w:t xml:space="preserve">L’œuvre se regarde dans le noir : la période d’exposition est donc choisie dans la fenêtre où la nuit tombe tôt à Liège, de novembre à mars. Le calendrier ci-dessous s’inscrit entièrement dans la fenêtre réglementaire et laisse huit mois de marge avant son échéance, ce qui autorise un report à l’hiver suivant si la production l’exigeait. Les dates seront confirmées avec la Galerie Overflow après notification.</w:t>
      </w:r>
    </w:p>
    <w:p w:rsidR="00000000" w:rsidDel="00000000" w:rsidP="00000000" w:rsidRDefault="00000000" w:rsidRPr="00000000" w14:paraId="00000086">
      <w:pPr>
        <w:rPr/>
      </w:pPr>
      <w:r>
        <w:rPr>
          <w:i w:val="1"/>
          <w:iCs w:val="1"/>
          <w:color w:val="6e6e6e"/>
          <w:rtl w:val="0"/>
        </w:rPr>
        <w:t xml:space="preserve">Début de production : 1ᵉʳ décembre 2026</w:t>
      </w:r>
      <w:r>
        <w:rPr>
          <w:rtl w:val="0"/>
        </w:rPr>
      </w:r>
    </w:p>
    <w:p w:rsidR="00000000" w:rsidDel="00000000" w:rsidP="00000000" w:rsidRDefault="00000000" w:rsidRPr="00000000" w14:paraId="00000087">
      <w:pPr>
        <w:rPr/>
      </w:pPr>
      <w:r>
        <w:rPr>
          <w:i w:val="1"/>
          <w:iCs w:val="1"/>
          <w:color w:val="6e6e6e"/>
          <w:rtl w:val="0"/>
        </w:rPr>
        <w:t xml:space="preserve">Période d’exposition : 26 février – 14 mars 2027, du jeudi au dimanche, de 18 h à 22 h</w:t>
      </w:r>
      <w:r>
        <w:rPr>
          <w:rtl w:val="0"/>
        </w:rPr>
      </w:r>
    </w:p>
    <w:p w:rsidR="00000000" w:rsidDel="00000000" w:rsidP="00000000" w:rsidRDefault="00000000" w:rsidRPr="00000000" w14:paraId="00000088">
      <w:pPr>
        <w:rPr/>
      </w:pPr>
      <w:r>
        <w:rPr>
          <w:i w:val="1"/>
          <w:iCs w:val="1"/>
          <w:color w:val="6e6e6e"/>
          <w:rtl w:val="0"/>
        </w:rPr>
        <w:t xml:space="preserve">Clôture du projet : 30 juin 2027</w:t>
      </w:r>
      <w:r>
        <w:rPr>
          <w:rtl w:val="0"/>
        </w:rPr>
      </w:r>
    </w:p>
    <w:p>
      <w:pPr>
        <w:rPr/>
      </w:pPr>
      <w:r>
        <w:rPr>
          <w:rtl w:val="0"/>
        </w:rPr>
        <w:t xml:space="preserve">La clôture est fixée au 30 juin 2027, soit trois mois après la fin de l’exposition : les pièces justificatives devant porter des dates comprises dans la période déclarée, cette marge couvre les factures tardives et la documentation finale. L’ensemble reste très en amont de l’échéance du 30 novembre 2027.</w:t>
      </w:r>
    </w:p>
    <w:p w:rsidR="00000000" w:rsidDel="00000000" w:rsidP="00000000" w:rsidRDefault="00000000" w:rsidRPr="00000000" w14:paraId="00000089">
      <w:pPr>
        <w:pStyle w:val="Heading1"/>
        <w:rPr/>
      </w:pPr>
      <w:r>
        <w:rPr>
          <w:rtl w:val="0"/>
        </w:rPr>
        <w:t xml:space="preserve">8. Organisation, apports et faisabilité</w:t>
      </w:r>
    </w:p>
    <w:p w:rsidR="00000000" w:rsidDel="00000000" w:rsidP="00000000" w:rsidRDefault="00000000" w:rsidRPr="00000000" w14:paraId="0000008A">
      <w:pPr>
        <w:rPr/>
      </w:pPr>
      <w:r>
        <w:rPr>
          <w:rtl w:val="0"/>
        </w:rPr>
        <w:t xml:space="preserve">Le projet associe dès sa conception les compétences artistiques, techniques et de production nécessaires. L’accord de principe obtenu pour la Galerie Overflow réduit en outre un risque important de diffusion : le lieu pressenti est déjà identifié.</w:t>
      </w:r>
    </w:p>
    <w:tbl>
      <w:tblPr>
        <w:tblStyle w:val="Table6"/>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ededed" w:val="clear"/>
            <w:tcMar>
              <w:top w:w="110.0" w:type="dxa"/>
              <w:bottom w:w="110.0" w:type="dxa"/>
            </w:tcMar>
          </w:tcPr>
          <w:p w:rsidR="00000000" w:rsidDel="00000000" w:rsidP="00000000" w:rsidRDefault="00000000" w:rsidRPr="00000000" w14:paraId="0000008B">
            <w:pPr>
              <w:rPr/>
            </w:pPr>
            <w:r>
              <w:rPr>
                <w:b w:val="1"/>
                <w:bCs w:val="1"/>
                <w:rtl w:val="0"/>
              </w:rPr>
              <w:t xml:space="preserve">Ressource</w:t>
            </w:r>
            <w:r>
              <w:rPr>
                <w:rtl w:val="0"/>
              </w:rPr>
            </w:r>
          </w:p>
        </w:tc>
        <w:tc>
          <w:tcPr>
            <w:shd w:fill="ededed" w:val="clear"/>
            <w:tcMar>
              <w:top w:w="110.0" w:type="dxa"/>
              <w:bottom w:w="110.0" w:type="dxa"/>
            </w:tcMar>
          </w:tcPr>
          <w:p w:rsidR="00000000" w:rsidDel="00000000" w:rsidP="00000000" w:rsidRDefault="00000000" w:rsidRPr="00000000" w14:paraId="0000008C">
            <w:pPr>
              <w:rPr/>
            </w:pPr>
            <w:r>
              <w:rPr>
                <w:b w:val="1"/>
                <w:bCs w:val="1"/>
                <w:rtl w:val="0"/>
              </w:rPr>
              <w:t xml:space="preserve">Apport au projet</w:t>
            </w:r>
            <w:r>
              <w:rPr>
                <w:rtl w:val="0"/>
              </w:rPr>
            </w:r>
          </w:p>
        </w:tc>
        <w:tc>
          <w:tcPr>
            <w:shd w:fill="ededed" w:val="clear"/>
            <w:tcMar>
              <w:top w:w="110.0" w:type="dxa"/>
              <w:bottom w:w="110.0" w:type="dxa"/>
            </w:tcMar>
          </w:tcPr>
          <w:p w:rsidR="00000000" w:rsidDel="00000000" w:rsidP="00000000" w:rsidRDefault="00000000" w:rsidRPr="00000000" w14:paraId="0000008D">
            <w:pPr>
              <w:rPr/>
            </w:pPr>
            <w:r>
              <w:rPr>
                <w:b w:val="1"/>
                <w:bCs w:val="1"/>
                <w:rtl w:val="0"/>
              </w:rPr>
              <w:t xml:space="preserve">Statut</w:t>
            </w:r>
            <w:r>
              <w:rPr>
                <w:rtl w:val="0"/>
              </w:rPr>
            </w:r>
          </w:p>
        </w:tc>
      </w:tr>
      <w:tr>
        <w:trPr>
          <w:cantSplit w:val="1"/>
          <w:tblHeader w:val="0"/>
        </w:trPr>
        <w:tc>
          <w:tcPr>
            <w:tcMar>
              <w:top w:w="110.0" w:type="dxa"/>
              <w:bottom w:w="110.0" w:type="dxa"/>
            </w:tcMar>
            <w:vAlign w:val="top"/>
          </w:tcPr>
          <w:p w:rsidR="00000000" w:rsidDel="00000000" w:rsidP="00000000" w:rsidRDefault="00000000" w:rsidRPr="00000000" w14:paraId="0000008E">
            <w:pPr>
              <w:rPr/>
            </w:pPr>
            <w:r>
              <w:rPr>
                <w:rtl w:val="0"/>
              </w:rPr>
              <w:t xml:space="preserve">ASBL "La Galerie Du Livre Et de l'Étrange Théâtre"</w:t>
            </w:r>
          </w:p>
        </w:tc>
        <w:tc>
          <w:tcPr>
            <w:tcMar>
              <w:top w:w="110.0" w:type="dxa"/>
              <w:bottom w:w="110.0" w:type="dxa"/>
            </w:tcMar>
            <w:vAlign w:val="top"/>
          </w:tcPr>
          <w:p w:rsidR="00000000" w:rsidDel="00000000" w:rsidP="00000000" w:rsidRDefault="00000000" w:rsidRPr="00000000" w14:paraId="0000008F">
            <w:pPr>
              <w:rPr/>
            </w:pPr>
            <w:r>
              <w:rPr>
                <w:rtl w:val="0"/>
              </w:rPr>
              <w:t xml:space="preserve">Opérateur du projet ; portage administratif et culturel.</w:t>
            </w:r>
          </w:p>
        </w:tc>
        <w:tc>
          <w:tcPr>
            <w:tcMar>
              <w:top w:w="110.0" w:type="dxa"/>
              <w:bottom w:w="110.0" w:type="dxa"/>
            </w:tcMar>
            <w:vAlign w:val="top"/>
          </w:tcPr>
          <w:p w:rsidR="00000000" w:rsidDel="00000000" w:rsidP="00000000" w:rsidRDefault="00000000" w:rsidRPr="00000000" w14:paraId="00000090">
            <w:pPr>
              <w:rPr/>
            </w:pPr>
            <w:r>
              <w:rPr>
                <w:rtl w:val="0"/>
              </w:rPr>
              <w:t xml:space="preserve">Confirmé</w:t>
            </w:r>
          </w:p>
        </w:tc>
      </w:tr>
      <w:tr>
        <w:trPr>
          <w:cantSplit w:val="1"/>
          <w:tblHeader w:val="0"/>
        </w:trPr>
        <w:tc>
          <w:tcPr>
            <w:tcMar>
              <w:top w:w="110.0" w:type="dxa"/>
              <w:bottom w:w="110.0" w:type="dxa"/>
            </w:tcMar>
            <w:vAlign w:val="top"/>
          </w:tcPr>
          <w:p w:rsidR="00000000" w:rsidDel="00000000" w:rsidP="00000000" w:rsidRDefault="00000000" w:rsidRPr="00000000" w14:paraId="00000091">
            <w:pPr>
              <w:rPr/>
            </w:pPr>
            <w:r>
              <w:rPr>
                <w:rtl w:val="0"/>
              </w:rPr>
              <w:t xml:space="preserve">Denis Gauder</w:t>
            </w:r>
          </w:p>
        </w:tc>
        <w:tc>
          <w:tcPr>
            <w:tcMar>
              <w:top w:w="110.0" w:type="dxa"/>
              <w:bottom w:w="110.0" w:type="dxa"/>
            </w:tcMar>
            <w:vAlign w:val="top"/>
          </w:tcPr>
          <w:p w:rsidR="00000000" w:rsidDel="00000000" w:rsidP="00000000" w:rsidRDefault="00000000" w:rsidRPr="00000000" w14:paraId="00000092">
            <w:pPr>
              <w:rPr/>
            </w:pPr>
            <w:r>
              <w:rPr>
                <w:rtl w:val="0"/>
              </w:rPr>
              <w:t xml:space="preserve">Conception, direction artistique, gestion du projet, simulation et intégration.</w:t>
            </w:r>
          </w:p>
        </w:tc>
        <w:tc>
          <w:tcPr>
            <w:tcMar>
              <w:top w:w="110.0" w:type="dxa"/>
              <w:bottom w:w="110.0" w:type="dxa"/>
            </w:tcMar>
            <w:vAlign w:val="top"/>
          </w:tcPr>
          <w:p w:rsidR="00000000" w:rsidDel="00000000" w:rsidP="00000000" w:rsidRDefault="00000000" w:rsidRPr="00000000" w14:paraId="00000093">
            <w:pPr>
              <w:rPr/>
            </w:pPr>
            <w:r>
              <w:rPr>
                <w:rtl w:val="0"/>
              </w:rPr>
              <w:t xml:space="preserve">Confirmé</w:t>
            </w:r>
          </w:p>
        </w:tc>
      </w:tr>
      <w:tr>
        <w:trPr>
          <w:cantSplit w:val="1"/>
          <w:tblHeader w:val="0"/>
        </w:trPr>
        <w:tc>
          <w:tcPr>
            <w:tcMar>
              <w:top w:w="110.0" w:type="dxa"/>
              <w:bottom w:w="110.0" w:type="dxa"/>
            </w:tcMar>
            <w:vAlign w:val="top"/>
          </w:tcPr>
          <w:p w:rsidR="00000000" w:rsidDel="00000000" w:rsidP="00000000" w:rsidRDefault="00000000" w:rsidRPr="00000000" w14:paraId="00000094">
            <w:pPr>
              <w:rPr/>
            </w:pPr>
            <w:r>
              <w:rPr>
                <w:rtl w:val="0"/>
              </w:rPr>
              <w:t xml:space="preserve">Guillaume Denys</w:t>
            </w:r>
          </w:p>
        </w:tc>
        <w:tc>
          <w:tcPr>
            <w:tcMar>
              <w:top w:w="110.0" w:type="dxa"/>
              <w:bottom w:w="110.0" w:type="dxa"/>
            </w:tcMar>
            <w:vAlign w:val="top"/>
          </w:tcPr>
          <w:p w:rsidR="00000000" w:rsidDel="00000000" w:rsidP="00000000" w:rsidRDefault="00000000" w:rsidRPr="00000000" w14:paraId="00000095">
            <w:pPr>
              <w:rPr/>
            </w:pPr>
            <w:r>
              <w:rPr>
                <w:rtl w:val="0"/>
              </w:rPr>
              <w:t xml:space="preserve">Collaboration conceptuelle et artistique ; accompagnement principal.</w:t>
            </w:r>
          </w:p>
        </w:tc>
        <w:tc>
          <w:tcPr>
            <w:tcMar>
              <w:top w:w="110.0" w:type="dxa"/>
              <w:bottom w:w="110.0" w:type="dxa"/>
            </w:tcMar>
            <w:vAlign w:val="top"/>
          </w:tcPr>
          <w:p w:rsidR="00000000" w:rsidDel="00000000" w:rsidP="00000000" w:rsidRDefault="00000000" w:rsidRPr="00000000" w14:paraId="00000096">
            <w:pPr>
              <w:rPr/>
            </w:pPr>
            <w:r>
              <w:rPr>
                <w:rtl w:val="0"/>
              </w:rPr>
              <w:t xml:space="preserve">Confirmé</w:t>
            </w:r>
          </w:p>
        </w:tc>
      </w:tr>
      <w:tr>
        <w:trPr>
          <w:cantSplit w:val="1"/>
          <w:tblHeader w:val="0"/>
        </w:trPr>
        <w:tc>
          <w:tcPr>
            <w:tcMar>
              <w:top w:w="110.0" w:type="dxa"/>
              <w:bottom w:w="110.0" w:type="dxa"/>
            </w:tcMar>
            <w:vAlign w:val="top"/>
          </w:tcPr>
          <w:p w:rsidR="00000000" w:rsidDel="00000000" w:rsidP="00000000" w:rsidRDefault="00000000" w:rsidRPr="00000000" w14:paraId="00000097">
            <w:pPr>
              <w:rPr/>
            </w:pPr>
            <w:r>
              <w:rPr>
                <w:rtl w:val="0"/>
              </w:rPr>
              <w:t xml:space="preserve">Julien Hubar</w:t>
            </w:r>
          </w:p>
        </w:tc>
        <w:tc>
          <w:tcPr>
            <w:tcMar>
              <w:top w:w="110.0" w:type="dxa"/>
              <w:bottom w:w="110.0" w:type="dxa"/>
            </w:tcMar>
            <w:vAlign w:val="top"/>
          </w:tcPr>
          <w:p w:rsidR="00000000" w:rsidDel="00000000" w:rsidP="00000000" w:rsidRDefault="00000000" w:rsidRPr="00000000" w14:paraId="00000098">
            <w:pPr>
              <w:rPr/>
            </w:pPr>
            <w:r>
              <w:rPr>
                <w:rtl w:val="0"/>
              </w:rPr>
              <w:t xml:space="preserve">Développement technique et codage.</w:t>
            </w:r>
          </w:p>
        </w:tc>
        <w:tc>
          <w:tcPr>
            <w:tcMar>
              <w:top w:w="110.0" w:type="dxa"/>
              <w:bottom w:w="110.0" w:type="dxa"/>
            </w:tcMar>
            <w:vAlign w:val="top"/>
          </w:tcPr>
          <w:p w:rsidR="00000000" w:rsidDel="00000000" w:rsidP="00000000" w:rsidRDefault="00000000" w:rsidRPr="00000000" w14:paraId="00000099">
            <w:pPr>
              <w:rPr/>
            </w:pPr>
            <w:r>
              <w:rPr>
                <w:rtl w:val="0"/>
              </w:rPr>
              <w:t xml:space="preserve">Confirmé</w:t>
            </w:r>
          </w:p>
        </w:tc>
      </w:tr>
      <w:tr>
        <w:trPr>
          <w:cantSplit w:val="1"/>
          <w:tblHeader w:val="0"/>
        </w:trPr>
        <w:tc>
          <w:tcPr>
            <w:tcMar>
              <w:top w:w="110.0" w:type="dxa"/>
              <w:bottom w:w="110.0" w:type="dxa"/>
            </w:tcMar>
            <w:vAlign w:val="top"/>
          </w:tcPr>
          <w:p w:rsidR="00000000" w:rsidDel="00000000" w:rsidP="00000000" w:rsidRDefault="00000000" w:rsidRPr="00000000" w14:paraId="0000009A">
            <w:pPr>
              <w:rPr/>
            </w:pPr>
            <w:r>
              <w:rPr>
                <w:rtl w:val="0"/>
              </w:rPr>
              <w:t xml:space="preserve">Edwin Joassart</w:t>
            </w:r>
          </w:p>
        </w:tc>
        <w:tc>
          <w:tcPr>
            <w:tcMar>
              <w:top w:w="110.0" w:type="dxa"/>
              <w:bottom w:w="110.0" w:type="dxa"/>
            </w:tcMar>
            <w:vAlign w:val="top"/>
          </w:tcPr>
          <w:p w:rsidR="00000000" w:rsidDel="00000000" w:rsidP="00000000" w:rsidRDefault="00000000" w:rsidRPr="00000000" w14:paraId="0000009B">
            <w:pPr>
              <w:rPr/>
            </w:pPr>
            <w:r>
              <w:rPr>
                <w:rtl w:val="0"/>
              </w:rPr>
              <w:t xml:space="preserve">Conseil artistique et scénographique.</w:t>
            </w:r>
          </w:p>
        </w:tc>
        <w:tc>
          <w:tcPr>
            <w:tcMar>
              <w:top w:w="110.0" w:type="dxa"/>
              <w:bottom w:w="110.0" w:type="dxa"/>
            </w:tcMar>
            <w:vAlign w:val="top"/>
          </w:tcPr>
          <w:p w:rsidR="00000000" w:rsidDel="00000000" w:rsidP="00000000" w:rsidRDefault="00000000" w:rsidRPr="00000000" w14:paraId="0000009C">
            <w:pPr>
              <w:rPr/>
            </w:pPr>
            <w:r>
              <w:rPr>
                <w:rtl w:val="0"/>
              </w:rPr>
              <w:t xml:space="preserve">Confirmé</w:t>
            </w:r>
          </w:p>
        </w:tc>
      </w:tr>
      <w:tr>
        <w:trPr>
          <w:cantSplit w:val="1"/>
          <w:tblHeader w:val="0"/>
        </w:trPr>
        <w:tc>
          <w:tcPr>
            <w:tcMar>
              <w:top w:w="110.0" w:type="dxa"/>
              <w:bottom w:w="110.0" w:type="dxa"/>
            </w:tcMar>
            <w:vAlign w:val="top"/>
          </w:tcPr>
          <w:p w:rsidR="00000000" w:rsidDel="00000000" w:rsidP="00000000" w:rsidRDefault="00000000" w:rsidRPr="00000000" w14:paraId="0000009D">
            <w:pPr>
              <w:rPr/>
            </w:pPr>
            <w:r>
              <w:rPr>
                <w:rtl w:val="0"/>
              </w:rPr>
              <w:t xml:space="preserve">Galerie Overflow</w:t>
            </w:r>
          </w:p>
        </w:tc>
        <w:tc>
          <w:tcPr>
            <w:tcMar>
              <w:top w:w="110.0" w:type="dxa"/>
              <w:bottom w:w="110.0" w:type="dxa"/>
            </w:tcMar>
            <w:vAlign w:val="top"/>
          </w:tcPr>
          <w:p w:rsidR="00000000" w:rsidDel="00000000" w:rsidP="00000000" w:rsidRDefault="00000000" w:rsidRPr="00000000" w14:paraId="0000009E">
            <w:pPr>
              <w:rPr/>
            </w:pPr>
            <w:r>
              <w:rPr>
                <w:rtl w:val="0"/>
              </w:rPr>
              <w:t xml:space="preserve">Lieu de la présentation publique ; installation sonore, mobilier d’assise et espace de projection mis à disposition.</w:t>
            </w:r>
          </w:p>
        </w:tc>
        <w:tc>
          <w:tcPr>
            <w:tcMar>
              <w:top w:w="110.0" w:type="dxa"/>
              <w:bottom w:w="110.0" w:type="dxa"/>
            </w:tcMar>
            <w:vAlign w:val="top"/>
          </w:tcPr>
          <w:p w:rsidR="00000000" w:rsidDel="00000000" w:rsidP="00000000" w:rsidRDefault="00000000" w:rsidRPr="00000000" w14:paraId="0000009F">
            <w:pPr>
              <w:rPr/>
            </w:pPr>
            <w:r>
              <w:rPr>
                <w:rtl w:val="0"/>
              </w:rPr>
              <w:t xml:space="preserve">Accord de principe obtenu</w:t>
            </w:r>
          </w:p>
        </w:tc>
      </w:tr>
    </w:tbl>
    <w:p>
      <w:pPr>
        <w:rPr/>
      </w:pPr>
      <w:r>
        <w:rPr>
          <w:rtl w:val="0"/>
        </w:rPr>
        <w:t xml:space="preserve">Le projet est entièrement liégeois : l’opérateur, les quatre membres de l’équipe et le lieu de diffusion sont établis à Liège, et l’œuvre est conçue pour un public liégeois dont les témoignages en constituent la matière même.</w:t>
      </w:r>
    </w:p>
    <w:p>
      <w:pPr>
        <w:rPr/>
      </w:pPr>
      <w:r>
        <w:rPr>
          <w:rtl w:val="0"/>
        </w:rPr>
        <w:t xml:space="preserve">Apport des partenaires autres que la Ville de Liège. La Galerie Overflow met à disposition le lieu, son installation sonore, le mobilier d’assise et l’espace de projection. Le projecteur, l’écran et la machine de calcul font l’objet de prêts. L’équipe assume bénévolement une part importante du temps de conception, de développement et de coordination, ainsi que la totalité du prototypage déjà réalisé avant le dépôt. Aucun apport financier de tiers n’est sollicité.</w:t>
      </w:r>
    </w:p>
    <w:p w:rsidR="00000000" w:rsidDel="00000000" w:rsidP="00000000" w:rsidRDefault="00000000" w:rsidRPr="00000000" w14:paraId="000000A0">
      <w:pPr>
        <w:pStyle w:val="Heading1"/>
        <w:rPr/>
      </w:pPr>
      <w:r>
        <w:rPr>
          <w:rtl w:val="0"/>
        </w:rPr>
        <w:t xml:space="preserve">9. Budget du projet</w:t>
      </w:r>
    </w:p>
    <w:p w:rsidR="00000000" w:rsidDel="00000000" w:rsidP="00000000" w:rsidRDefault="00000000" w:rsidRPr="00000000" w14:paraId="000000A1">
      <w:pPr>
        <w:rPr/>
      </w:pPr>
      <w:r>
        <w:rPr>
          <w:rtl w:val="0"/>
        </w:rPr>
        <w:t xml:space="preserve">Le budget ci-dessous couvre l’ensemble du projet, de la fin du prototypage à la documentation finale.</w:t>
      </w:r>
    </w:p>
    <w:tbl>
      <w:tblPr>
        <w:tblStyle w:val="Table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ededed" w:val="clear"/>
            <w:tcMar>
              <w:top w:w="110.0" w:type="dxa"/>
              <w:bottom w:w="110.0" w:type="dxa"/>
            </w:tcMar>
          </w:tcPr>
          <w:p w:rsidR="00000000" w:rsidDel="00000000" w:rsidP="00000000" w:rsidRDefault="00000000" w:rsidRPr="00000000" w14:paraId="000000A2">
            <w:pPr>
              <w:rPr/>
            </w:pPr>
            <w:r>
              <w:rPr>
                <w:b w:val="1"/>
                <w:bCs w:val="1"/>
                <w:rtl w:val="0"/>
              </w:rPr>
              <w:t xml:space="preserve">Dépenses</w:t>
            </w:r>
            <w:r>
              <w:rPr>
                <w:rtl w:val="0"/>
              </w:rPr>
            </w:r>
          </w:p>
        </w:tc>
        <w:tc>
          <w:tcPr>
            <w:shd w:fill="ededed" w:val="clear"/>
            <w:tcMar>
              <w:top w:w="110.0" w:type="dxa"/>
              <w:bottom w:w="110.0" w:type="dxa"/>
            </w:tcMar>
          </w:tcPr>
          <w:p w:rsidR="00000000" w:rsidDel="00000000" w:rsidP="00000000" w:rsidRDefault="00000000" w:rsidRPr="00000000" w14:paraId="000000A3">
            <w:pPr>
              <w:rPr/>
            </w:pPr>
            <w:r>
              <w:rPr>
                <w:b w:val="1"/>
                <w:bCs w:val="1"/>
                <w:rtl w:val="0"/>
              </w:rPr>
              <w:t xml:space="preserve">Contenu</w:t>
            </w:r>
            <w:r>
              <w:rPr>
                <w:rtl w:val="0"/>
              </w:rPr>
            </w:r>
          </w:p>
        </w:tc>
        <w:tc>
          <w:tcPr>
            <w:shd w:fill="ededed" w:val="clear"/>
            <w:tcMar>
              <w:top w:w="110.0" w:type="dxa"/>
              <w:bottom w:w="110.0" w:type="dxa"/>
            </w:tcMar>
          </w:tcPr>
          <w:p w:rsidR="00000000" w:rsidDel="00000000" w:rsidP="00000000" w:rsidRDefault="00000000" w:rsidRPr="00000000" w14:paraId="000000A4">
            <w:pPr>
              <w:rPr/>
            </w:pPr>
            <w:r>
              <w:rPr>
                <w:b w:val="1"/>
                <w:bCs w:val="1"/>
                <w:rtl w:val="0"/>
              </w:rPr>
              <w:t xml:space="preserve">Montant (€)</w:t>
            </w:r>
            <w:r>
              <w:rPr>
                <w:rtl w:val="0"/>
              </w:rPr>
            </w:r>
          </w:p>
        </w:tc>
      </w:tr>
      <w:tr>
        <w:trPr>
          <w:cantSplit w:val="1"/>
          <w:tblHeader w:val="0"/>
        </w:trPr>
        <w:tc>
          <w:tcPr>
            <w:tcMar>
              <w:top w:w="110.0" w:type="dxa"/>
              <w:bottom w:w="110.0" w:type="dxa"/>
            </w:tcMar>
          </w:tcPr>
          <w:p w:rsidR="00000000" w:rsidDel="00000000" w:rsidP="00000000" w:rsidRDefault="00000000" w:rsidRPr="00000000">
            <w:pPr>
              <w:rPr/>
            </w:pPr>
            <w:r>
              <w:rPr>
                <w:rtl w:val="0"/>
              </w:rPr>
              <w:t xml:space="preserve">Matériel informatique</w:t>
            </w:r>
          </w:p>
        </w:tc>
        <w:tc>
          <w:tcPr>
            <w:tcMar>
              <w:top w:w="110.0" w:type="dxa"/>
              <w:bottom w:w="110.0" w:type="dxa"/>
            </w:tcMar>
          </w:tcPr>
          <w:p w:rsidR="00000000" w:rsidDel="00000000" w:rsidP="00000000" w:rsidRDefault="00000000" w:rsidRPr="00000000">
            <w:pPr>
              <w:rPr/>
            </w:pPr>
            <w:r>
              <w:rPr>
                <w:rtl w:val="0"/>
              </w:rPr>
              <w:t xml:space="preserve">Tablette tactile de contribution, support et sécurisation ; provision pour l’écran et la machine de l’entité d’accueil si le prêt ne se confirme pas.</w:t>
            </w:r>
          </w:p>
        </w:tc>
        <w:tc>
          <w:tcPr>
            <w:tcMar>
              <w:top w:w="110.0" w:type="dxa"/>
              <w:bottom w:w="110.0" w:type="dxa"/>
            </w:tcMar>
          </w:tcPr>
          <w:p w:rsidR="00000000" w:rsidDel="00000000" w:rsidP="00000000" w:rsidRDefault="00000000" w:rsidRPr="00000000">
            <w:pPr>
              <w:rPr/>
            </w:pPr>
            <w:r>
              <w:rPr>
                <w:rtl w:val="0"/>
              </w:rPr>
              <w:t xml:space="preserve">530</w:t>
            </w:r>
          </w:p>
        </w:tc>
      </w:tr>
      <w:tr>
        <w:trPr>
          <w:cantSplit w:val="1"/>
          <w:tblHeader w:val="0"/>
        </w:trPr>
        <w:tc>
          <w:tcPr>
            <w:tcMar>
              <w:top w:w="110.0" w:type="dxa"/>
              <w:bottom w:w="110.0" w:type="dxa"/>
            </w:tcMar>
          </w:tcPr>
          <w:p w:rsidR="00000000" w:rsidDel="00000000" w:rsidP="00000000" w:rsidRDefault="00000000" w:rsidRPr="00000000">
            <w:pPr>
              <w:rPr/>
            </w:pPr>
            <w:r>
              <w:rPr>
                <w:rtl w:val="0"/>
              </w:rPr>
              <w:t xml:space="preserve">Projection</w:t>
            </w:r>
          </w:p>
        </w:tc>
        <w:tc>
          <w:tcPr>
            <w:tcMar>
              <w:top w:w="110.0" w:type="dxa"/>
              <w:bottom w:w="110.0" w:type="dxa"/>
            </w:tcMar>
          </w:tcPr>
          <w:p w:rsidR="00000000" w:rsidDel="00000000" w:rsidP="00000000" w:rsidRDefault="00000000" w:rsidRPr="00000000">
            <w:pPr>
              <w:rPr/>
            </w:pPr>
            <w:r>
              <w:rPr>
                <w:rtl w:val="0"/>
              </w:rPr>
              <w:t xml:space="preserve">Projecteur prêté ; câblage, fixations et supports.</w:t>
            </w:r>
          </w:p>
        </w:tc>
        <w:tc>
          <w:tcPr>
            <w:tcMar>
              <w:top w:w="110.0" w:type="dxa"/>
              <w:bottom w:w="110.0" w:type="dxa"/>
            </w:tcMar>
          </w:tcPr>
          <w:p w:rsidR="00000000" w:rsidDel="00000000" w:rsidP="00000000" w:rsidRDefault="00000000" w:rsidRPr="00000000">
            <w:pPr>
              <w:rPr/>
            </w:pPr>
            <w:r>
              <w:rPr>
                <w:rtl w:val="0"/>
              </w:rPr>
              <w:t xml:space="preserve">120</w:t>
            </w:r>
          </w:p>
        </w:tc>
      </w:tr>
      <w:tr>
        <w:trPr>
          <w:cantSplit w:val="1"/>
          <w:tblHeader w:val="0"/>
        </w:trPr>
        <w:tc>
          <w:tcPr>
            <w:tcMar>
              <w:top w:w="110.0" w:type="dxa"/>
              <w:bottom w:w="110.0" w:type="dxa"/>
            </w:tcMar>
          </w:tcPr>
          <w:p w:rsidR="00000000" w:rsidDel="00000000" w:rsidP="00000000" w:rsidRDefault="00000000" w:rsidRPr="00000000">
            <w:pPr>
              <w:rPr/>
            </w:pPr>
            <w:r>
              <w:rPr>
                <w:rtl w:val="0"/>
              </w:rPr>
              <w:t xml:space="preserve">Son</w:t>
            </w:r>
          </w:p>
        </w:tc>
        <w:tc>
          <w:tcPr>
            <w:tcMar>
              <w:top w:w="110.0" w:type="dxa"/>
              <w:bottom w:w="110.0" w:type="dxa"/>
            </w:tcMar>
          </w:tcPr>
          <w:p w:rsidR="00000000" w:rsidDel="00000000" w:rsidP="00000000" w:rsidRDefault="00000000" w:rsidRPr="00000000">
            <w:pPr>
              <w:rPr/>
            </w:pPr>
            <w:r>
              <w:rPr>
                <w:rtl w:val="0"/>
              </w:rPr>
              <w:t>Interface audio, accessoires et câblage pour le traitement sonore local ; diffusion assurée par la Galerie Overflow.</w:t>
            </w:r>
          </w:p>
        </w:tc>
        <w:tc>
          <w:tcPr>
            <w:tcMar>
              <w:top w:w="110.0" w:type="dxa"/>
              <w:bottom w:w="110.0" w:type="dxa"/>
            </w:tcMar>
          </w:tcPr>
          <w:p w:rsidR="00000000" w:rsidDel="00000000" w:rsidP="00000000" w:rsidRDefault="00000000" w:rsidRPr="00000000">
            <w:pPr>
              <w:rPr/>
            </w:pPr>
            <w:r>
              <w:rPr>
                <w:rtl w:val="0"/>
              </w:rPr>
              <w:t xml:space="preserve">180</w:t>
            </w:r>
          </w:p>
        </w:tc>
      </w:tr>
      <w:tr>
        <w:trPr>
          <w:cantSplit w:val="1"/>
          <w:tblHeader w:val="0"/>
        </w:trPr>
        <w:tc>
          <w:tcPr>
            <w:tcMar>
              <w:top w:w="110.0" w:type="dxa"/>
              <w:bottom w:w="110.0" w:type="dxa"/>
            </w:tcMar>
          </w:tcPr>
          <w:p w:rsidR="00000000" w:rsidDel="00000000" w:rsidP="00000000" w:rsidRDefault="00000000" w:rsidRPr="00000000">
            <w:pPr>
              <w:rPr/>
            </w:pPr>
            <w:r>
              <w:rPr>
                <w:rtl w:val="0"/>
              </w:rPr>
              <w:t xml:space="preserve">Scénographie</w:t>
            </w:r>
          </w:p>
        </w:tc>
        <w:tc>
          <w:tcPr>
            <w:tcMar>
              <w:top w:w="110.0" w:type="dxa"/>
              <w:bottom w:w="110.0" w:type="dxa"/>
            </w:tcMar>
          </w:tcPr>
          <w:p w:rsidR="00000000" w:rsidDel="00000000" w:rsidP="00000000" w:rsidRDefault="00000000" w:rsidRPr="00000000">
            <w:pPr>
              <w:rPr/>
            </w:pPr>
            <w:r>
              <w:rPr>
                <w:rtl w:val="0"/>
              </w:rPr>
              <w:t xml:space="preserve">Cabine « Contribuer » : ossature, panneaux, molleton absorbant, rideau d’entrée, porte de sortie, éclairage discret (620 €). Sas « Contempler » : ossature et double rideau occultant (260 €). Signalétique, cartels et occultation d’appoint (120 €).</w:t>
            </w:r>
          </w:p>
        </w:tc>
        <w:tc>
          <w:tcPr>
            <w:tcMar>
              <w:top w:w="110.0" w:type="dxa"/>
              <w:bottom w:w="110.0" w:type="dxa"/>
            </w:tcMar>
          </w:tcPr>
          <w:p w:rsidR="00000000" w:rsidDel="00000000" w:rsidP="00000000" w:rsidRDefault="00000000" w:rsidRPr="00000000">
            <w:pPr>
              <w:rPr/>
            </w:pPr>
            <w:r>
              <w:rPr>
                <w:rtl w:val="0"/>
              </w:rPr>
              <w:t xml:space="preserve">1 000</w:t>
            </w:r>
          </w:p>
        </w:tc>
      </w:tr>
      <w:tr>
        <w:trPr>
          <w:cantSplit w:val="1"/>
          <w:tblHeader w:val="0"/>
        </w:trPr>
        <w:tc>
          <w:tcPr>
            <w:tcMar>
              <w:top w:w="110.0" w:type="dxa"/>
              <w:bottom w:w="110.0" w:type="dxa"/>
            </w:tcMar>
          </w:tcPr>
          <w:p w:rsidR="00000000" w:rsidDel="00000000" w:rsidP="00000000" w:rsidRDefault="00000000" w:rsidRPr="00000000">
            <w:pPr>
              <w:rPr/>
            </w:pPr>
            <w:r>
              <w:rPr>
                <w:rtl w:val="0"/>
              </w:rPr>
              <w:t>Stockage et sauvegarde</w:t>
            </w:r>
          </w:p>
        </w:tc>
        <w:tc>
          <w:tcPr>
            <w:tcMar>
              <w:top w:w="110.0" w:type="dxa"/>
              <w:bottom w:w="110.0" w:type="dxa"/>
            </w:tcMar>
          </w:tcPr>
          <w:p w:rsidR="00000000" w:rsidDel="00000000" w:rsidP="00000000" w:rsidRDefault="00000000" w:rsidRPr="00000000">
            <w:pPr>
              <w:rPr/>
            </w:pPr>
            <w:r>
              <w:rPr>
                <w:rtl w:val="0"/>
              </w:rPr>
              <w:t>Supports de stockage et sauvegardes locales de l’archive visuelle et de ses paramètres.</w:t>
            </w:r>
          </w:p>
        </w:tc>
        <w:tc>
          <w:tcPr>
            <w:tcMar>
              <w:top w:w="110.0" w:type="dxa"/>
              <w:bottom w:w="110.0" w:type="dxa"/>
            </w:tcMar>
          </w:tcPr>
          <w:p w:rsidR="00000000" w:rsidDel="00000000" w:rsidP="00000000" w:rsidRDefault="00000000" w:rsidRPr="00000000">
            <w:pPr>
              <w:rPr/>
            </w:pPr>
            <w:r>
              <w:rPr>
                <w:rtl w:val="0"/>
              </w:rPr>
              <w:t xml:space="preserve">150</w:t>
            </w:r>
          </w:p>
        </w:tc>
      </w:tr>
      <w:tr>
        <w:trPr>
          <w:cantSplit w:val="1"/>
          <w:tblHeader w:val="0"/>
        </w:trPr>
        <w:tc>
          <w:tcPr>
            <w:tcMar>
              <w:top w:w="110.0" w:type="dxa"/>
              <w:bottom w:w="110.0" w:type="dxa"/>
            </w:tcMar>
          </w:tcPr>
          <w:p w:rsidR="00000000" w:rsidDel="00000000" w:rsidP="00000000" w:rsidRDefault="00000000" w:rsidRPr="00000000">
            <w:pPr>
              <w:rPr/>
            </w:pPr>
            <w:r>
              <w:rPr>
                <w:rtl w:val="0"/>
              </w:rPr>
              <w:t xml:space="preserve">Montage et logistique</w:t>
            </w:r>
          </w:p>
        </w:tc>
        <w:tc>
          <w:tcPr>
            <w:tcMar>
              <w:top w:w="110.0" w:type="dxa"/>
              <w:bottom w:w="110.0" w:type="dxa"/>
            </w:tcMar>
          </w:tcPr>
          <w:p w:rsidR="00000000" w:rsidDel="00000000" w:rsidP="00000000" w:rsidRDefault="00000000" w:rsidRPr="00000000">
            <w:pPr>
              <w:rPr/>
            </w:pPr>
            <w:r>
              <w:rPr>
                <w:rtl w:val="0"/>
              </w:rPr>
              <w:t xml:space="preserve">Transport, quincaillerie, consommables, outillage.</w:t>
            </w:r>
          </w:p>
        </w:tc>
        <w:tc>
          <w:tcPr>
            <w:tcMar>
              <w:top w:w="110.0" w:type="dxa"/>
              <w:bottom w:w="110.0" w:type="dxa"/>
            </w:tcMar>
          </w:tcPr>
          <w:p w:rsidR="00000000" w:rsidDel="00000000" w:rsidP="00000000" w:rsidRDefault="00000000" w:rsidRPr="00000000">
            <w:pPr>
              <w:rPr/>
            </w:pPr>
            <w:r>
              <w:rPr>
                <w:rtl w:val="0"/>
              </w:rPr>
              <w:t xml:space="preserve">150</w:t>
            </w:r>
          </w:p>
        </w:tc>
      </w:tr>
      <w:tr>
        <w:trPr>
          <w:cantSplit w:val="1"/>
          <w:tblHeader w:val="0"/>
        </w:trPr>
        <w:tc>
          <w:tcPr>
            <w:tcMar>
              <w:top w:w="110.0" w:type="dxa"/>
              <w:bottom w:w="110.0" w:type="dxa"/>
            </w:tcMar>
          </w:tcPr>
          <w:p w:rsidR="00000000" w:rsidDel="00000000" w:rsidP="00000000" w:rsidRDefault="00000000" w:rsidRPr="00000000">
            <w:pPr>
              <w:rPr/>
            </w:pPr>
            <w:r>
              <w:rPr>
                <w:rtl w:val="0"/>
              </w:rPr>
              <w:t xml:space="preserve">Communication / documentation</w:t>
            </w:r>
          </w:p>
        </w:tc>
        <w:tc>
          <w:tcPr>
            <w:tcMar>
              <w:top w:w="110.0" w:type="dxa"/>
              <w:bottom w:w="110.0" w:type="dxa"/>
            </w:tcMar>
          </w:tcPr>
          <w:p w:rsidR="00000000" w:rsidDel="00000000" w:rsidP="00000000" w:rsidRDefault="00000000" w:rsidRPr="00000000">
            <w:pPr>
              <w:rPr/>
            </w:pPr>
            <w:r>
              <w:rPr>
                <w:rtl w:val="0"/>
              </w:rPr>
              <w:t xml:space="preserve">Impressions, captation photographique et vidéo de l’installation.</w:t>
            </w:r>
          </w:p>
        </w:tc>
        <w:tc>
          <w:tcPr>
            <w:tcMar>
              <w:top w:w="110.0" w:type="dxa"/>
              <w:bottom w:w="110.0" w:type="dxa"/>
            </w:tcMar>
          </w:tcPr>
          <w:p w:rsidR="00000000" w:rsidDel="00000000" w:rsidP="00000000" w:rsidRDefault="00000000" w:rsidRPr="00000000">
            <w:pPr>
              <w:rPr/>
            </w:pPr>
            <w:r>
              <w:rPr>
                <w:rtl w:val="0"/>
              </w:rPr>
              <w:t xml:space="preserve">120</w:t>
            </w:r>
          </w:p>
        </w:tc>
      </w:tr>
      <w:tr>
        <w:trPr>
          <w:cantSplit w:val="1"/>
          <w:tblHeader w:val="0"/>
        </w:trPr>
        <w:tc>
          <w:tcPr>
            <w:tcMar>
              <w:top w:w="110.0" w:type="dxa"/>
              <w:bottom w:w="110.0" w:type="dxa"/>
            </w:tcMar>
          </w:tcPr>
          <w:p w:rsidR="00000000" w:rsidDel="00000000" w:rsidP="00000000" w:rsidRDefault="00000000" w:rsidRPr="00000000">
            <w:pPr>
              <w:rPr/>
            </w:pPr>
            <w:r>
              <w:rPr>
                <w:rtl w:val="0"/>
              </w:rPr>
              <w:t xml:space="preserve">Imprévus</w:t>
            </w:r>
          </w:p>
        </w:tc>
        <w:tc>
          <w:tcPr>
            <w:tcMar>
              <w:top w:w="110.0" w:type="dxa"/>
              <w:bottom w:w="110.0" w:type="dxa"/>
            </w:tcMar>
          </w:tcPr>
          <w:p w:rsidR="00000000" w:rsidDel="00000000" w:rsidP="00000000" w:rsidRDefault="00000000" w:rsidRPr="00000000">
            <w:pPr>
              <w:rPr/>
            </w:pPr>
            <w:r>
              <w:rPr>
                <w:rtl w:val="0"/>
              </w:rPr>
              <w:t xml:space="preserve">Marge technique, environ 5 %.</w:t>
            </w:r>
          </w:p>
        </w:tc>
        <w:tc>
          <w:tcPr>
            <w:tcMar>
              <w:top w:w="110.0" w:type="dxa"/>
              <w:bottom w:w="110.0" w:type="dxa"/>
            </w:tcMar>
          </w:tcPr>
          <w:p w:rsidR="00000000" w:rsidDel="00000000" w:rsidP="00000000" w:rsidRDefault="00000000" w:rsidRPr="00000000">
            <w:pPr>
              <w:rPr/>
            </w:pPr>
            <w:r>
              <w:rPr>
                <w:rtl w:val="0"/>
              </w:rPr>
              <w:t xml:space="preserve">300</w:t>
            </w:r>
          </w:p>
        </w:tc>
      </w:tr>
      <w:tr>
        <w:trPr>
          <w:cantSplit w:val="1"/>
          <w:tblHeader w:val="0"/>
        </w:trPr>
        <w:tc>
          <w:tcPr>
            <w:tcMar>
              <w:top w:w="110.0" w:type="dxa"/>
              <w:bottom w:w="110.0" w:type="dxa"/>
            </w:tcMar>
          </w:tcPr>
          <w:p w:rsidR="00000000" w:rsidDel="00000000" w:rsidP="00000000" w:rsidRDefault="00000000" w:rsidRPr="00000000">
            <w:pPr>
              <w:rPr/>
            </w:pPr>
            <w:r>
              <w:rPr>
                <w:rtl w:val="0"/>
              </w:rPr>
              <w:t xml:space="preserve">Contribution au lieu</w:t>
            </w:r>
          </w:p>
        </w:tc>
        <w:tc>
          <w:tcPr>
            <w:tcMar>
              <w:top w:w="110.0" w:type="dxa"/>
              <w:bottom w:w="110.0" w:type="dxa"/>
            </w:tcMar>
          </w:tcPr>
          <w:p w:rsidR="00000000" w:rsidDel="00000000" w:rsidP="00000000" w:rsidRDefault="00000000" w:rsidRPr="00000000">
            <w:pPr>
              <w:rPr/>
            </w:pPr>
            <w:r>
              <w:rPr>
                <w:rtl w:val="0"/>
              </w:rPr>
              <w:t xml:space="preserve">Participation aux frais de la Galerie Overflow.</w:t>
            </w:r>
          </w:p>
        </w:tc>
        <w:tc>
          <w:tcPr>
            <w:tcMar>
              <w:top w:w="110.0" w:type="dxa"/>
              <w:bottom w:w="110.0" w:type="dxa"/>
            </w:tcMar>
          </w:tcPr>
          <w:p w:rsidR="00000000" w:rsidDel="00000000" w:rsidP="00000000" w:rsidRDefault="00000000" w:rsidRPr="00000000">
            <w:pPr>
              <w:rPr/>
            </w:pPr>
            <w:r>
              <w:rPr>
                <w:rtl w:val="0"/>
              </w:rPr>
              <w:t xml:space="preserve">400</w:t>
            </w:r>
          </w:p>
        </w:tc>
      </w:tr>
      <w:tr>
        <w:trPr>
          <w:cantSplit w:val="1"/>
          <w:tblHeader w:val="0"/>
        </w:trPr>
        <w:tc>
          <w:tcPr>
            <w:tcMar>
              <w:top w:w="110.0" w:type="dxa"/>
              <w:bottom w:w="110.0" w:type="dxa"/>
            </w:tcMar>
          </w:tcPr>
          <w:p w:rsidR="00000000" w:rsidDel="00000000" w:rsidP="00000000" w:rsidRDefault="00000000" w:rsidRPr="00000000">
            <w:pPr>
              <w:rPr/>
            </w:pPr>
            <w:r>
              <w:rPr>
                <w:rtl w:val="0"/>
              </w:rPr>
              <w:t xml:space="preserve">Conception / direction artistique</w:t>
            </w:r>
          </w:p>
        </w:tc>
        <w:tc>
          <w:tcPr>
            <w:tcMar>
              <w:top w:w="110.0" w:type="dxa"/>
              <w:bottom w:w="110.0" w:type="dxa"/>
            </w:tcMar>
          </w:tcPr>
          <w:p w:rsidR="00000000" w:rsidDel="00000000" w:rsidP="00000000" w:rsidRDefault="00000000" w:rsidRPr="00000000">
            <w:pPr>
              <w:rPr/>
            </w:pPr>
            <w:r>
              <w:rPr>
                <w:rtl w:val="0"/>
              </w:rPr>
              <w:t xml:space="preserve">Denis Gauder — conception, écriture, direction artistique, garantie du concept et intégration générale.</w:t>
            </w:r>
          </w:p>
        </w:tc>
        <w:tc>
          <w:tcPr>
            <w:tcMar>
              <w:top w:w="110.0" w:type="dxa"/>
              <w:bottom w:w="110.0" w:type="dxa"/>
            </w:tcMar>
          </w:tcPr>
          <w:p w:rsidR="00000000" w:rsidDel="00000000" w:rsidP="00000000" w:rsidRDefault="00000000" w:rsidRPr="00000000">
            <w:pPr>
              <w:rPr/>
            </w:pPr>
            <w:r>
              <w:rPr>
                <w:rtl w:val="0"/>
              </w:rPr>
              <w:t>500</w:t>
            </w:r>
          </w:p>
        </w:tc>
      </w:tr>
      <w:tr>
        <w:trPr>
          <w:cantSplit w:val="1"/>
          <w:tblHeader w:val="0"/>
        </w:trPr>
        <w:tc>
          <w:tcPr>
            <w:tcMar>
              <w:top w:w="110.0" w:type="dxa"/>
              <w:bottom w:w="110.0" w:type="dxa"/>
            </w:tcMar>
          </w:tcPr>
          <w:p w:rsidR="00000000" w:rsidDel="00000000" w:rsidP="00000000" w:rsidRDefault="00000000" w:rsidRPr="00000000">
            <w:pPr>
              <w:rPr/>
            </w:pPr>
            <w:r>
              <w:rPr>
                <w:rtl w:val="0"/>
              </w:rPr>
              <w:t xml:space="preserve">Coordination et production</w:t>
            </w:r>
          </w:p>
        </w:tc>
        <w:tc>
          <w:tcPr>
            <w:tcMar>
              <w:top w:w="110.0" w:type="dxa"/>
              <w:bottom w:w="110.0" w:type="dxa"/>
            </w:tcMar>
          </w:tcPr>
          <w:p w:rsidR="00000000" w:rsidDel="00000000" w:rsidP="00000000" w:rsidRDefault="00000000" w:rsidRPr="00000000">
            <w:pPr>
              <w:rPr/>
            </w:pPr>
            <w:r>
              <w:rPr>
                <w:rtl w:val="0"/>
              </w:rPr>
              <w:t xml:space="preserve">Guillaume Denys — calendrier, relations avec les intervenants et le lieu, comptes rendus, formalités.</w:t>
            </w:r>
          </w:p>
        </w:tc>
        <w:tc>
          <w:tcPr>
            <w:tcMar>
              <w:top w:w="110.0" w:type="dxa"/>
              <w:bottom w:w="110.0" w:type="dxa"/>
            </w:tcMar>
          </w:tcPr>
          <w:p w:rsidR="00000000" w:rsidDel="00000000" w:rsidP="00000000" w:rsidRDefault="00000000" w:rsidRPr="00000000">
            <w:pPr>
              <w:rPr/>
            </w:pPr>
            <w:r>
              <w:rPr>
                <w:rtl w:val="0"/>
              </w:rPr>
              <w:t>250</w:t>
            </w:r>
          </w:p>
        </w:tc>
      </w:tr>
      <w:tr>
        <w:trPr>
          <w:cantSplit w:val="1"/>
          <w:tblHeader w:val="0"/>
        </w:trPr>
        <w:tc>
          <w:tcPr>
            <w:tcMar>
              <w:top w:w="110.0" w:type="dxa"/>
              <w:bottom w:w="110.0" w:type="dxa"/>
            </w:tcMar>
          </w:tcPr>
          <w:p w:rsidR="00000000" w:rsidDel="00000000" w:rsidP="00000000" w:rsidRDefault="00000000" w:rsidRPr="00000000">
            <w:pPr>
              <w:rPr/>
            </w:pPr>
            <w:r>
              <w:rPr>
                <w:rtl w:val="0"/>
              </w:rPr>
              <w:t xml:space="preserve">Conseil artistique</w:t>
            </w:r>
          </w:p>
        </w:tc>
        <w:tc>
          <w:tcPr>
            <w:tcMar>
              <w:top w:w="110.0" w:type="dxa"/>
              <w:bottom w:w="110.0" w:type="dxa"/>
            </w:tcMar>
          </w:tcPr>
          <w:p w:rsidR="00000000" w:rsidDel="00000000" w:rsidP="00000000" w:rsidRDefault="00000000" w:rsidRPr="00000000">
            <w:pPr>
              <w:rPr/>
            </w:pPr>
            <w:r>
              <w:rPr>
                <w:rtl w:val="0"/>
              </w:rPr>
              <w:t xml:space="preserve">Edwin Joassart — accompagnement scénographique et critique.</w:t>
            </w:r>
          </w:p>
        </w:tc>
        <w:tc>
          <w:tcPr>
            <w:tcMar>
              <w:top w:w="110.0" w:type="dxa"/>
              <w:bottom w:w="110.0" w:type="dxa"/>
            </w:tcMar>
          </w:tcPr>
          <w:p w:rsidR="00000000" w:rsidDel="00000000" w:rsidP="00000000" w:rsidRDefault="00000000" w:rsidRPr="00000000">
            <w:pPr>
              <w:rPr/>
            </w:pPr>
            <w:r>
              <w:rPr>
                <w:rtl w:val="0"/>
              </w:rPr>
              <w:t xml:space="preserve">250</w:t>
            </w:r>
          </w:p>
        </w:tc>
      </w:tr>
      <w:tr>
        <w:trPr>
          <w:cantSplit w:val="1"/>
          <w:tblHeader w:val="0"/>
        </w:trPr>
        <w:tc>
          <w:tcPr>
            <w:tcMar>
              <w:top w:w="110.0" w:type="dxa"/>
              <w:bottom w:w="110.0" w:type="dxa"/>
            </w:tcMar>
          </w:tcPr>
          <w:p w:rsidR="00000000" w:rsidDel="00000000" w:rsidP="00000000" w:rsidRDefault="00000000" w:rsidRPr="00000000">
            <w:pPr>
              <w:rPr/>
            </w:pPr>
            <w:r>
              <w:rPr>
                <w:rtl w:val="0"/>
              </w:rPr>
              <w:t xml:space="preserve">Développement technique</w:t>
            </w:r>
          </w:p>
        </w:tc>
        <w:tc>
          <w:tcPr>
            <w:tcMar>
              <w:top w:w="110.0" w:type="dxa"/>
              <w:bottom w:w="110.0" w:type="dxa"/>
            </w:tcMar>
          </w:tcPr>
          <w:p w:rsidR="00000000" w:rsidDel="00000000" w:rsidP="00000000" w:rsidRDefault="00000000" w:rsidRPr="00000000">
            <w:pPr>
              <w:rPr/>
            </w:pPr>
            <w:r>
              <w:rPr>
                <w:rtl w:val="0"/>
              </w:rPr>
              <w:t>Julien Hubar — 4 jours : intégration du questionnaire, du dispositif interactif et de la synthèse vocale locale ; tests de robustesse.</w:t>
            </w:r>
          </w:p>
        </w:tc>
        <w:tc>
          <w:tcPr>
            <w:tcMar>
              <w:top w:w="110.0" w:type="dxa"/>
              <w:bottom w:w="110.0" w:type="dxa"/>
            </w:tcMar>
          </w:tcPr>
          <w:p w:rsidR="00000000" w:rsidDel="00000000" w:rsidP="00000000" w:rsidRDefault="00000000" w:rsidRPr="00000000">
            <w:pPr>
              <w:rPr/>
            </w:pPr>
            <w:r>
              <w:rPr>
                <w:rtl w:val="0"/>
              </w:rPr>
              <w:t>500</w:t>
            </w:r>
          </w:p>
        </w:tc>
      </w:tr>
      <w:tr>
        <w:trPr>
          <w:cantSplit w:val="1"/>
          <w:tblHeader w:val="0"/>
        </w:trPr>
        <w:tc>
          <w:tcPr>
            <w:shd w:fill="f2f2f2" w:val="clear"/>
            <w:tcMar>
              <w:top w:w="110.0" w:type="dxa"/>
              <w:bottom w:w="110.0" w:type="dxa"/>
            </w:tcMar>
          </w:tcPr>
          <w:p w:rsidR="00000000" w:rsidDel="00000000" w:rsidP="00000000" w:rsidRDefault="00000000" w:rsidRPr="00000000">
            <w:pPr>
              <w:rPr/>
            </w:pPr>
            <w:r>
              <w:rPr>
                <w:b w:val="1"/>
                <w:bCs w:val="1"/>
                <w:rtl w:val="0"/>
              </w:rPr>
              <w:t xml:space="preserve">TOTAL</w:t>
            </w:r>
            <w:r>
              <w:rPr>
                <w:rtl w:val="0"/>
              </w:rPr>
            </w:r>
          </w:p>
        </w:tc>
        <w:tc>
          <w:tcPr>
            <w:shd w:fill="f2f2f2" w:val="clear"/>
            <w:tcMar>
              <w:top w:w="110.0" w:type="dxa"/>
              <w:bottom w:w="110.0" w:type="dxa"/>
            </w:tcMar>
          </w:tcPr>
          <w:p w:rsidR="00000000" w:rsidDel="00000000" w:rsidP="00000000" w:rsidRDefault="00000000" w:rsidRPr="00000000">
            <w:pPr>
              <w:rPr/>
            </w:pPr>
            <w:r>
              <w:rPr>
                <w:rtl w:val="0"/>
              </w:rPr>
            </w:r>
          </w:p>
        </w:tc>
        <w:tc>
          <w:tcPr>
            <w:shd w:fill="f2f2f2" w:val="clear"/>
            <w:tcMar>
              <w:top w:w="110.0" w:type="dxa"/>
              <w:bottom w:w="110.0" w:type="dxa"/>
            </w:tcMar>
          </w:tcPr>
          <w:p>
            <w:pPr>
              <w:rPr/>
            </w:pPr>
            <w:r>
              <w:rPr>
                <w:rtl w:val="0"/>
              </w:rPr>
              <w:t>Plan de financement révisé (à confirmer avant dépôt) : coût budgété 4 450 € ; montant sollicité envisagé auprès de la Ville de Liège : 4 450 €. Le temps bénévole, non inclus dans les dépenses chiffrées, constitue un apport en nature distinct.</w:t>
            </w:r>
          </w:p>
          <w:p w:rsidR="00000000" w:rsidDel="00000000" w:rsidP="00000000" w:rsidRDefault="00000000" w:rsidRPr="00000000">
            <w:pPr>
              <w:rPr/>
            </w:pPr>
            <w:r>
              <w:rPr>
                <w:b w:val="1"/>
                <w:bCs w:val="1"/>
                <w:rtl w:val="0"/>
              </w:rPr>
              <w:t>4 450</w:t>
            </w:r>
            <w:r>
              <w:rPr>
                <w:rtl w:val="0"/>
              </w:rPr>
            </w:r>
          </w:p>
        </w:tc>
      </w:tr>
    </w:tbl>
    <w:p>
      <w:pPr>
        <w:rPr/>
      </w:pPr>
      <w:r>
        <w:rPr>
          <w:rtl w:val="0"/>
        </w:rPr>
        <w:t xml:space="preserve">Tous les montants sont exprimés TTC : l’ASBL n’est pas assujettie à la TVA et ne peut donc pas la récupérer. Les honoraires seront versés selon les formules permises à l’opérateur — facture, contrat d’artiste ou défraiement de volontaire — en fonction du statut de chaque intervenant.</w:t>
      </w:r>
    </w:p>
    <w:p>
      <w:pPr>
        <w:rPr/>
      </w:pPr>
      <w:r>
        <w:rPr>
          <w:rtl w:val="0"/>
        </w:rPr>
        <w:t xml:space="preserve">Les apports en nature ne figurent pas dans ce tableau, alors qu’ils sont substantiels : mise à disposition du lieu, de l’installation sonore, du mobilier et de l’espace de projection par la Galerie Overflow ; prêt du projecteur, de l’écran et de la machine de calcul ; et une part importante du temps de conception, de développement et de coordination assumée bénévolement par l’équipe. Le montant demandé correspond donc au coût résiduel du projet, non à son coût réel.</w:t>
      </w:r>
    </w:p>
    <w:p w:rsidR="00000000" w:rsidDel="00000000" w:rsidP="00000000" w:rsidRDefault="00000000" w:rsidRPr="00000000" w14:paraId="000000C6">
      <w:pPr>
        <w:pStyle w:val="Heading1"/>
        <w:rPr/>
      </w:pPr>
      <w:r>
        <w:rPr>
          <w:rtl w:val="0"/>
        </w:rPr>
        <w:t xml:space="preserve">10. Logo et visuels à joindre</w:t>
      </w:r>
    </w:p>
    <w:p w:rsidR="00000000" w:rsidDel="00000000" w:rsidP="00000000" w:rsidRDefault="00000000" w:rsidRPr="00000000" w14:paraId="000000C7">
      <w:pPr>
        <w:rPr/>
      </w:pPr>
      <w:r>
        <w:rPr>
          <w:rtl w:val="0"/>
        </w:rPr>
        <w:t xml:space="preserve">Logo de l’opérateur :</w:t>
      </w:r>
    </w:p>
    <w:p w:rsidR="00000000" w:rsidDel="00000000" w:rsidP="00000000" w:rsidRDefault="00000000" w:rsidRPr="00000000" w14:paraId="000000C8">
      <w:pPr>
        <w:jc w:val="center"/>
        <w:rPr/>
      </w:pPr>
      <w:r>
        <w:rPr/>
        <w:drawing>
          <wp:inline distB="0" distT="0" distL="114300" distR="114300">
            <wp:extent cx="2520000" cy="1516154"/>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0000" cy="1516154"/>
                    </a:xfrm>
                    <a:prstGeom prst="rect"/>
                    <a:ln/>
                  </pic:spPr>
                </pic:pic>
              </a:graphicData>
            </a:graphic>
          </wp:inline>
        </w:drawing>
      </w:r>
      <w:r>
        <w:rPr>
          <w:rtl w:val="0"/>
        </w:rPr>
      </w:r>
    </w:p>
    <w:p w:rsidR="00000000" w:rsidDel="00000000" w:rsidP="00000000" w:rsidRDefault="00000000" w:rsidRPr="00000000" w14:paraId="000000C9">
      <w:pPr>
        <w:rPr/>
      </w:pPr>
      <w:r>
        <w:rPr>
          <w:rtl w:val="0"/>
        </w:rPr>
        <w:t>Visuels intégrés au dossier et compléments envisagés :</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Schéma fonctionnel éditable du parcours et des transformations (section 4).</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Vues du prototype génératif : trajectoires et matière chromatique (section 3.6).</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Vue de principe de l’installation à la Galerie Overflow (section 5).</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Compléments envisagés : vue de la cabine « Contribuer » et séquence de naissance de l’enfant numérique.</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Trois configurations de référence du générateur pourront compléter les visuels pour illustrer sa dérive ; elles ne sont pas présentées ici comme déjà validées.</w:t>
      </w:r>
    </w:p>
    <w:sectPr>
      <w:footerReference r:id="rId14" w:type="default"/>
      <w:headerReference w:type="default" r:id="rId15"/>
      <w:pgSz w:h="15840" w:w="12240" w:orient="portrait"/>
      <w:pgMar w:bottom="964" w:top="96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828282"/>
        <w:sz w:val="16"/>
        <w:szCs w:val="16"/>
        <w:u w:val="none"/>
        <w:shd w:fill="auto" w:val="clear"/>
        <w:vertAlign w:val="baseline"/>
        <w:rtl w:val="0"/>
      </w:rPr>
      <w:t>Offrir-Magnifier / Voler-Exploiter — Version 4 — dossier de dépôt</w:t>
    </w:r>
    <w:r w:rsidDel="00000000" w:rsidR="00000000" w:rsidRPr="00000000">
      <w:rPr>
        <w:rtl w:val="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60" w:lineRule="auto"/>
    </w:pPr>
    <w:rPr>
      <w:rFonts w:ascii="Play" w:cs="Play" w:eastAsia="Play" w:hAnsi="Play"/>
      <w:b w:val="1"/>
      <w:bCs w:val="1"/>
      <w:color w:val="181818"/>
      <w:sz w:val="30"/>
      <w:szCs w:val="30"/>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181818"/>
      <w:sz w:val="23"/>
      <w:szCs w:val="23"/>
    </w:rPr>
  </w:style>
  <w:style w:type="paragraph" w:styleId="Heading3">
    <w:name w:val="heading 3"/>
    <w:basedOn w:val="Normal"/>
    <w:next w:val="Normal"/>
    <w:pPr>
      <w:keepNext w:val="1"/>
      <w:keepLines w:val="1"/>
      <w:spacing w:after="60" w:before="120" w:lineRule="auto"/>
    </w:pPr>
    <w:rPr>
      <w:rFonts w:ascii="Play" w:cs="Play" w:eastAsia="Play" w:hAnsi="Play"/>
      <w:b w:val="1"/>
      <w:bCs w:val="1"/>
      <w:color w:val="181818"/>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60" w:before="0" w:line="240" w:lineRule="auto"/>
    </w:pPr>
    <w:rPr>
      <w:rFonts w:ascii="Play" w:cs="Play" w:eastAsia="Play" w:hAnsi="Play"/>
      <w:b w:val="1"/>
      <w:bCs w:val="1"/>
      <w:color w:val="181818"/>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yperlink" Target="https://www.google.com/maps/place//data=!4m2!3m1!1s0x47c0fb003558dd4d:0xec9438dee6530463?sa=X&amp;ved=1t:8290&amp;ictx=111" TargetMode="External"/><Relationship Id="rId12" Type="http://schemas.openxmlformats.org/officeDocument/2006/relationships/image" Target="media/image5.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 Id="rId15" Type="http://schemas.openxmlformats.org/officeDocument/2006/relationships/header" Target="header1.xml"/><Relationship Id="rId2"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