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3143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895475"/>
                    </a:xfrm>
                    <a:prstGeom prst="rect">
                      <a:avLst/>
                    </a:prstGeom>
                  </pic:spPr>
                </pic:pic>
              </a:graphicData>
            </a:graphic>
          </wp:inline>
        </w:drawing>
      </w:r>
    </w:p>
    <w:p>
      <w:pPr>
        <w:spacing w:after="60"/>
        <w:jc w:val="center"/>
      </w:pPr>
      <w:r>
        <w:rPr>
          <w:b/>
          <w:bCs/>
          <w:color w:val="666666"/>
          <w:sz w:val="20"/>
          <w:szCs w:val="20"/>
        </w:rPr>
        <w:t xml:space="preserve">APPEL À PROJETS ARTS NUMÉRIQUES 2026</w:t>
      </w:r>
    </w:p>
    <w:p>
      <w:pPr>
        <w:pBdr>
          <w:bottom w:val="single" w:color="2E5C9A" w:sz="8" w:space="4"/>
        </w:pBdr>
        <w:spacing w:after="120"/>
        <w:jc w:val="center"/>
      </w:pPr>
      <w:r>
        <w:rPr>
          <w:b/>
          <w:bCs/>
          <w:sz w:val="48"/>
          <w:szCs w:val="48"/>
        </w:rPr>
        <w:t xml:space="preserve">OFFRIR-MAGNIFIER / VOLER-EXPLOITER</w:t>
      </w:r>
    </w:p>
    <w:p>
      <w:pPr>
        <w:spacing w:after="300"/>
        <w:jc w:val="center"/>
      </w:pPr>
      <w:r>
        <w:t xml:space="preserve">Dossier de candidature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Opérateur</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ASBL CDM2047 / La Galerie du Livre et de l'étrange Théâtre"</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Chef de projet / auteur principal</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Denis Gauder</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Collaborateur principal</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Guillaume Denys</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Lieu</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Galerie Overflow — Rue Hongrée 6B, 4000 Liège</w:t>
            </w:r>
          </w:p>
        </w:tc>
      </w:tr>
      <w:tr>
        <w:trPr>
          <w:cantSplit/>
        </w:trPr>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Statut du lieu</w:t>
            </w:r>
          </w:p>
        </w:tc>
        <w:tc>
          <w:tcPr>
            <w:tcW w:type="dxa" w:w="4968"/>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val="false"/>
                <w:bCs w:val="false"/>
                <w:i w:val="false"/>
                <w:iCs w:val="false"/>
              </w:rPr>
              <w:t xml:space="preserve">Accord de principe obtenu ; dates et horaires à préciser après retour du dossier</w:t>
            </w:r>
          </w:p>
        </w:tc>
      </w:tr>
    </w:tbl>
    <w:p>
      <w:pPr>
        <w:pStyle w:val="Heading1"/>
      </w:pPr>
      <w:r>
        <w:t xml:space="preserve">1. Intitulé du projet</w:t>
      </w:r>
    </w:p>
    <w:p>
      <w:pPr>
        <w:spacing w:after="120"/>
      </w:pPr>
      <w:r>
        <w:rPr>
          <w:b/>
          <w:bCs/>
          <w:sz w:val="24"/>
          <w:szCs w:val="24"/>
        </w:rPr>
        <w:t xml:space="preserve">Offrir-Magnifier / Voler-Exploiter</w:t>
      </w:r>
    </w:p>
    <w:p>
      <w:pPr>
        <w:pStyle w:val="Heading1"/>
      </w:pPr>
      <w:r>
        <w:t xml:space="preserve">2. Opérateur et équipe projet</w:t>
      </w:r>
    </w:p>
    <w:p>
      <w:pPr>
        <w:spacing w:after="100"/>
      </w:pPr>
      <w:r>
        <w:t xml:space="preserve">Le projet est soumis par l’ASBL CDM2047 /  "La Galerie du Livre et de l'étrange Théâtre".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cantSplit/>
          <w:tblHeader/>
        </w:trPr>
        <w:tc>
          <w:tcPr>
            <w:tcW w:type="dxa" w:w="4968"/>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Membre</w:t>
            </w:r>
          </w:p>
        </w:tc>
        <w:tc>
          <w:tcPr>
            <w:tcW w:type="dxa" w:w="4968"/>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Rôle</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Denis Gauder</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Chef de projet et auteur principal — conception, direction artistique, simulation générative, intégration générale.</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Guillaume Denys</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Collaborateur principal — développement conceptuel et artistique, regard critique et accompagnement de la mise en forme du projet.</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Hubar</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Développement technique — soutien au codage et à l’intégration du dispositif interactif.</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Edwin Joassart</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Conseiller artistique — accompagnement artistique, scénographique et critique.</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Louise Kopij</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Réalisation technique et artistique, soutien administratif</w:t>
            </w:r>
          </w:p>
        </w:tc>
      </w:tr>
      <w:tr>
        <w:trPr>
          <w:cantSplit/>
          <w:tblHeader w:val="false"/>
        </w:trPr>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Dehon</w:t>
            </w:r>
          </w:p>
        </w:tc>
        <w:tc>
          <w:tcPr>
            <w:tcW w:type="dxa" w:w="4968"/>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Réalisation technique</w:t>
            </w:r>
          </w:p>
        </w:tc>
      </w:tr>
    </w:tbl>
    <w:p>
      <w:pPr>
        <w:pStyle w:val="Heading1"/>
        <w:pageBreakBefore/>
      </w:pPr>
      <w:r>
        <w:t xml:space="preserve">3. Description du projet</w:t>
      </w:r>
    </w:p>
    <w:p>
      <w:pPr>
        <w:pStyle w:val="Heading2"/>
      </w:pPr>
      <w:r>
        <w:t xml:space="preserve">3.1 Présentation du projet</w:t>
      </w:r>
    </w:p>
    <w:p>
      <w:pPr>
        <w:spacing w:after="100"/>
      </w:pPr>
      <w:r>
        <w:t xml:space="preserve">OFFRIR-MAGNIFIER / VOLER-EXPLOITER est une installation participative et générative dans laquelle les visiteurs contribuent à l’évolution d’un monde virtuel collectif.</w:t>
      </w:r>
    </w:p>
    <w:p>
      <w:pPr>
        <w:spacing w:after="100"/>
      </w:pPr>
      <w:r>
        <w:t xml:space="preserve">Une courte conversation permet de positionner chaque contribution selon six axes liés à notre perception de la technologie et du rapport entre société et technologie (voir annexe A). Ces axes sont ensuite traduits en paramètres qui influencent un monde génératif composé de particules, de couleurs et de mouvements.</w:t>
      </w:r>
    </w:p>
    <w:p>
      <w:pPr>
        <w:spacing w:after="100"/>
      </w:pPr>
      <w:r>
        <w:t xml:space="preserve">Chaque contribution crée une nouvelle particule et modifie légèrement le monde. Une vision plus anxieuse pourra par exemple assombrir le fond, tandis que d’autres dimensions agiront sur la vitesse des mouvements ou sur la manière dont les particules se regroupent ou s’isolent.</w:t>
      </w:r>
    </w:p>
    <w:p>
      <w:pPr>
        <w:spacing w:after="100"/>
      </w:pPr>
      <w:r>
        <w:t xml:space="preserve">Le monde virtuel collectif ou l'oeuvre évolue en permanence sous l’effet cumulé des différentes conversations / interactions.</w:t>
      </w:r>
    </w:p>
    <w:p>
      <w:pPr>
        <w:spacing w:after="100"/>
      </w:pPr>
      <w:r>
        <w:t xml:space="preserve">Des captures régulières sont réalisées tout au long de l’exposition. Leur assemblage final constitue une œuvre pérenne : une trace des différents états traversés par ce monde au cours de l’expérience.</w:t>
      </w:r>
    </w:p>
    <w:p>
      <w:pPr>
        <w:pStyle w:val="Heading2"/>
      </w:pPr>
      <w:r>
        <w:t xml:space="preserve">3.2 Intentions et forces</w:t>
      </w:r>
    </w:p>
    <w:p>
      <w:pPr>
        <w:spacing w:after="100"/>
      </w:pPr>
      <w:r>
        <w:t xml:space="preserve">L’installation et ses différents paramètres proposent un questionnement social, culturel et technologique sur notre rapport contemporain à la technologie.</w:t>
      </w:r>
    </w:p>
    <w:p>
      <w:pPr>
        <w:spacing w:after="100"/>
      </w:pPr>
      <w:r>
        <w:t xml:space="preserve">Par son titre, elle adopte une position partiellement dénonciatrice face aux logiques actuelles d’exploitation des données et des utilisateurs. Elle propose une expérience plus optimiste : celle d’une contribution volontaire, offerte à un système capable de la transformer et de la magnifier. Cette tension traduit une position d’ambiguïté, de doute et de questionnement plutôt qu’une réponse définitive.</w:t>
      </w:r>
    </w:p>
    <w:p>
      <w:pPr>
        <w:spacing w:after="100"/>
      </w:pPr>
      <w:r>
        <w:t xml:space="preserve">L’objectif est de créer une expérience/ réalisation véritablement collective, dont le résultat n’est pas prédéterminé par ses concepteurs. Ce monde virtuel évolue de manière autonome selon des règles établies, connues par les visiteurs.</w:t>
      </w:r>
    </w:p>
    <w:p>
      <w:pPr>
        <w:spacing w:after="100"/>
      </w:pPr>
      <w:r>
        <w:t xml:space="preserve">Les concepteurs définissent les règles du jeu, mais ne déterminent pas ce que l’œuvre deviendra.</w:t>
      </w:r>
    </w:p>
    <w:p>
      <w:pPr>
        <w:spacing w:after="100"/>
      </w:pPr>
      <w:r>
        <w:t xml:space="preserve">Chaque conversation possède le même poids et participe à l’évolution du monde, sans intervention d’intérêts extérieurs.</w:t>
      </w:r>
    </w:p>
    <w:p>
      <w:pPr>
        <w:spacing w:after="100"/>
      </w:pPr>
      <w:r>
        <w:t xml:space="preserve">L’œuvre constitue ainsi à la fois un témoignage et une expérience collective : chacun y dépose une contribution individuelle, qui cesse ensuite de lui appartenir pour devenir une partie d’un monde commun, autonome et imprévisible : Une réelle aventure artistique doublée d'une interrogation philosophique implicite qui nous évite des lourdeurs didactiques ou les dogmatismes idéologiques.</w:t>
      </w:r>
    </w:p>
    <w:p>
      <w:pPr>
        <w:pStyle w:val="Heading2"/>
      </w:pPr>
      <w:r>
        <w:t xml:space="preserve">3.3 Expérience du visiteur</w:t>
      </w:r>
    </w:p>
    <w:p>
      <w:pPr>
        <w:spacing w:after="100"/>
      </w:pPr>
      <w:r>
        <w:t xml:space="preserve">Le visiteur arrive dans un espace d’accueil où les règles du jeu et la philosophie du projet lui sont brièvement expliquées avant qu’il ne découvre l’œuvre. Cet accueil sera probablement humain, éventuellement accompagné d’un agent numérique interactif présenté sur un écran.</w:t>
      </w:r>
    </w:p>
    <w:p>
      <w:pPr>
        <w:spacing w:after="100"/>
      </w:pPr>
      <w:r>
        <w:t xml:space="preserve">Deux cabines noires, fermées par des rideaux, se trouvent entre l’accueil et l’espace de projection. Elles évoquent à la fois le bureau de vote et le confessionnal. Elles portent deux titres : Contribuer et Contempler.</w:t>
      </w:r>
    </w:p>
    <w:p>
      <w:pPr>
        <w:spacing w:after="100"/>
      </w:pPr>
      <w:r>
        <w:t xml:space="preserve">Le visiteur choisit l’une des deux voies, tout en restant libre de refaire ce choix plus tard.</w:t>
      </w:r>
    </w:p>
    <w:p>
      <w:pPr>
        <w:spacing w:after="100"/>
      </w:pPr>
      <w:r>
        <w:t xml:space="preserve">La cabine Contempler est vide et permet simplement de traverser vers l’espace de projection.</w:t>
      </w:r>
    </w:p>
    <w:p>
      <w:pPr>
        <w:spacing w:after="100"/>
      </w:pPr>
      <w:r>
        <w:t xml:space="preserve">La cabine Contribuer contient une tablette permettant d’avoir une courte conversation avec le dispositif. À l’issue de cette conversation, une nouvelle particule et une nouvelle tache de couleur apparaissent dans le monde.</w:t>
      </w:r>
    </w:p>
    <w:p>
      <w:pPr>
        <w:spacing w:after="100"/>
      </w:pPr>
      <w:r>
        <w:t xml:space="preserve">La particule peut recevoir un nom choisi par le visiteur afin qu’il puisse la reconnaître lorsqu’il entre dans l’espace de projection.</w:t>
      </w:r>
    </w:p>
    <w:p>
      <w:pPr>
        <w:spacing w:after="100"/>
      </w:pPr>
      <w:r>
        <w:t xml:space="preserve">Cet espace fonctionne comme une salle de projection et de discussion. La projetcion se fait sur un écran blanc fourni par la salle. Des chaises sont installées en regard de l'oeuvre, et un espace de rencontre est organisé derrière les places assises pour favoriser des échanges entre les visiteurs.</w:t>
      </w:r>
    </w:p>
    <w:p>
      <w:pPr>
        <w:spacing w:after="100"/>
      </w:pPr>
      <w:r>
        <w:t xml:space="preserve">Le visiteur peut y observer le monde, retrouver sa particule ou simplement contempler son évolution.</w:t>
      </w:r>
    </w:p>
    <w:p>
      <w:pPr>
        <w:spacing w:after="100"/>
      </w:pPr>
      <w:r>
        <w:t xml:space="preserve">Le monde possède deux temporalités : une dynamique immédiate, faite du mouvement expressif des particules, et une évolution beaucoup plus lente, résultant de l’accumulation des contributions successives.</w:t>
      </w:r>
    </w:p>
    <w:p>
      <w:pPr>
        <w:spacing w:after="100"/>
      </w:pPr>
      <w:r>
        <w:t xml:space="preserve">Le parcours forme ainsi une boucle : accueil → choix entre contribuer ou contempler → projection et discussion → sortie → retour vers l’accueil.</w:t>
      </w:r>
    </w:p>
    <w:p>
      <w:pPr>
        <w:keepNext/>
        <w:spacing w:after="6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i/>
          <w:iCs/>
          <w:sz w:val="18"/>
          <w:szCs w:val="18"/>
        </w:rPr>
        <w:t xml:space="preserve">Rendu 3D indicatif du parcours visiteur.</w:t>
      </w:r>
    </w:p>
    <w:p>
      <w:pPr>
        <w:pStyle w:val="Heading2"/>
      </w:pPr>
      <w:r>
        <w:t xml:space="preserve">3.4 Description du monde-virtuel-collectif-évolutif</w:t>
      </w:r>
    </w:p>
    <w:p>
      <w:pPr>
        <w:spacing w:after="100"/>
      </w:pPr>
      <w:r>
        <w:t xml:space="preserve">L'oeuvre est un système génératif en deux dimensions dans lequel évoluent des particules.</w:t>
      </w:r>
    </w:p>
    <w:p>
      <w:pPr>
        <w:spacing w:after="100"/>
      </w:pPr>
      <w:r>
        <w:t xml:space="preserve">Elle est initialement inspiré des tortues de Grey Walter et de leurs modèles simples de comportement et d’interaction. Chaque particule possède ainsi une forme de personnalité et peut évoluer entre différents états, notamment calme et excité.</w:t>
      </w:r>
    </w:p>
    <w:p>
      <w:pPr>
        <w:spacing w:after="100"/>
      </w:pPr>
      <w:r>
        <w:t xml:space="preserve">Ces changements dépendent de sa personnalité et de son environnement. Une particule introvertie pourra par exemple devenir plus excitée lorsqu’une autre s’approche, tandis qu’une particule extravertie pourra réagir différemment. Ces règles simples peuvent produire des formes d’interactions sociales émergentes.</w:t>
      </w:r>
    </w:p>
    <w:p>
      <w:pPr>
        <w:spacing w:after="100"/>
      </w:pPr>
      <w:r>
        <w:t xml:space="preserve">À ce modèle s’ajoutent une grammaire du mouvement et une grammaire de la couleur.</w:t>
      </w:r>
    </w:p>
    <w:p>
      <w:pPr>
        <w:spacing w:after="100"/>
      </w:pPr>
      <w:r>
        <w:t xml:space="preserve">Lorsqu’une particule apparaît, elle apparaît avec une tache de couleur. Lorsqu’elle traverse cette tache, elle en étale la couleur comme un pinceau dans de la peinture.</w:t>
      </w:r>
    </w:p>
    <w:p>
      <w:pPr>
        <w:spacing w:after="100"/>
      </w:pPr>
      <w:r>
        <w:t xml:space="preserve">La grammaire du mouvement définit notamment les directions possibles, les courbures, la vitesse et le caractère plus ou moins saccadé du déplacement. Elle varie également selon l’état de la particule.</w:t>
      </w:r>
    </w:p>
    <w:p>
      <w:pPr>
        <w:spacing w:after="100"/>
      </w:pPr>
      <w:r>
        <w:t xml:space="preserve">L’ensemble fonctionne comme un générateur paramétrique comprenant un grand nombre de paramètres qui influencent à la fois le comportement et le résultat graphique. Selon leurs valeurs, le monde peut produire des formes évoquant aussi bien de la peinture que des carreaux, des circuits électroniques, des traces de craie ou des représentations schématiques de l'agitation neuronale.</w:t>
      </w:r>
    </w:p>
    <w:p>
      <w:pPr>
        <w:spacing w:after="100"/>
      </w:pPr>
      <w:r>
        <w:t xml:space="preserve">Au début de l’exposition, le monde est initialisé dans une position médiane sur les différentes échelles. Cet état constitue son état originel. Chaque contribution influence un nombre de paramètres, transformant lentement l'état du monde créé. Selon les résultats des tests, un léger effet de rappel vers cet état initial pourra être ajouté afin d’éviter que certains paramètres ne restent bloqués aux extrêmes.</w:t>
      </w:r>
    </w:p>
    <w:p>
      <w:pPr>
        <w:spacing w:after="100"/>
      </w:pPr>
      <w:r>
        <w:t xml:space="preserve">Les correspondances entre paramètres, couleurs et mouvements cherchent à traduire les sentiments exprimés par les visiteurs et leur offrent une dimension hypnotique captivante invitant à la contemplation.</w:t>
      </w:r>
    </w:p>
    <w:p>
      <w:pPr>
        <w:keepNext/>
        <w:spacing w:after="60" w:before="12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sz w:val="18"/>
          <w:szCs w:val="18"/>
        </w:rPr>
        <w:t xml:space="preserve">Vue du générateur et de ses paramètres.</w:t>
      </w:r>
    </w:p>
    <w:p>
      <w:pPr>
        <w:keepNext/>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sz w:val="18"/>
          <w:szCs w:val="18"/>
        </w:rPr>
        <w:t xml:space="preserve">Variation — « Peau », exemple</w:t>
      </w:r>
    </w:p>
    <w:p>
      <w:pPr>
        <w:pStyle w:val="Heading2"/>
      </w:pPr>
      <w:r>
        <w:t xml:space="preserve">3.5 Expérience dans la cabine</w:t>
      </w:r>
    </w:p>
    <w:p>
      <w:pPr>
        <w:spacing w:after="100"/>
      </w:pPr>
      <w:r>
        <w:t xml:space="preserve">Dans la cabine Contribuer, le visiteur répond à douze questions (voir Annexe A — Questionnaire et axes).</w:t>
      </w:r>
    </w:p>
    <w:p>
      <w:pPr>
        <w:spacing w:after="100"/>
      </w:pPr>
      <w:r>
        <w:t xml:space="preserve">Ces questions abordent, à travers des situations familières, les réactions et les sentiments liés à notre société technologique. Elles fonctionnent par paires et permettent de positionner la conversation sur six axes.</w:t>
      </w:r>
    </w:p>
    <w:p>
      <w:pPr>
        <w:keepNext/>
        <w:spacing w:after="60" w:before="120"/>
        <w:jc w:val="center"/>
      </w:pPr>
      <w:r>
        <w:drawing>
          <wp:inline distT="0" distB="0" distL="0" distR="0">
            <wp:extent cx="6096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76625"/>
                    </a:xfrm>
                    <a:prstGeom prst="rect">
                      <a:avLst/>
                    </a:prstGeom>
                  </pic:spPr>
                </pic:pic>
              </a:graphicData>
            </a:graphic>
          </wp:inline>
        </w:drawing>
      </w:r>
    </w:p>
    <w:p>
      <w:pPr>
        <w:spacing w:after="120"/>
      </w:pPr>
    </w:p>
    <w:p>
      <w:pPr>
        <w:spacing w:after="100"/>
      </w:pPr>
      <w:r>
        <w:t xml:space="preserve">À la fin de la conversation, le visiteur est invité à écrire une courte phrase libre. Cette phrase sert à alimenter l’univers sonore de l’installation. Elle n’est pas conservée comme telle mais transformée en matière sonore, probablement à l’aide d’une technologie d’intelligence artificielle dont les modalités restent à déterminer.</w:t>
      </w:r>
    </w:p>
    <w:p>
      <w:pPr>
        <w:spacing w:after="100"/>
      </w:pPr>
      <w:r>
        <w:t xml:space="preserve">Le visiteur donne enfin un nom à sa conversation. Ce nom devient celui de la particule créée.</w:t>
      </w:r>
    </w:p>
    <w:p>
      <w:pPr>
        <w:spacing w:after="100"/>
      </w:pPr>
      <w:r>
        <w:t xml:space="preserve">Une fois l’échange terminé, le dispositif remercie le visiteur et l’invite à traverser la cabine. Il découvre alors dans l’espace de projection la particule, la couleur et le comportement issus de sa conversation.</w:t>
      </w:r>
    </w:p>
    <w:p>
      <w:pPr>
        <w:pStyle w:val="Heading2"/>
      </w:pPr>
      <w:r>
        <w:t xml:space="preserve">3.6 Confidentialité</w:t>
      </w:r>
    </w:p>
    <w:p>
      <w:pPr>
        <w:spacing w:after="100"/>
      </w:pPr>
      <w:r>
        <w:t xml:space="preserve">La contribution est volontaire. Les réponses servent uniquement à générer la particule, ses paramètres et l’élément sonore ; seuls les éléments nécessaires à l’œuvre sont conservés, sans identité nominative.</w:t>
      </w:r>
    </w:p>
    <w:p>
      <w:pPr>
        <w:pStyle w:val="Heading2"/>
      </w:pPr>
      <w:r>
        <w:t xml:space="preserve">3.7 Public cible</w:t>
      </w:r>
    </w:p>
    <w:p>
      <w:pPr>
        <w:spacing w:after="100"/>
      </w:pPr>
      <w:r>
        <w:t xml:space="preserve">L’œuvre possède une portée volontairement large, puisqu’elle interroge notre rapport social et culturel à la technologie.</w:t>
      </w:r>
    </w:p>
    <w:p>
      <w:pPr>
        <w:spacing w:after="100"/>
      </w:pPr>
      <w:r>
        <w:t xml:space="preserve">Cette installation s’adresse en particulier aux étudiants et aux jeunes publics, susceptibles de contribuer activement à l’œuvre et parfois déjà familiers avec les formes d’art génératif.</w:t>
      </w:r>
    </w:p>
    <w:p>
      <w:pPr>
        <w:spacing w:after="100"/>
      </w:pPr>
      <w:r>
        <w:t xml:space="preserve">Elle vise également le public du lieu, orienté vers l’art et la technologie, ainsi qu’un public plus traditionnel de galeries, notamment celui de la Galerie du Livre et de l'étrange Théâtre dans laquelle Denis Gauder a déjà exposé en 2026.</w:t>
      </w:r>
    </w:p>
    <w:p>
      <w:pPr>
        <w:spacing w:after="100"/>
      </w:pPr>
      <w:r>
        <w:t xml:space="preserve">L’œuvre peut ainsi constituer une invitation douce à entrer dans une exposition technologique pour des visiteurs qui n’auraient pas spontanément franchi ce pas.</w:t>
      </w:r>
    </w:p>
    <w:p>
      <w:pPr>
        <w:spacing w:after="100"/>
      </w:pPr>
      <w:r>
        <w:t xml:space="preserve">Les personnes travaillant dans les domaines technologiques peuvent également être directement concernées par les questions posées, tout comme les publics sensibles à la philosophie, aux sciences sociales et aux transformations contemporaines de la société.</w:t>
      </w:r>
    </w:p>
    <w:p>
      <w:pPr>
        <w:pStyle w:val="Heading1"/>
        <w:pageBreakBefore/>
      </w:pPr>
      <w:r>
        <w:t xml:space="preserve">6. Programmation envisagée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236"/>
      </w:tblGrid>
      <w:tr>
        <w:trPr>
          <w:cantSplit/>
          <w:tblHeader/>
        </w:trPr>
        <w:tc>
          <w:tcPr>
            <w:tcW w:type="dxa" w:w="35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Phase</w:t>
            </w:r>
          </w:p>
        </w:tc>
        <w:tc>
          <w:tcPr>
            <w:tcW w:type="dxa" w:w="32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Période indicative</w:t>
            </w:r>
          </w:p>
        </w:tc>
        <w:tc>
          <w:tcPr>
            <w:tcW w:type="dxa" w:w="3236"/>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Résultat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 Prototypage plastique</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1ᵉʳ déc. 2026 – 9 jan.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Prototype visuel et sonore.</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 Interaction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11 jan. – 6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Prototype complet de la cabine « Contribuer ».</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3. Intégration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8 – 18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Système interactif intégré.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4. Scénographie et production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25 jan. – 18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Installation prête au montage.</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5. Installation in situ</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19 – 25 fév.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Ouverture.</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6. Présentation publique</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26 fév. – 14 mars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Exposition.</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7. Documentation / bilan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15 mars – 30 juin 2027</w:t>
            </w:r>
          </w:p>
        </w:tc>
        <w:tc>
          <w:tcPr>
            <w:tcW w:type="dxa" w:w="32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Documentation finale.</w:t>
            </w:r>
          </w:p>
        </w:tc>
      </w:tr>
    </w:tbl>
    <w:p>
      <w:pPr>
        <w:pStyle w:val="Heading1"/>
      </w:pPr>
      <w:r>
        <w:t xml:space="preserve">7. Durée du projet</w:t>
      </w:r>
    </w:p>
    <w:p>
      <w:pPr>
        <w:spacing w:after="100"/>
      </w:pPr>
      <w:r>
        <w:t xml:space="preserve">L’œuvre se regarde dans le noir : la période d’exposition est donc choisie dans la période où la nuit tombe tôt.</w:t>
      </w:r>
    </w:p>
    <w:p>
      <w:pPr>
        <w:spacing w:after="100"/>
      </w:pPr>
      <w:r>
        <w:t xml:space="preserve">Le calendrier ci-dessous s’inscrit dans la fenêtre réglementaire et laisse huit mois de marge avant son échéance, ce qui autorise un report à l’hiver suivant si la production l’exigeait.</w:t>
      </w:r>
    </w:p>
    <w:p>
      <w:pPr>
        <w:spacing w:after="100"/>
      </w:pPr>
      <w:r>
        <w:t xml:space="preserve">Les dates seront confirmées avec la Galerie Overflow après notification.</w:t>
      </w:r>
    </w:p>
    <w:p>
      <w:pPr>
        <w:spacing w:after="0"/>
      </w:pPr>
      <w:r>
        <w:t xml:space="preserve">Début de production : 1ᵉʳ décembre 2026</w:t>
      </w:r>
    </w:p>
    <w:p>
      <w:pPr>
        <w:spacing w:after="0"/>
      </w:pPr>
      <w:r>
        <w:t xml:space="preserve">Période d’exposition : 26 février – 14 mars 2027, du jeudi au dimanche, de 18 h à 22 h (à confirmer en focntion de l'agenda de la salle Overflow)</w:t>
      </w:r>
    </w:p>
    <w:p>
      <w:pPr>
        <w:spacing w:after="100"/>
      </w:pPr>
      <w:r>
        <w:t xml:space="preserve">Clôture du projet : 30 juin 2027</w:t>
      </w:r>
    </w:p>
    <w:p>
      <w:pPr>
        <w:spacing w:after="100"/>
      </w:pPr>
      <w:r>
        <w:t xml:space="preserve">La clôture est fixée au 30 juin 2027, soit trois mois après la fin de l’exposition : les pièces justificatives devant porter des dates comprises dans la période déclarée, cette marge couvre les factures tardives et la documentation finale. L’ensemble reste très en amont de l’échéance du 30 novembre 2027.</w:t>
      </w:r>
    </w:p>
    <w:p>
      <w:pPr>
        <w:pStyle w:val="Heading1"/>
      </w:pPr>
      <w:r>
        <w:t xml:space="preserve">8. Organisation, apports et faisabilité</w:t>
      </w:r>
    </w:p>
    <w:p>
      <w:pPr>
        <w:spacing w:after="100"/>
      </w:pPr>
      <w:r>
        <w:t xml:space="preserve">Le projet associe dès sa conception les compétences artistiques, techniques et de production nécessaires. L’accord de principe obtenu pour la Galerie Overflow réduit en outre un risque important lié à la diffusion : le lieu pressenti est déjà identifié.</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0"/>
        <w:gridCol w:w="3900"/>
        <w:gridCol w:w="2536"/>
      </w:tblGrid>
      <w:tr>
        <w:trPr>
          <w:cantSplit/>
          <w:tblHeader/>
        </w:trPr>
        <w:tc>
          <w:tcPr>
            <w:tcW w:type="dxa" w:w="35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Ressource</w:t>
            </w:r>
          </w:p>
        </w:tc>
        <w:tc>
          <w:tcPr>
            <w:tcW w:type="dxa" w:w="39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Apport au projet</w:t>
            </w:r>
          </w:p>
        </w:tc>
        <w:tc>
          <w:tcPr>
            <w:tcW w:type="dxa" w:w="2536"/>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Statut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ASBL CDM2047 / "La Galerie du Livre et de l'étrange Théâtre"</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Opérateur du projet ; portage administratif et culturel.</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Denis Gauder</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Conception, direction artistique, gestion du projet, simulation et intégration.</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Guillaume Denys</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Collaboration conceptuelle et artistique ; accompagnement principal.</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Hubar</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Développement technique et codage.</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Edwin Joassart</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Conseil artistique et scénographique.</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Galerie Overflow</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Lieu de la présentation publique ; installation sonore, mobilier d’assise et espace de projection mis à disposition.</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Accord de principe obtenu</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Dehon</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Menuisier de formation et historique de réalisation d'oeuvres avec Denis Gauder</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Louise Kopij</w:t>
            </w:r>
          </w:p>
        </w:tc>
        <w:tc>
          <w:tcPr>
            <w:tcW w:type="dxa" w:w="3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Scénographie et réalisation technique des tissus et peintures, expérience significative dans le domaine</w:t>
            </w:r>
          </w:p>
        </w:tc>
        <w:tc>
          <w:tcPr>
            <w:tcW w:type="dxa" w:w="25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Confirmé</w:t>
            </w:r>
          </w:p>
        </w:tc>
      </w:tr>
    </w:tbl>
    <w:p>
      <w:pPr>
        <w:spacing w:after="100" w:before="160"/>
      </w:pPr>
      <w:r>
        <w:t xml:space="preserve">Le projet est entièrement liégeois : l’opérateur, les six membres de l’équipe et le lieu de diffusion sont établis à Liège, et l’œuvre est conçue pour un public liégeois dont les témoignages en constituent la matière même.</w:t>
      </w:r>
    </w:p>
    <w:p>
      <w:pPr>
        <w:pStyle w:val="Heading1"/>
        <w:pageBreakBefore/>
      </w:pPr>
      <w:r>
        <w:t xml:space="preserve">9. Budget du projet et financement</w:t>
      </w:r>
    </w:p>
    <w:p>
      <w:pPr>
        <w:spacing w:after="100"/>
      </w:pPr>
      <w:r>
        <w:rPr>
          <w:b/>
          <w:bCs/>
        </w:rPr>
        <w:t xml:space="preserve">Budget</w:t>
      </w:r>
    </w:p>
    <w:p>
      <w:pPr>
        <w:spacing w:after="100"/>
      </w:pPr>
      <w:r>
        <w:t xml:space="preserve">Le budget ci-dessous couvre l’ensemble du projet, de la fin du prototypage à la documentation finale.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00"/>
        <w:gridCol w:w="4636"/>
        <w:gridCol w:w="1800"/>
      </w:tblGrid>
      <w:tr>
        <w:trPr>
          <w:cantSplit/>
          <w:tblHeader/>
        </w:trPr>
        <w:tc>
          <w:tcPr>
            <w:tcW w:type="dxa" w:w="35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Dépenses</w:t>
            </w:r>
          </w:p>
        </w:tc>
        <w:tc>
          <w:tcPr>
            <w:tcW w:type="dxa" w:w="4636"/>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Contenu</w:t>
            </w:r>
          </w:p>
        </w:tc>
        <w:tc>
          <w:tcPr>
            <w:tcW w:type="dxa" w:w="1800"/>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Montant (€)</w:t>
            </w:r>
          </w:p>
        </w:tc>
      </w:tr>
      <w:tr>
        <w:trPr>
          <w:cantSplit/>
          <w:tblHeader w:val="false"/>
        </w:trPr>
        <w:tc>
          <w:tcPr>
            <w:tcW w:type="dxa" w:w="9936"/>
            <w:gridSpan w:val="3"/>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PERSONNEL</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Conception / direction artistique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Denis Gauder — conception, écriture, direction artistique et intégration générale.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4000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Coordination et production</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Guillaume Denys, Louise Kopij — coordination, production et accompagnement conceptuel.</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Développement technique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Hubar — développement technique et intégration du dispositif interactif.</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Conseil artistique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Edwin Joassart — conseil artistique et scénographique.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Réalisation et installation cabines</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Julien Dehon (menuiserie), Louise Kopij (peinture, rideaux et finitions)</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1500</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Sous-total personnel</w:t>
            </w:r>
          </w:p>
        </w:tc>
        <w:tc>
          <w:tcPr>
            <w:tcW w:type="dxa" w:w="4636"/>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right"/>
            </w:pPr>
            <w:r>
              <w:rPr>
                <w:b/>
                <w:bCs/>
                <w:i w:val="false"/>
                <w:iCs w:val="false"/>
              </w:rPr>
              <w:t xml:space="preserve">8 000</w:t>
            </w:r>
          </w:p>
        </w:tc>
      </w:tr>
      <w:tr>
        <w:trPr>
          <w:cantSplit/>
          <w:tblHeader w:val="false"/>
        </w:trPr>
        <w:tc>
          <w:tcPr>
            <w:tcW w:type="dxa" w:w="9936"/>
            <w:gridSpan w:val="3"/>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MATÉRIEL ET PRODUCTION</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Tablette pour expérience cabine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Tablette de qualité suffisante pour une expérience fluide et adaptée à un usage public</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2 Cabines peintes avec rideaux</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Panneaux de bois, rideaux de qualité raisonnable, peinture noire et lettrage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Petits frais de production</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Stockage, transport, consommables, documentation et imprévus.</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Location de la salle @OVERFLOW pour la durée de l'évènement</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 (offert)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Mise à disposition du mobilier, projecteur et matériel de diffusion sonore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 (offert)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Mise à disposition de l'ordinateur faisant tourner “Le Monde”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Ordinateur récent et performant guarantissant de bons chiffres d'Uptime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250* (offert)</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Consommation service API et environnement Cloud</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L'oeuvre utilisera un service Cloud afin d'assurer stabilité et disponibilité</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500</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Matériel promotionel</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Conception des Posters, Flyers et invitations</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1500* (offert)</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Sous-total matériel et frais</w:t>
            </w:r>
          </w:p>
        </w:tc>
        <w:tc>
          <w:tcPr>
            <w:tcW w:type="dxa" w:w="4636"/>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right"/>
            </w:pPr>
            <w:r>
              <w:rPr>
                <w:b/>
                <w:bCs/>
                <w:i w:val="false"/>
                <w:iCs w:val="false"/>
              </w:rPr>
              <w:t xml:space="preserve">5750</w:t>
            </w:r>
          </w:p>
        </w:tc>
      </w:tr>
      <w:tr>
        <w:trPr>
          <w:cantSplit/>
          <w:tblHeader w:val="false"/>
        </w:trPr>
        <w:tc>
          <w:tcPr>
            <w:tcW w:type="dxa" w:w="9936"/>
            <w:gridSpan w:val="3"/>
            <w:tcBorders>
              <w:top w:val="single" w:color="000000" w:sz="6"/>
              <w:left w:val="single" w:color="000000" w:sz="6"/>
              <w:bottom w:val="single" w:color="000000" w:sz="6"/>
              <w:right w:val="single" w:color="000000" w:sz="6"/>
            </w:tcBorders>
            <w:shd w:fill="EEEEEE" w:color="auto" w:val="clear"/>
            <w:tcMar>
              <w:top w:type="dxa" w:w="40"/>
              <w:left w:type="dxa" w:w="100"/>
              <w:bottom w:type="dxa" w:w="40"/>
              <w:right w:type="dxa" w:w="100"/>
            </w:tcMar>
          </w:tcPr>
          <w:p>
            <w:pPr>
              <w:spacing w:after="0"/>
              <w:jc w:val="left"/>
            </w:pPr>
            <w:r>
              <w:rPr>
                <w:b/>
                <w:bCs/>
                <w:i w:val="false"/>
                <w:iCs w:val="false"/>
              </w:rPr>
              <w:t xml:space="preserve">GESTION</w:t>
            </w:r>
          </w:p>
        </w:tc>
      </w:tr>
      <w:tr>
        <w:trPr>
          <w:cantSplit/>
          <w:tblHeader w:val="false"/>
        </w:trP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Frais de gestion — La Galerie du Livre et de l'Etrange Théâtre</w:t>
            </w:r>
          </w:p>
        </w:tc>
        <w:tc>
          <w:tcPr>
            <w:tcW w:type="dxa" w:w="463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left"/>
            </w:pPr>
            <w:r>
              <w:rPr>
                <w:b w:val="false"/>
                <w:bCs w:val="false"/>
                <w:i w:val="false"/>
                <w:iCs w:val="false"/>
              </w:rPr>
              <w:t xml:space="preserve">Frais de gestion de La Galerie du Livre et de l'Etrange Théâtre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jc w:val="right"/>
            </w:pPr>
            <w:r>
              <w:rPr>
                <w:b w:val="false"/>
                <w:bCs w:val="false"/>
                <w:i w:val="false"/>
                <w:iCs w:val="false"/>
              </w:rPr>
              <w:t xml:space="preserve">1000</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left"/>
            </w:pPr>
            <w:r>
              <w:rPr>
                <w:b/>
                <w:bCs/>
                <w:i w:val="false"/>
                <w:iCs w:val="false"/>
              </w:rPr>
              <w:t xml:space="preserve">Sous-total gestion</w:t>
            </w:r>
          </w:p>
        </w:tc>
        <w:tc>
          <w:tcPr>
            <w:tcW w:type="dxa" w:w="4636"/>
            <w:tcBorders>
              <w:top w:val="single" w:color="000000" w:sz="6"/>
              <w:left w:val="single" w:color="000000" w:sz="6"/>
              <w:bottom w:val="single" w:color="000000" w:sz="6"/>
              <w:right w:val="single" w:color="000000" w:sz="6"/>
            </w:tcBorders>
            <w:shd w:fill="F5F5F5" w:color="auto" w:val="clear"/>
            <w:tcMar>
              <w:top w:type="dxa" w:w="40"/>
              <w:left w:type="dxa" w:w="100"/>
              <w:bottom w:type="dxa" w:w="40"/>
              <w:right w:type="dxa" w:w="100"/>
            </w:tcMar>
          </w:tcPr>
          <w:p>
            <w:pPr>
              <w:spacing w:after="0"/>
              <w:jc w:val="right"/>
            </w:pPr>
            <w:r>
              <w:rPr>
                <w:b/>
                <w:bCs/>
                <w:i w:val="false"/>
                <w:iCs w:val="false"/>
              </w:rPr>
              <w:t xml:space="preserve">1000</w:t>
            </w:r>
          </w:p>
        </w:tc>
      </w:tr>
      <w:tr>
        <w:trPr>
          <w:cantSplit/>
          <w:tblHeader w:val="false"/>
        </w:trPr>
        <w:tc>
          <w:tcPr>
            <w:tcW w:type="dxa" w:w="8136"/>
            <w:gridSpan w:val="2"/>
            <w:tcBorders>
              <w:top w:val="single" w:color="000000" w:sz="6"/>
              <w:left w:val="single" w:color="000000" w:sz="6"/>
              <w:bottom w:val="single" w:color="000000" w:sz="6"/>
              <w:right w:val="single" w:color="000000" w:sz="6"/>
            </w:tcBorders>
            <w:shd w:fill="DDDDDD" w:color="auto" w:val="clear"/>
            <w:tcMar>
              <w:top w:type="dxa" w:w="40"/>
              <w:left w:type="dxa" w:w="100"/>
              <w:bottom w:type="dxa" w:w="40"/>
              <w:right w:type="dxa" w:w="100"/>
            </w:tcMar>
          </w:tcPr>
          <w:p>
            <w:pPr>
              <w:spacing w:after="0"/>
              <w:jc w:val="left"/>
            </w:pPr>
            <w:r>
              <w:rPr>
                <w:b/>
                <w:bCs/>
                <w:i w:val="false"/>
                <w:iCs w:val="false"/>
              </w:rPr>
              <w:t xml:space="preserve">TOTAL</w:t>
            </w:r>
          </w:p>
        </w:tc>
        <w:tc>
          <w:tcPr>
            <w:tcW w:type="dxa" w:w="4636"/>
            <w:tcBorders>
              <w:top w:val="single" w:color="000000" w:sz="6"/>
              <w:left w:val="single" w:color="000000" w:sz="6"/>
              <w:bottom w:val="single" w:color="000000" w:sz="6"/>
              <w:right w:val="single" w:color="000000" w:sz="6"/>
            </w:tcBorders>
            <w:shd w:fill="DDDDDD" w:color="auto" w:val="clear"/>
            <w:tcMar>
              <w:top w:type="dxa" w:w="40"/>
              <w:left w:type="dxa" w:w="100"/>
              <w:bottom w:type="dxa" w:w="40"/>
              <w:right w:type="dxa" w:w="100"/>
            </w:tcMar>
          </w:tcPr>
          <w:p>
            <w:pPr>
              <w:spacing w:after="0"/>
              <w:jc w:val="right"/>
            </w:pPr>
            <w:r>
              <w:rPr>
                <w:b/>
                <w:bCs/>
                <w:i w:val="false"/>
                <w:iCs w:val="false"/>
              </w:rPr>
              <w:t xml:space="preserve">14 750</w:t>
            </w:r>
          </w:p>
        </w:tc>
      </w:tr>
    </w:tbl>
    <w:p>
      <w:pPr>
        <w:spacing w:after="100" w:before="160"/>
      </w:pPr>
      <w:r>
        <w:t xml:space="preserve">Tous les montants sont exprimés TTC : l’ASBL n’est pas assujettie à la TVA et ne peut donc pas la récupérer. Les honoraires seront versés selon les formules permises à l’opérateur — facture, contrat d’artiste ou de volontariat — en fonction du statut de chaque intervenant.</w:t>
      </w:r>
    </w:p>
    <w:p>
      <w:pPr>
        <w:pageBreakBefore/>
        <w:spacing w:after="100"/>
      </w:pPr>
      <w:r>
        <w:rPr>
          <w:b/>
          <w:bCs/>
        </w:rPr>
        <w:t xml:space="preserve">Financement</w:t>
      </w:r>
    </w:p>
    <w:p>
      <w:pPr>
        <w:spacing w:after="100"/>
      </w:pPr>
      <w:r>
        <w:t xml:space="preserve">Le financement demandé à la ville de Liège dans le cadre de l'appel à projet couvre le budget matériel non mis à disposition (2500 €), les frais de gestion liés au dossier (1000 €)  et 31,25% des frais de personnel (2500 €), pour un total de 6000 €, soit environ 40% du coût total du projet. Par ailleurs, et en dehors du budget présenté ci-dessus, il est attendu que la Ville de Liège prenne en charge l'impression du matériel promotionnel conçu gracieusement par CDM2047.</w:t>
      </w:r>
    </w:p>
    <w:p>
      <w:pPr>
        <w:spacing w:after="100"/>
      </w:pPr>
      <w:r>
        <w:t xml:space="preserve">Apport des partenaires autres que la Ville de Liège :  La Galerie Overflow met à disposition le lieu, son installation sonore, le projecteur, l’écran, le mobilier d’assise et l’espace de projection. L’ordinateur qui fait tourner « Le Monde » est prêté à titre personnel par Denis Gauder. CDM2047/La Galerie du Livre et de l'Etrange Théâtre offre la conception des affiches et matériel promotionel et émet des invitations gracieusement. L’équipe assume bénévolement une part importante du temps de conception, de développement et de coordination, ainsi que la totalité du prototypage déjà réalisé avant le dépôt ; les 5 500 € de frais de personnel non couverts par la demande sont ainsi apportés sous forme de temps bénévole valorisé. Aucun apport financier de tiers autre que la ville de Liège n’est sollicité.</w:t>
      </w:r>
    </w:p>
    <w:p>
      <w:pPr>
        <w:pStyle w:val="Heading1"/>
        <w:pageBreakBefore/>
      </w:pPr>
      <w:r>
        <w:t xml:space="preserve">10. Présentation des acteurs</w:t>
      </w:r>
    </w:p>
    <w:p>
      <w:pPr>
        <w:spacing w:after="100"/>
      </w:pPr>
      <w:r>
        <w:t xml:space="preserve">Le projet réunit deux structures et une équipe liégeoises aux compétences complémentaires — artistiques, techniques et artisanales.</w:t>
      </w:r>
    </w:p>
    <w:p>
      <w:pPr>
        <w:spacing w:after="80"/>
        <w:jc w:val="both"/>
      </w:pPr>
      <w:r>
        <w:rPr>
          <w:b/>
          <w:bCs/>
        </w:rPr>
        <w:t xml:space="preserve">La Galerie du Livre et de l'étrange Théâtre / ASBL CDM2047 — opérateur. </w:t>
      </w:r>
      <w:r>
        <w:t xml:space="preserve">Émanation de l'ASBL CDM2047, fondée à Liège en 2005, et des expérimentations menées dans les années 90 « Chez Lulu, le dernier salon où l'on ose », La Galerie du Livre et de l'étrange Théâtre est un lieu d'art et de proximité qui fait dialoguer arts plastiques, arts vivants et création littéraire contemporaine, notamment à travers sa maison d'édition BOZON2X. Implantée dans la vallée de Chaudfontaine depuis 2020 sous l'impulsion de Claire Blach (fondatrice de CDM2047) et de Raphaël Denys (responsable de BOZON2X éditions), elle a survécu aux inondations de 2021. Elle propose chaque année dix expositions, dix « Lire à Table », dix petites formes musicales ou théâtrales et dix animations au service des associations locales, et publie au moins quatre livres. Sa direction artistique privilégie des créations qui ne cherchent pas le consensus et des artistes disposés à entrer en dialogue avec d'autres formes d'expression.</w:t>
      </w:r>
    </w:p>
    <w:p>
      <w:pPr>
        <w:spacing w:after="80"/>
        <w:jc w:val="both"/>
      </w:pPr>
      <w:r>
        <w:rPr>
          <w:b/>
          <w:bCs/>
        </w:rPr>
        <w:t xml:space="preserve">Galerie Overflow — lieu de diffusion. </w:t>
      </w:r>
      <w:r>
        <w:t xml:space="preserve">Installée rue Hongrée, dans le quartier Feronstrée, Overflow se présente à la fois comme un espace, un collectif et une plateforme qui interroge de manière critique l'omniprésence de la technologie et ses effets sur la société et la vie politique. Expositions, ateliers, performances et résidences s'y succèdent : Memory Lane (2024), dans le cadre de la programmation arts numériques de la Ville de Liège ; DRAW(), consacrée à l'art génératif et aux machines à dessiner (2026) ; et des rendez-vous réguliers — ciné-club, club de computation poétique, Modular Monday. Le lieu et son public sont en affinité directe avec le propos de l'œuvre.</w:t>
      </w:r>
    </w:p>
    <w:p>
      <w:pPr>
        <w:spacing w:after="80"/>
        <w:jc w:val="both"/>
      </w:pPr>
      <w:r>
        <w:rPr>
          <w:b/>
          <w:bCs/>
        </w:rPr>
        <w:t xml:space="preserve">Denis Gauder — chef de projet et auteur principal. </w:t>
      </w:r>
      <w:r>
        <w:t xml:space="preserve">Ingénieur civil chimiste de l'ULiège, Denis Gauder a consacré quinze ans à la modélisation et à la simulation de procédés industriels (Belsim, IPCOS) avant de fonder Gauder Digital, activité de conseil en transformation numérique. Artiste plasticien sous le nom DeGa, il expose depuis plusieurs années à Liège et dans sa région — Galerie 23, La Galerie, parcours d'artistes de Tilff, projet collectif « On Fire » présenté à l'Opéra royal de Wallonie — et a présenté en juin 2026 une exposition personnelle à la Galerie du Livre et de l'étrange Théâtre. Sa pratique, de la sculpture à la photographie et à la 3D, est traversée par un intérêt constant pour la simulation, la génération procédurale et les systèmes émergents — le cœur même de ce projet. Il anime également des ateliers de formation numérique pour les jeunes avec l'association Parallax, en collaboration avec le Souplex.</w:t>
      </w:r>
    </w:p>
    <w:p>
      <w:pPr>
        <w:spacing w:after="80"/>
        <w:jc w:val="both"/>
      </w:pPr>
      <w:r>
        <w:rPr>
          <w:b/>
          <w:bCs/>
        </w:rPr>
        <w:t xml:space="preserve">Guillaume Denys — collaborateur principal. </w:t>
      </w:r>
      <w:r>
        <w:t xml:space="preserve">Artiste plasticien liégeois, formé à la peinture (section pluridisciplinaire, Saint-Luc Liège) puis à la vidéo (master à l'Académie des Beaux-Arts de Liège, 2024-2026), Guillaume Denys est également formé à la régie technique de spectacle (IFAPME) et a assuré la régie son, lumière et plateau de plusieurs événements (Centre culturel de Chênée, B3). Familier de la Galerie du Livre et de l'étrange Théâtre, où il a participé au montage des expositions et à l'organisation des événements, il accompagne le projet depuis sa genèse : développement conceptuel, regard critique et élaboration de plusieurs configurations du monde génératif, dont l'une servira d'état initial à l'œuvre. Pratiquant la production musicale, acoustique et électronique, il contribue également à l'univers sonore de l'installation.</w:t>
      </w:r>
    </w:p>
    <w:p>
      <w:pPr>
        <w:spacing w:after="80"/>
        <w:jc w:val="both"/>
      </w:pPr>
      <w:r>
        <w:rPr>
          <w:b/>
          <w:bCs/>
        </w:rPr>
        <w:t xml:space="preserve">Julien Hubar — développement technique. </w:t>
      </w:r>
      <w:r>
        <w:t xml:space="preserve">Ingénieur civil en science des données de l'ULiège, spécialisé en intelligence artificielle, Julien Hubar a débuté chez PEPITe, spin-off de l'université active dans l'analyse de données industrielles, et conçoit et livre depuis des logiciels professionnels destinés à des environnements de production. Il apporte au projet la rigueur d'un développement appelé à fonctionner sans interruption pendant toute la durée de l'exposition.</w:t>
      </w:r>
    </w:p>
    <w:p>
      <w:pPr>
        <w:spacing w:after="80"/>
        <w:jc w:val="both"/>
      </w:pPr>
      <w:r>
        <w:rPr>
          <w:b/>
          <w:bCs/>
        </w:rPr>
        <w:t xml:space="preserve">Edwin Joassart — conseil artistique et scénographique. </w:t>
      </w:r>
      <w:r>
        <w:t xml:space="preserve">Ingénieur de formation en électronique, Edwin Joassart est l'un des fondateurs et toujours l'un des piliers de la galerie Overflow. Il porte de longue date une double casquette art et technologie : membre du collectif Herrmutt Lobby, qui réunit musiciens, bricoleurs et programmeurs, il a co-conçu des instruments et contrôleurs pour la musique électronique jouée en direct, dont le Beat Fader, lauréat de Boost-Up Industries Créatives (Creative Wallonia), démarche qu'il a présentée au TEDxLiège.</w:t>
      </w:r>
    </w:p>
    <w:p>
      <w:pPr>
        <w:spacing w:after="80"/>
        <w:jc w:val="both"/>
      </w:pPr>
      <w:r>
        <w:rPr>
          <w:b/>
          <w:bCs/>
        </w:rPr>
        <w:t xml:space="preserve">Louise Kopij — scénographie et réalisation. </w:t>
      </w:r>
      <w:r>
        <w:t xml:space="preserve">Artiste visuelle pluridisciplinaire, Louise Kopij est à l'origine de la marque de bijoux qui porte son nom. Directrice artistique, productrice, bijoutière et peintre, elle apporte son regard au projet pour en soutenir la vision et l'accompagner dans son développement conceptuel et pratique. Elle prend en charge la scénographie de l'installation et la réalisation des tissus, rideaux et peintures des cabines (louisekopij.be).</w:t>
      </w:r>
    </w:p>
    <w:p>
      <w:pPr>
        <w:spacing w:after="80"/>
        <w:jc w:val="both"/>
      </w:pPr>
      <w:r>
        <w:rPr>
          <w:b/>
          <w:bCs/>
        </w:rPr>
        <w:t xml:space="preserve">Julien Dehon — menuiserie et réalisation. </w:t>
      </w:r>
      <w:r>
        <w:t xml:space="preserve">Menuisier de formation, fort d'une solide expérience professionnelle, Julien Dehon a déjà collaboré avec Denis Gauder à la réalisation de sculptures en plexiglas et de travaux en béton. Il construit les deux cabines, « Contribuer » et « Contempler », pièces maîtresses du parcours, avec l'exigence de solidité et de finition qu'impose un usage public.</w:t>
      </w:r>
    </w:p>
    <w:p>
      <w:pPr>
        <w:pStyle w:val="Heading1"/>
        <w:pageBreakBefore/>
        <w:spacing w:after="200" w:before="0"/>
      </w:pPr>
      <w:r>
        <w:t xml:space="preserve">11. Logo et visuels</w:t>
      </w:r>
    </w:p>
    <w:tbl>
      <w:tblPr>
        <w:tblW w:type="dxa" w:w="9936"/>
        <w:tblBorders>
          <w:top w:val="none" w:color="FFFFFF" w:sz="0"/>
          <w:left w:val="none" w:color="FFFFFF" w:sz="0"/>
          <w:bottom w:val="none" w:color="FFFFFF" w:sz="0"/>
          <w:right w:val="none" w:color="FFFFFF" w:sz="0"/>
          <w:insideH w:val="none" w:color="FFFFFF" w:sz="0"/>
          <w:insideV w:val="none" w:color="FFFFFF" w:sz="0"/>
        </w:tblBorders>
      </w:tblPr>
      <w:tblGrid>
        <w:gridCol w:w="4968"/>
        <w:gridCol w:w="4968"/>
      </w:tblGrid>
      <w:tr>
        <w:tc>
          <w:tcPr>
            <w:tcW w:type="dxa" w:w="4968"/>
            <w:tcBorders>
              <w:top w:val="none" w:color="FFFFFF" w:sz="0"/>
              <w:left w:val="none" w:color="FFFFFF" w:sz="0"/>
              <w:bottom w:val="none" w:color="FFFFFF" w:sz="0"/>
              <w:right w:val="none" w:color="FFFFFF" w:sz="0"/>
            </w:tcBorders>
            <w:vAlign w:val="top"/>
          </w:tcPr>
          <w:p>
            <w:pPr>
              <w:spacing w:before="200"/>
              <w:jc w:val="center"/>
            </w:pPr>
            <w:r>
              <w:drawing>
                <wp:inline distT="0" distB="0" distL="0" distR="0">
                  <wp:extent cx="2857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24025"/>
                          </a:xfrm>
                          <a:prstGeom prst="rect">
                            <a:avLst/>
                          </a:prstGeom>
                        </pic:spPr>
                      </pic:pic>
                    </a:graphicData>
                  </a:graphic>
                </wp:inline>
              </w:drawing>
            </w:r>
          </w:p>
        </w:tc>
        <w:tc>
          <w:tcPr>
            <w:tcW w:type="dxa" w:w="4968"/>
            <w:tcBorders>
              <w:top w:val="none" w:color="FFFFFF" w:sz="0"/>
              <w:left w:val="none" w:color="FFFFFF" w:sz="0"/>
              <w:bottom w:val="none" w:color="FFFFFF" w:sz="0"/>
              <w:right w:val="none" w:color="FFFFFF" w:sz="0"/>
            </w:tcBorders>
          </w:tcPr>
          <w:p>
            <w:pPr>
              <w:jc w:val="left"/>
            </w:pPr>
            <w:r>
              <w:drawing>
                <wp:inline distT="0" distB="0" distL="0" distR="0">
                  <wp:extent cx="23812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600450"/>
                          </a:xfrm>
                          <a:prstGeom prst="rect">
                            <a:avLst/>
                          </a:prstGeom>
                        </pic:spPr>
                      </pic:pic>
                    </a:graphicData>
                  </a:graphic>
                </wp:inline>
              </w:drawing>
            </w:r>
          </w:p>
        </w:tc>
      </w:tr>
    </w:tbl>
    <w:p>
      <w:pPr>
        <w:spacing w:before="600"/>
        <w:jc w:val="center"/>
      </w:pPr>
      <w:r>
        <w:drawing>
          <wp:inline distT="0" distB="0" distL="0" distR="0">
            <wp:extent cx="6286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733425"/>
                    </a:xfrm>
                    <a:prstGeom prst="rect">
                      <a:avLst/>
                    </a:prstGeom>
                  </pic:spPr>
                </pic:pic>
              </a:graphicData>
            </a:graphic>
          </wp:inline>
        </w:drawing>
      </w:r>
    </w:p>
    <w:p>
      <w:pPr>
        <w:pStyle w:val="Heading1"/>
        <w:pageBreakBefore/>
      </w:pPr>
      <w:r>
        <w:t xml:space="preserve">Annexe A — Questionnaire et axes</w:t>
      </w:r>
    </w:p>
    <w:p>
      <w:pPr>
        <w:spacing w:after="100"/>
      </w:pPr>
      <w:r>
        <w:t xml:space="preserve">Réponse sur une échelle à cinq degrés : « Pas du tout », « Pas vraiment », « Un peu », « Assez », « Tout à fait ». Une question peut être passée.</w:t>
      </w:r>
    </w:p>
    <w:p>
      <w:pPr>
        <w:spacing w:after="100"/>
      </w:pPr>
      <w:r>
        <w:t xml:space="preserve">01. Une bibliothèque laisse un programme choisir une partie des livres qu’elle met en avant. Je lui laisserais volontiers une chance de me faire découvrir quelque chose.</w:t>
      </w:r>
    </w:p>
    <w:p>
      <w:pPr>
        <w:spacing w:after="100"/>
      </w:pPr>
      <w:r>
        <w:t xml:space="preserve">02. Une ville installe un système qui règle automatiquement la circulation. Un jour, il se trompe. J’aurais du mal à lui faire confiance à nouveau.</w:t>
      </w:r>
    </w:p>
    <w:p>
      <w:pPr>
        <w:spacing w:after="100"/>
      </w:pPr>
      <w:r>
        <w:t xml:space="preserve">03. Dans un quartier, les commerces et les habitudes changent peu à peu. Je me dis que les habitants finiront par trouver un nouvel équilibre.</w:t>
      </w:r>
    </w:p>
    <w:p>
      <w:pPr>
        <w:spacing w:after="100"/>
      </w:pPr>
      <w:r>
        <w:t xml:space="preserve">04. Au travail, un nouvel outil arrive alors qu’on commence à peine à maîtriser le précédent. J’aurais envie que les choses ralentissent un peu.</w:t>
      </w:r>
    </w:p>
    <w:p>
      <w:pPr>
        <w:spacing w:after="100"/>
      </w:pPr>
      <w:r>
        <w:t xml:space="preserve">05. Deux amis vivent très loin l’un de l’autre. Chaque semaine, ils se retrouvent pour créer quelque chose ensemble, à distance. J’ai le sentiment que ces moments peuvent les rapprocher.</w:t>
      </w:r>
    </w:p>
    <w:p>
      <w:pPr>
        <w:spacing w:after="100"/>
      </w:pPr>
      <w:r>
        <w:t xml:space="preserve">06. Dans une rue, presque tout peut désormais être commandé et livré à domicile. Je me demande si les habitants ne perdent pas quelque chose en se croisant moins.</w:t>
      </w:r>
    </w:p>
    <w:p>
      <w:pPr>
        <w:spacing w:after="100"/>
      </w:pPr>
      <w:r>
        <w:t xml:space="preserve">07. Tu partages une idée. Quelqu’un que tu ne connais pas la reprend et en fait quelque chose de complètement différent. Je serais heureux de voir mon idée prendre une vie qui m’échappe.</w:t>
      </w:r>
    </w:p>
    <w:p>
      <w:pPr>
        <w:spacing w:after="100"/>
      </w:pPr>
      <w:r>
        <w:t xml:space="preserve">08. Tu partages une création. Elle circule, se transforme et finit par être reprise un peu partout. J’aurais le sentiment qu’une partie de cette création ne m’appartient plus vraiment.</w:t>
      </w:r>
    </w:p>
    <w:p>
      <w:pPr>
        <w:spacing w:after="100"/>
      </w:pPr>
      <w:r>
        <w:t xml:space="preserve">09. Une ancienne usine va devenir un lieu ouvert à tous. On peut en conserver certaines traces ou repartir d’une page blanche. J’aimerais que son histoire reste visible dans ce nouveau lieu.</w:t>
      </w:r>
    </w:p>
    <w:p>
      <w:pPr>
        <w:spacing w:after="100"/>
      </w:pPr>
      <w:r>
        <w:t xml:space="preserve">10. On imagine une ville dans laquelle les habitants vivraient et travailleraient d’une manière encore inconnue. L’idée de découvrir ces nouvelles façons de vivre me fait rêver.</w:t>
      </w:r>
    </w:p>
    <w:p>
      <w:pPr>
        <w:spacing w:after="100"/>
      </w:pPr>
      <w:r>
        <w:t xml:space="preserve">11. Quelqu’un présente une invention qui pourrait changer notre manière de nous déplacer. Ce que j’aurais d’abord envie de voir, c’est ce qu’elle change dans une journée ordinaire.</w:t>
      </w:r>
    </w:p>
    <w:p>
      <w:pPr>
        <w:spacing w:after="100"/>
      </w:pPr>
      <w:r>
        <w:t xml:space="preserve">12. Quelqu’un présente une nouvelle manière de prendre des décisions ensemble, sans savoir encore comment la mettre en pratique. Même sans exemple concret, réfléchir à ce principe m’intéresserait.</w:t>
      </w:r>
    </w:p>
    <w:p>
      <w:pPr>
        <w:spacing w:after="100"/>
      </w:pPr>
      <w:r>
        <w:t xml:space="preserve">Correspondance des axes : Q1–Q2 confiance / méfiance ; Q3–Q4 sérénité / inquiétude ; Q5–Q6 lien / isolement ; Q7–Q8 don / dépossession ; Q9–Q10 passé / futur ; Q11–Q12 concret / abstrait.</w:t>
      </w:r>
    </w:p>
    <w:p>
      <w:pPr>
        <w:pStyle w:val="Heading1"/>
        <w:pageBreakBefore/>
      </w:pPr>
      <w:r>
        <w:t xml:space="preserve">Annexe B — Détails des cabines</w:t>
      </w:r>
    </w:p>
    <w:p>
      <w:pPr>
        <w:spacing w:after="100"/>
      </w:pPr>
      <w:r>
        <w:t xml:space="preserve">Les deux parcours passent chacun par une cabine. La cabine « Contempler » est un simple sas : deux rideaux et du vide entre eux. La cabine « Contribuer » est un espace d’isolement équipé d’une tablette tactile pour le questionnaire et d’un écran distinct pour la présence numérique. Les deux cabines empêchent la lumière du hall d’atteindre la salle de projection. La sortie de la cabine « Contribuer » est orientée vers l’écran.</w:t>
      </w:r>
    </w:p>
    <w:p>
      <w:pPr>
        <w:keepNext/>
        <w:spacing w:after="60" w:before="120"/>
        <w:jc w:val="center"/>
      </w:pPr>
      <w:r>
        <w:drawing>
          <wp:inline distT="0" distB="0" distL="0" distR="0">
            <wp:extent cx="5905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200650"/>
                    </a:xfrm>
                    <a:prstGeom prst="rect">
                      <a:avLst/>
                    </a:prstGeom>
                  </pic:spPr>
                </pic:pic>
              </a:graphicData>
            </a:graphic>
          </wp:inline>
        </w:drawing>
      </w:r>
    </w:p>
    <w:p>
      <w:pPr>
        <w:spacing w:after="200"/>
        <w:jc w:val="center"/>
      </w:pPr>
      <w:r>
        <w:rPr>
          <w:i/>
          <w:iCs/>
          <w:sz w:val="18"/>
          <w:szCs w:val="18"/>
        </w:rPr>
        <w:t xml:space="preserve">Étude 3D des deux cabines — « Contribuer » et « Contempler ».</w:t>
      </w:r>
    </w:p>
    <w:p>
      <w:pPr>
        <w:pStyle w:val="Heading1"/>
        <w:pageBreakBefore/>
      </w:pPr>
      <w:r>
        <w:t xml:space="preserve">Annexe C — Visuels complémentaires du générateur</w:t>
      </w:r>
    </w:p>
    <w:p>
      <w:pPr>
        <w:spacing w:after="100"/>
      </w:pPr>
      <w:r>
        <w:t xml:space="preserve">Les visuels ci-dessous montrent des états possibles du générateur et des études antérieures du même prototype.</w:t>
      </w:r>
    </w:p>
    <w:p>
      <w:pPr>
        <w:keepNext/>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sz w:val="18"/>
          <w:szCs w:val="18"/>
        </w:rPr>
        <w:t xml:space="preserve">Variation 1 — tracés sur fond clair</w:t>
      </w:r>
    </w:p>
    <w:p>
      <w:pPr>
        <w:keepNext/>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sz w:val="18"/>
          <w:szCs w:val="18"/>
        </w:rPr>
        <w:t xml:space="preserve">Variation 3 — « Balade nocturne »</w:t>
      </w:r>
    </w:p>
    <w:p>
      <w:pPr>
        <w:keepNext/>
        <w:spacing w:after="6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i/>
          <w:iCs/>
          <w:sz w:val="18"/>
          <w:szCs w:val="18"/>
        </w:rPr>
        <w:t xml:space="preserve">Variation 4 — tracés et espaces</w:t>
      </w:r>
    </w:p>
    <w:p>
      <w:pPr>
        <w:keepNext/>
        <w:spacing w:after="60" w:before="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sz w:val="18"/>
          <w:szCs w:val="18"/>
        </w:rPr>
        <w:t xml:space="preserve">Étude antérieure 1</w:t>
      </w:r>
    </w:p>
    <w:p>
      <w:pPr>
        <w:keepNext/>
        <w:spacing w:after="60" w:before="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i/>
          <w:iCs/>
          <w:sz w:val="18"/>
          <w:szCs w:val="18"/>
        </w:rPr>
        <w:t xml:space="preserve">Étude antérieure 3</w:t>
      </w:r>
    </w:p>
    <w:sectPr>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391a03a0bfaa9d4c9235466c8de8db43662753.png"/><Relationship Id="rId9" Type="http://schemas.openxmlformats.org/officeDocument/2006/relationships/image" Target="media/ad8499dae795a3ac45df4c73579c66857e428f69.png"/><Relationship Id="rId10" Type="http://schemas.openxmlformats.org/officeDocument/2006/relationships/image" Target="media/7b88ad66cb3165aa69e4435b1c824034a78a8b81.png"/><Relationship Id="rId11" Type="http://schemas.openxmlformats.org/officeDocument/2006/relationships/image" Target="media/f1e8d877602ca6aa33ba732a16245870da05107c.jpg"/><Relationship Id="rId12" Type="http://schemas.openxmlformats.org/officeDocument/2006/relationships/image" Target="media/86f43e01d99d9526e5581959cc1c6fb3a19b0d57.jpg"/><Relationship Id="rId13" Type="http://schemas.openxmlformats.org/officeDocument/2006/relationships/image" Target="media/56844e16b4c202f279a12bcc8bd29481b0fcb004.png"/><Relationship Id="rId14" Type="http://schemas.openxmlformats.org/officeDocument/2006/relationships/image" Target="media/53bb96ce86252a3692ad7d51d91d6eb8fb739723.jpg"/><Relationship Id="rId15" Type="http://schemas.openxmlformats.org/officeDocument/2006/relationships/image" Target="media/ff782758d1b753bf3ffd6d639b5708f161a9fb1e.png"/><Relationship Id="rId16" Type="http://schemas.openxmlformats.org/officeDocument/2006/relationships/image" Target="media/4ceb9aa04fd58a4080ffc1607d3c7e746abe2210.jpg"/><Relationship Id="rId17" Type="http://schemas.openxmlformats.org/officeDocument/2006/relationships/image" Target="media/bbfa09c1976643fb4fbbbf6b9d1b5dc32b7588ba.jpg"/><Relationship Id="rId18" Type="http://schemas.openxmlformats.org/officeDocument/2006/relationships/image" Target="media/f6c4f8e00dccd1102fca7d96825771bb4da6f8f9.jpg"/><Relationship Id="rId19" Type="http://schemas.openxmlformats.org/officeDocument/2006/relationships/image" Target="media/e4fe8d2a0502537e0da263bd2d729e39b550e5f9.png"/><Relationship Id="rId20" Type="http://schemas.openxmlformats.org/officeDocument/2006/relationships/image" Target="media/17a4e85552387fe8c8fc340d06169229cad0a6f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Offrir-Magnifier / Voler-Exploiter — Dossier de candidature</dc:title>
  <dc:creator>Denis Gauder</dc:creator>
  <cp:lastModifiedBy>Un-named</cp:lastModifiedBy>
  <cp:revision>1</cp:revision>
  <dcterms:created xsi:type="dcterms:W3CDTF">2026-09-29T20:05:29.740Z</dcterms:created>
  <dcterms:modified xsi:type="dcterms:W3CDTF">2026-09-29T20:05:29.748Z</dcterms:modified>
</cp:coreProperties>
</file>

<file path=docProps/custom.xml><?xml version="1.0" encoding="utf-8"?>
<Properties xmlns="http://schemas.openxmlformats.org/officeDocument/2006/custom-properties" xmlns:vt="http://schemas.openxmlformats.org/officeDocument/2006/docPropsVTypes"/>
</file>