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5DC" w:rsidRPr="001115DC" w:rsidRDefault="001115DC" w:rsidP="001115DC">
      <w:pPr>
        <w:jc w:val="both"/>
        <w:rPr>
          <w:rFonts w:ascii="Times New Roman" w:hAnsi="Times New Roman" w:cs="Times New Roman"/>
          <w:sz w:val="24"/>
          <w:szCs w:val="24"/>
        </w:rPr>
      </w:pPr>
      <w:r w:rsidRPr="001115DC">
        <w:rPr>
          <w:rFonts w:ascii="Times New Roman" w:hAnsi="Times New Roman" w:cs="Times New Roman"/>
          <w:sz w:val="24"/>
          <w:szCs w:val="24"/>
        </w:rPr>
        <w:t>The increased competition for the scarce natural resource has led to challenges of formidable water management in many countries in the world. One of the most considerable constraints on sustainable agricultural development is the overexploiting of water resources thereby making it an essential factor to the alleviation of poverty. There has been a recognition of water as an essentia</w:t>
      </w:r>
      <w:r w:rsidR="00611CD0">
        <w:rPr>
          <w:rFonts w:ascii="Times New Roman" w:hAnsi="Times New Roman" w:cs="Times New Roman"/>
          <w:sz w:val="24"/>
          <w:szCs w:val="24"/>
        </w:rPr>
        <w:t xml:space="preserve">l component of food security </w:t>
      </w:r>
      <w:r w:rsidR="00611CD0">
        <w:rPr>
          <w:rFonts w:ascii="Times New Roman" w:hAnsi="Times New Roman" w:cs="Times New Roman"/>
          <w:sz w:val="24"/>
          <w:szCs w:val="24"/>
        </w:rPr>
        <w:fldChar w:fldCharType="begin" w:fldLock="1"/>
      </w:r>
      <w:r w:rsidR="00611CD0">
        <w:rPr>
          <w:rFonts w:ascii="Times New Roman" w:hAnsi="Times New Roman" w:cs="Times New Roman"/>
          <w:sz w:val="24"/>
          <w:szCs w:val="24"/>
        </w:rPr>
        <w:instrText>ADDIN CSL_CITATION {"citationItems":[{"id":"ITEM-1","itemData":{"author":[{"dropping-particle":"","family":"Unesco","given":"","non-dropping-particle":"","parse-names":false,"suffix":""}],"id":"ITEM-1","issued":{"date-parts":[["2012"]]},"page":"16","title":"Facts and Figures from the United Nations World Water Development Report 4","type":"article-journal"},"uris":["http://www.mendeley.com/documents/?uuid=bdf2fa52-5836-40aa-97c7-30e8639251ad"]}],"mendeley":{"formattedCitation":"[1]","plainTextFormattedCitation":"[1]","previouslyFormattedCitation":"[1]"},"properties":{"noteIndex":0},"schema":"https://github.com/citation-style-language/schema/raw/master/csl-citation.json"}</w:instrText>
      </w:r>
      <w:r w:rsidR="00611CD0">
        <w:rPr>
          <w:rFonts w:ascii="Times New Roman" w:hAnsi="Times New Roman" w:cs="Times New Roman"/>
          <w:sz w:val="24"/>
          <w:szCs w:val="24"/>
        </w:rPr>
        <w:fldChar w:fldCharType="separate"/>
      </w:r>
      <w:r w:rsidR="00611CD0" w:rsidRPr="00611CD0">
        <w:rPr>
          <w:rFonts w:ascii="Times New Roman" w:hAnsi="Times New Roman" w:cs="Times New Roman"/>
          <w:noProof/>
          <w:sz w:val="24"/>
          <w:szCs w:val="24"/>
        </w:rPr>
        <w:t>[1]</w:t>
      </w:r>
      <w:r w:rsidR="00611CD0">
        <w:rPr>
          <w:rFonts w:ascii="Times New Roman" w:hAnsi="Times New Roman" w:cs="Times New Roman"/>
          <w:sz w:val="24"/>
          <w:szCs w:val="24"/>
        </w:rPr>
        <w:fldChar w:fldCharType="end"/>
      </w:r>
      <w:r w:rsidRPr="001115DC">
        <w:rPr>
          <w:rFonts w:ascii="Times New Roman" w:hAnsi="Times New Roman" w:cs="Times New Roman"/>
          <w:sz w:val="24"/>
          <w:szCs w:val="24"/>
        </w:rPr>
        <w:t>, with more attention being drawn on the significance of management of water by the World Summit on Sustainable Development in 2002, in an attempt to meet the Millenn</w:t>
      </w:r>
      <w:r w:rsidR="00611CD0">
        <w:rPr>
          <w:rFonts w:ascii="Times New Roman" w:hAnsi="Times New Roman" w:cs="Times New Roman"/>
          <w:sz w:val="24"/>
          <w:szCs w:val="24"/>
        </w:rPr>
        <w:t xml:space="preserve">ium Development Goals (MDGs) </w:t>
      </w:r>
      <w:r w:rsidR="00611CD0">
        <w:rPr>
          <w:rFonts w:ascii="Times New Roman" w:hAnsi="Times New Roman" w:cs="Times New Roman"/>
          <w:sz w:val="24"/>
          <w:szCs w:val="24"/>
        </w:rPr>
        <w:fldChar w:fldCharType="begin" w:fldLock="1"/>
      </w:r>
      <w:r w:rsidR="00B44BEF">
        <w:rPr>
          <w:rFonts w:ascii="Times New Roman" w:hAnsi="Times New Roman" w:cs="Times New Roman"/>
          <w:sz w:val="24"/>
          <w:szCs w:val="24"/>
        </w:rPr>
        <w:instrText>ADDIN CSL_CITATION {"citationItems":[{"id":"ITEM-1","itemData":{"DOI":"10.1177/1757975909358250","ISBN":"92–1–100972–3","abstract":"THE ADOPTION OF THE Millennium Development Goals, drawn from the United Nations Millennium Declaration, was a seminal event in the history of the United Nations. It constituted an unprecedented promise by world leaders to address, as a single pack- age, peace, security, development, human rights and fundamental freedoms. As I said in my March 2005 report entitled “In larger freedom: towards develop- ment, security and human rights for all”, to which the present report is a complement: “We will not enjoy development without security, we will not enjoy security without development, and we will not enjoy either without respect for human rights. Unless all these causes are advanced, none will succeed.” The eight Millennium Development Goals range from halving extreme poverty to halting the spread of HIV/AIDS and providing universal primary educa- tion — all by the target date of 2015. They form a blueprint agreed by all the world’s countries and all the world’s leading development institutions — a set of simple but powerful objectives that every man and woman in the street, from New York to Nairobi to New Delhi, can easily support and understand. Since their adoption, the Goals have galvanized unprecedented efforts to meet the needs of the world’s poorest. Why are the Millennium Development Goals so different? There are four reasons. First, the Millennium Development Goals are people-centred, time-bound and measurable. Second, they are based on a global partnership, stressing the responsibilities of developing countries for getting their own house in order, and of devel- oped countries for supporting those efforts. Third, they have unprecedented political support, embraced at the highest levels by developed and developing countries, civil society and major develop- ment institutions alike. Fourth, they are achievable. The year 2005 is crucial in our work to achieve the Goals. In September — 5 years after they adopted the Millennium Declaration and 10 years before the Goals fall due — world leaders will meet at the United Nations in New York to assess how far their pledges have been fulfilled, and to decide on what further steps are needed. In many ways, the task this year will be much tougher than it was in 2000. Instead of setting targets, this time leaders must decide how to achieve them. THIS PROGRESS REPORT is the most comprehen- sive accounting to date on how far we have come, and how far we have to go, in each of the world’s regions. It reflects a col…","author":[{"dropping-particle":"","family":"UNDESA","given":"","non-dropping-particle":"","parse-names":false,"suffix":""}],"container-title":"United Nations","id":"ITEM-1","issued":{"date-parts":[["2005"]]},"page":"48","title":"The Millennium Development Goals Report 2005","type":"article-journal"},"uris":["http://www.mendeley.com/documents/?uuid=eb738f7a-74ee-4d59-a6d1-5f00668d0a28"]}],"mendeley":{"formattedCitation":"[2]","plainTextFormattedCitation":"[2]","previouslyFormattedCitation":"[2]"},"properties":{"noteIndex":0},"schema":"https://github.com/citation-style-language/schema/raw/master/csl-citation.json"}</w:instrText>
      </w:r>
      <w:r w:rsidR="00611CD0">
        <w:rPr>
          <w:rFonts w:ascii="Times New Roman" w:hAnsi="Times New Roman" w:cs="Times New Roman"/>
          <w:sz w:val="24"/>
          <w:szCs w:val="24"/>
        </w:rPr>
        <w:fldChar w:fldCharType="separate"/>
      </w:r>
      <w:r w:rsidR="00611CD0" w:rsidRPr="00611CD0">
        <w:rPr>
          <w:rFonts w:ascii="Times New Roman" w:hAnsi="Times New Roman" w:cs="Times New Roman"/>
          <w:noProof/>
          <w:sz w:val="24"/>
          <w:szCs w:val="24"/>
        </w:rPr>
        <w:t>[2]</w:t>
      </w:r>
      <w:r w:rsidR="00611CD0">
        <w:rPr>
          <w:rFonts w:ascii="Times New Roman" w:hAnsi="Times New Roman" w:cs="Times New Roman"/>
          <w:sz w:val="24"/>
          <w:szCs w:val="24"/>
        </w:rPr>
        <w:fldChar w:fldCharType="end"/>
      </w:r>
      <w:r w:rsidR="00857EB7">
        <w:rPr>
          <w:rFonts w:ascii="Times New Roman" w:hAnsi="Times New Roman" w:cs="Times New Roman"/>
          <w:sz w:val="24"/>
          <w:szCs w:val="24"/>
        </w:rPr>
        <w:t>.</w:t>
      </w:r>
    </w:p>
    <w:p w:rsidR="00F23269" w:rsidRDefault="001115DC" w:rsidP="001115DC">
      <w:pPr>
        <w:jc w:val="both"/>
        <w:rPr>
          <w:rFonts w:ascii="Times New Roman" w:hAnsi="Times New Roman" w:cs="Times New Roman"/>
          <w:sz w:val="24"/>
          <w:szCs w:val="24"/>
        </w:rPr>
      </w:pPr>
      <w:r w:rsidRPr="001115DC">
        <w:rPr>
          <w:rFonts w:ascii="Times New Roman" w:hAnsi="Times New Roman" w:cs="Times New Roman"/>
          <w:sz w:val="24"/>
          <w:szCs w:val="24"/>
        </w:rPr>
        <w:t>The intensified agriculture, forestry and game reserves attracting tourists from all over the world has led to a high economic status in the Ewaso Ngiro Basin, offering a great deal of beautiful scenery. Accordingly, there is prioritization of careful management and negotiation of water resources to curb the increasing water crises and conflicts at both levels, local and national. Despite much research being carried out in the basin on aspects of water resources, Mt. Kenya area, which is the main contributor of the Ewaso Ngiro</w:t>
      </w:r>
      <w:r>
        <w:rPr>
          <w:rFonts w:ascii="Times New Roman" w:hAnsi="Times New Roman" w:cs="Times New Roman"/>
          <w:sz w:val="24"/>
          <w:szCs w:val="24"/>
        </w:rPr>
        <w:t xml:space="preserve"> river has been much focused on, unlike </w:t>
      </w:r>
      <w:r w:rsidR="00B44BEF">
        <w:rPr>
          <w:rFonts w:ascii="Times New Roman" w:hAnsi="Times New Roman" w:cs="Times New Roman"/>
          <w:sz w:val="24"/>
          <w:szCs w:val="24"/>
        </w:rPr>
        <w:t xml:space="preserve">the downstream catchments </w:t>
      </w:r>
      <w:r w:rsidR="00B44BEF">
        <w:rPr>
          <w:rFonts w:ascii="Times New Roman" w:hAnsi="Times New Roman" w:cs="Times New Roman"/>
          <w:sz w:val="24"/>
          <w:szCs w:val="24"/>
        </w:rPr>
        <w:fldChar w:fldCharType="begin" w:fldLock="1"/>
      </w:r>
      <w:r w:rsidR="00B44BEF">
        <w:rPr>
          <w:rFonts w:ascii="Times New Roman" w:hAnsi="Times New Roman" w:cs="Times New Roman"/>
          <w:sz w:val="24"/>
          <w:szCs w:val="24"/>
        </w:rPr>
        <w:instrText>ADDIN CSL_CITATION {"citationItems":[{"id":"ITEM-1","itemData":{"id":"ITEM-1","issue":"2","issued":{"date-parts":[["2019"]]},"page":"155-162","title":"River Water Shortage in a Highland – Lowland System","type":"article-journal","volume":"25"},"uris":["http://www.mendeley.com/documents/?uuid=6770d063-a5ad-4476-9383-3206b6e45b7b"]}],"mendeley":{"formattedCitation":"[3]","plainTextFormattedCitation":"[3]","previouslyFormattedCitation":"[3]"},"properties":{"noteIndex":0},"schema":"https://github.com/citation-style-language/schema/raw/master/csl-citation.json"}</w:instrText>
      </w:r>
      <w:r w:rsidR="00B44BEF">
        <w:rPr>
          <w:rFonts w:ascii="Times New Roman" w:hAnsi="Times New Roman" w:cs="Times New Roman"/>
          <w:sz w:val="24"/>
          <w:szCs w:val="24"/>
        </w:rPr>
        <w:fldChar w:fldCharType="separate"/>
      </w:r>
      <w:r w:rsidR="00B44BEF" w:rsidRPr="00B44BEF">
        <w:rPr>
          <w:rFonts w:ascii="Times New Roman" w:hAnsi="Times New Roman" w:cs="Times New Roman"/>
          <w:noProof/>
          <w:sz w:val="24"/>
          <w:szCs w:val="24"/>
        </w:rPr>
        <w:t>[3]</w:t>
      </w:r>
      <w:r w:rsidR="00B44BEF">
        <w:rPr>
          <w:rFonts w:ascii="Times New Roman" w:hAnsi="Times New Roman" w:cs="Times New Roman"/>
          <w:sz w:val="24"/>
          <w:szCs w:val="24"/>
        </w:rPr>
        <w:fldChar w:fldCharType="end"/>
      </w:r>
      <w:r w:rsidR="00B44BEF">
        <w:rPr>
          <w:rFonts w:ascii="Times New Roman" w:hAnsi="Times New Roman" w:cs="Times New Roman"/>
          <w:sz w:val="24"/>
          <w:szCs w:val="24"/>
        </w:rPr>
        <w:fldChar w:fldCharType="begin" w:fldLock="1"/>
      </w:r>
      <w:r w:rsidR="00B44BEF">
        <w:rPr>
          <w:rFonts w:ascii="Times New Roman" w:hAnsi="Times New Roman" w:cs="Times New Roman"/>
          <w:sz w:val="24"/>
          <w:szCs w:val="24"/>
        </w:rPr>
        <w:instrText>ADDIN CSL_CITATION {"citationItems":[{"id":"ITEM-1","itemData":{"DOI":"10.1016/j.jhydrol.2007.06.022","ISSN":"00221694","abstract":"Water resources are becoming increasingly scarce in the Mt. Kenya region. Land use and climate change may pose additional challenges to water management in the future. In order to assess the impacts of environmental change, the NRM3 Streamflow Model, a simple, semi-distributed, grid-based water balance model, is evaluated as a tool for discharge prediction in six meso-scale catchments on the western slopes of Mt. Kenya, and used to analyse the impact of land use and climate change scenarios on water resources. The calibration and validation results show an acceptable performance of the NRM3 Streamflow Model in simulating discharge. Input data represent the main limitation. Rainfall patterns in the mountainous catchments are very heterogeneous and difficult to capture with the monitoring network. River water abstractions make up 80-100% of naturalized dry season discharge, but amounts can only be approximately estimated. Under the scenarios of land use and climate change examined, the total amount as well as the variability of discharge will increase: Conversion of the forest area to crop- or grassland will increase annual runoff by 11% or 59%, respectively, by mainly increasing flood flows and, under cropland, slightly reducing low flows. Climate change as projected by the IPCC Task Group on Scenarios for Impact Assessment [IPCC-TCGIA, 1999. Guidelines in the use of data for climate impact and adaptation assessment. Version 1. Prepared by Carter, T.R., Hulme, M.., Lal, M., Intergovernmental Panel on Climate Change, Task Group on Scenarios for Climate Impact Assessment.] will result in an increase of annual runoff by 26%, with a severe increase in flood flows, and a reduction of the lowest flows to about a tenth of the current value. © 2007.","author":[{"dropping-particle":"","family":"Notter","given":"Benedikt","non-dropping-particle":"","parse-names":false,"suffix":""},{"dropping-particle":"","family":"MacMillan","given":"Lindsay","non-dropping-particle":"","parse-names":false,"suffix":""},{"dropping-particle":"","family":"Viviroli","given":"Daniel","non-dropping-particle":"","parse-names":false,"suffix":""},{"dropping-particle":"","family":"Weingartner","given":"Rolf","non-dropping-particle":"","parse-names":false,"suffix":""},{"dropping-particle":"","family":"Liniger","given":"Hans Peter","non-dropping-particle":"","parse-names":false,"suffix":""}],"container-title":"Journal of Hydrology","id":"ITEM-1","issue":"3-4","issued":{"date-parts":[["2007"]]},"page":"266-278","title":"Impacts of environmental change on water resources in the Mt. Kenya region","type":"article-journal","volume":"343"},"uris":["http://www.mendeley.com/documents/?uuid=0e6a8292-94fc-4cae-a5ef-9064243974eb"]}],"mendeley":{"formattedCitation":"[4]","plainTextFormattedCitation":"[4]","previouslyFormattedCitation":"[4]"},"properties":{"noteIndex":0},"schema":"https://github.com/citation-style-language/schema/raw/master/csl-citation.json"}</w:instrText>
      </w:r>
      <w:r w:rsidR="00B44BEF">
        <w:rPr>
          <w:rFonts w:ascii="Times New Roman" w:hAnsi="Times New Roman" w:cs="Times New Roman"/>
          <w:sz w:val="24"/>
          <w:szCs w:val="24"/>
        </w:rPr>
        <w:fldChar w:fldCharType="separate"/>
      </w:r>
      <w:r w:rsidR="00B44BEF" w:rsidRPr="00B44BEF">
        <w:rPr>
          <w:rFonts w:ascii="Times New Roman" w:hAnsi="Times New Roman" w:cs="Times New Roman"/>
          <w:noProof/>
          <w:sz w:val="24"/>
          <w:szCs w:val="24"/>
        </w:rPr>
        <w:t>[4]</w:t>
      </w:r>
      <w:r w:rsidR="00B44BE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115DC">
        <w:rPr>
          <w:rFonts w:ascii="Times New Roman" w:hAnsi="Times New Roman" w:cs="Times New Roman"/>
          <w:sz w:val="24"/>
          <w:szCs w:val="24"/>
        </w:rPr>
        <w:t xml:space="preserve">However, in recent years, </w:t>
      </w:r>
      <w:r>
        <w:rPr>
          <w:rFonts w:ascii="Times New Roman" w:hAnsi="Times New Roman" w:cs="Times New Roman"/>
          <w:sz w:val="24"/>
          <w:szCs w:val="24"/>
        </w:rPr>
        <w:t>there has been an experience</w:t>
      </w:r>
      <w:r w:rsidRPr="001115DC">
        <w:rPr>
          <w:rFonts w:ascii="Times New Roman" w:hAnsi="Times New Roman" w:cs="Times New Roman"/>
          <w:sz w:val="24"/>
          <w:szCs w:val="24"/>
        </w:rPr>
        <w:t xml:space="preserve"> of water crises to a previously unkno</w:t>
      </w:r>
      <w:r w:rsidR="00B44BEF">
        <w:rPr>
          <w:rFonts w:ascii="Times New Roman" w:hAnsi="Times New Roman" w:cs="Times New Roman"/>
          <w:sz w:val="24"/>
          <w:szCs w:val="24"/>
        </w:rPr>
        <w:t xml:space="preserve">wn extent in lower catchments </w:t>
      </w:r>
      <w:r w:rsidR="00B44BEF">
        <w:rPr>
          <w:rFonts w:ascii="Times New Roman" w:hAnsi="Times New Roman" w:cs="Times New Roman"/>
          <w:sz w:val="24"/>
          <w:szCs w:val="24"/>
        </w:rPr>
        <w:fldChar w:fldCharType="begin" w:fldLock="1"/>
      </w:r>
      <w:r w:rsidR="00B44BEF">
        <w:rPr>
          <w:rFonts w:ascii="Times New Roman" w:hAnsi="Times New Roman" w:cs="Times New Roman"/>
          <w:sz w:val="24"/>
          <w:szCs w:val="24"/>
        </w:rPr>
        <w:instrText>ADDIN CSL_CITATION {"citationItems":[{"id":"ITEM-1","itemData":{"id":"ITEM-1","issue":"2","issued":{"date-parts":[["2019"]]},"page":"155-162","title":"River Water Shortage in a Highland – Lowland System","type":"article-journal","volume":"25"},"uris":["http://www.mendeley.com/documents/?uuid=6770d063-a5ad-4476-9383-3206b6e45b7b"]}],"mendeley":{"formattedCitation":"[3]","plainTextFormattedCitation":"[3]","previouslyFormattedCitation":"[3]"},"properties":{"noteIndex":0},"schema":"https://github.com/citation-style-language/schema/raw/master/csl-citation.json"}</w:instrText>
      </w:r>
      <w:r w:rsidR="00B44BEF">
        <w:rPr>
          <w:rFonts w:ascii="Times New Roman" w:hAnsi="Times New Roman" w:cs="Times New Roman"/>
          <w:sz w:val="24"/>
          <w:szCs w:val="24"/>
        </w:rPr>
        <w:fldChar w:fldCharType="separate"/>
      </w:r>
      <w:r w:rsidR="00B44BEF" w:rsidRPr="00B44BEF">
        <w:rPr>
          <w:rFonts w:ascii="Times New Roman" w:hAnsi="Times New Roman" w:cs="Times New Roman"/>
          <w:noProof/>
          <w:sz w:val="24"/>
          <w:szCs w:val="24"/>
        </w:rPr>
        <w:t>[3]</w:t>
      </w:r>
      <w:r w:rsidR="00B44BEF">
        <w:rPr>
          <w:rFonts w:ascii="Times New Roman" w:hAnsi="Times New Roman" w:cs="Times New Roman"/>
          <w:sz w:val="24"/>
          <w:szCs w:val="24"/>
        </w:rPr>
        <w:fldChar w:fldCharType="end"/>
      </w:r>
      <w:r>
        <w:rPr>
          <w:rFonts w:ascii="Times New Roman" w:hAnsi="Times New Roman" w:cs="Times New Roman"/>
          <w:sz w:val="24"/>
          <w:szCs w:val="24"/>
        </w:rPr>
        <w:t>.</w:t>
      </w:r>
    </w:p>
    <w:p w:rsidR="00B1490A" w:rsidRDefault="00B1490A">
      <w:pPr>
        <w:rPr>
          <w:rFonts w:ascii="Times New Roman" w:hAnsi="Times New Roman" w:cs="Times New Roman"/>
          <w:b/>
          <w:sz w:val="24"/>
          <w:szCs w:val="24"/>
        </w:rPr>
      </w:pPr>
      <w:r>
        <w:rPr>
          <w:rFonts w:ascii="Times New Roman" w:hAnsi="Times New Roman" w:cs="Times New Roman"/>
          <w:b/>
          <w:sz w:val="24"/>
          <w:szCs w:val="24"/>
        </w:rPr>
        <w:br w:type="page"/>
      </w:r>
    </w:p>
    <w:p w:rsidR="00E30E8F" w:rsidRDefault="00B1490A">
      <w:pPr>
        <w:rPr>
          <w:rFonts w:ascii="Times New Roman" w:hAnsi="Times New Roman" w:cs="Times New Roman"/>
          <w:b/>
          <w:sz w:val="24"/>
          <w:szCs w:val="24"/>
        </w:rPr>
      </w:pPr>
      <w:r w:rsidRPr="00B1490A">
        <w:rPr>
          <w:rFonts w:ascii="Times New Roman" w:hAnsi="Times New Roman" w:cs="Times New Roman"/>
          <w:b/>
          <w:sz w:val="24"/>
          <w:szCs w:val="24"/>
        </w:rPr>
        <w:lastRenderedPageBreak/>
        <w:t>Introduction to LoRa</w:t>
      </w:r>
    </w:p>
    <w:p w:rsidR="00131B4F" w:rsidRDefault="00B1490A" w:rsidP="00131B4F">
      <w:pPr>
        <w:widowControl w:val="0"/>
        <w:pBdr>
          <w:top w:val="nil"/>
          <w:left w:val="nil"/>
          <w:bottom w:val="nil"/>
          <w:right w:val="nil"/>
          <w:between w:val="nil"/>
        </w:pBdr>
        <w:spacing w:before="2"/>
        <w:jc w:val="both"/>
        <w:outlineLvl w:val="0"/>
        <w:rPr>
          <w:rFonts w:ascii="Times New Roman" w:eastAsia="Times New Roman" w:hAnsi="Times New Roman" w:cs="Times New Roman"/>
        </w:rPr>
      </w:pPr>
      <w:r w:rsidRPr="00CB478E">
        <w:rPr>
          <w:rFonts w:ascii="Times New Roman" w:eastAsia="Times New Roman" w:hAnsi="Times New Roman" w:cs="Times New Roman"/>
        </w:rPr>
        <w:t>“Long Range,” initiated by LoRa, is a wireless communication system that is of long-range, promoted by the LoRa Alliance. The aim of this system is to be used in long-lived battery-powered devices, where the use of energy consumption is of utmost significance. LoRa modulation is a proprietary spread spectrum method grounded on chirp spread spectrum modulation that uses wideband linear frequency modulated pulses. Furthermore, LoRa can usually refer to two distinct layers, that is, a physical layer using the Chirp Spread Spectrum (CSS)</w:t>
      </w:r>
      <w:r w:rsidR="00AB632B">
        <w:rPr>
          <w:rFonts w:ascii="Times New Roman" w:eastAsia="Times New Roman" w:hAnsi="Times New Roman" w:cs="Times New Roman"/>
        </w:rPr>
        <w:t xml:space="preserve"> </w:t>
      </w:r>
      <w:r w:rsidR="00AB632B">
        <w:rPr>
          <w:rFonts w:ascii="Times New Roman" w:eastAsia="Times New Roman" w:hAnsi="Times New Roman" w:cs="Times New Roman"/>
        </w:rPr>
        <w:fldChar w:fldCharType="begin" w:fldLock="1"/>
      </w:r>
      <w:r w:rsidR="00AB632B">
        <w:rPr>
          <w:rFonts w:ascii="Times New Roman" w:eastAsia="Times New Roman" w:hAnsi="Times New Roman" w:cs="Times New Roman"/>
        </w:rPr>
        <w:instrText>ADDIN CSL_CITATION {"citationItems":[{"id":"ITEM-1","itemData":{"author":[{"dropping-particle":"","family":"Bern","given":"Albert J","non-dropping-particle":"","parse-names":false,"suffix":""},{"dropping-particle":"","family":"Gregg","given":"William D","non-dropping-particle":"","parse-names":false,"suffix":""}],"id":"ITEM-1","issue":"June","issued":{"date-parts":[["1973"]]},"page":"748-751","title":"On the","type":"article-journal"},"uris":["http://www.mendeley.com/documents/?uuid=d9c2041f-9498-4a58-bbb2-6b3f8c4812f9"]}],"mendeley":{"formattedCitation":"[5]","plainTextFormattedCitation":"[5]","previouslyFormattedCitation":"[5]"},"properties":{"noteIndex":0},"schema":"https://github.com/citation-style-language/schema/raw/master/csl-citation.json"}</w:instrText>
      </w:r>
      <w:r w:rsidR="00AB632B">
        <w:rPr>
          <w:rFonts w:ascii="Times New Roman" w:eastAsia="Times New Roman" w:hAnsi="Times New Roman" w:cs="Times New Roman"/>
        </w:rPr>
        <w:fldChar w:fldCharType="separate"/>
      </w:r>
      <w:r w:rsidR="00AB632B" w:rsidRPr="00AB632B">
        <w:rPr>
          <w:rFonts w:ascii="Times New Roman" w:eastAsia="Times New Roman" w:hAnsi="Times New Roman" w:cs="Times New Roman"/>
          <w:noProof/>
        </w:rPr>
        <w:t>[5]</w:t>
      </w:r>
      <w:r w:rsidR="00AB632B">
        <w:rPr>
          <w:rFonts w:ascii="Times New Roman" w:eastAsia="Times New Roman" w:hAnsi="Times New Roman" w:cs="Times New Roman"/>
        </w:rPr>
        <w:fldChar w:fldCharType="end"/>
      </w:r>
      <w:r w:rsidRPr="00CB478E">
        <w:rPr>
          <w:rFonts w:ascii="Times New Roman" w:eastAsia="Times New Roman" w:hAnsi="Times New Roman" w:cs="Times New Roman"/>
        </w:rPr>
        <w:t xml:space="preserve"> </w:t>
      </w:r>
      <w:r w:rsidR="00AB632B">
        <w:rPr>
          <w:rFonts w:ascii="Times New Roman" w:eastAsia="Times New Roman" w:hAnsi="Times New Roman" w:cs="Times New Roman"/>
        </w:rPr>
        <w:fldChar w:fldCharType="begin" w:fldLock="1"/>
      </w:r>
      <w:r w:rsidR="00AB632B">
        <w:rPr>
          <w:rFonts w:ascii="Times New Roman" w:eastAsia="Times New Roman" w:hAnsi="Times New Roman" w:cs="Times New Roman"/>
        </w:rPr>
        <w:instrText>ADDIN CSL_CITATION {"citationItems":[{"id":"ITEM-1","itemData":{"DOI":"10.1109/EURCOM.2000.874794","ISBN":"078036323X","abstract":"We report on the use of broadband chirp signals for spread spectrum systems in indoor applications. The presented system concepts make use of chirp transmission and pulse compression. Different modulation schemes for the chirp signals resulting in different system performance and complexity are compared in terms of bit error rate for the AWGN channel and for frequency selective indoor radio channels. We present simulations and measurement results from demonstrator systems which use surface acoustic wave (SAW) devices for the generation and matched altering of the chirp signals. The RF and IF frequency and transmission bandwidth of the presented systems are 2.4 GHz, 348.8 MHz, and 80 MHz, respectively. Due to the processing gain of 16 dB-made possible by the use of SAW devices-and the large transmission bandwidth the system is insensitive against frequency selective fading, CW interference and noise.","author":[{"dropping-particle":"","family":"Springer","given":"A.","non-dropping-particle":"","parse-names":false,"suffix":""},{"dropping-particle":"","family":"Gugler","given":"W.","non-dropping-particle":"","parse-names":false,"suffix":""},{"dropping-particle":"","family":"Huemer","given":"M.","non-dropping-particle":"","parse-names":false,"suffix":""},{"dropping-particle":"","family":"Reindl","given":"L.","non-dropping-particle":"","parse-names":false,"suffix":""},{"dropping-particle":"","family":"Ruppel","given":"C. C.W.","non-dropping-particle":"","parse-names":false,"suffix":""},{"dropping-particle":"","family":"Weigel","given":"R.","non-dropping-particle":"","parse-names":false,"suffix":""}],"container-title":"IEEE/AFCEA - EUROCOMM 2000: Information Systems for Enhanced Public Safety and Security","id":"ITEM-1","issue":"6","issued":{"date-parts":[["2000"]]},"page":"166-170","title":"Spread spectrum communications using chirp signals","type":"article-journal","volume":"00"},"uris":["http://www.mendeley.com/documents/?uuid=be002cca-a8e6-4a10-9776-69348916e239"]}],"mendeley":{"formattedCitation":"[6]","plainTextFormattedCitation":"[6]","previouslyFormattedCitation":"[6]"},"properties":{"noteIndex":0},"schema":"https://github.com/citation-style-language/schema/raw/master/csl-citation.json"}</w:instrText>
      </w:r>
      <w:r w:rsidR="00AB632B">
        <w:rPr>
          <w:rFonts w:ascii="Times New Roman" w:eastAsia="Times New Roman" w:hAnsi="Times New Roman" w:cs="Times New Roman"/>
        </w:rPr>
        <w:fldChar w:fldCharType="separate"/>
      </w:r>
      <w:r w:rsidR="00AB632B" w:rsidRPr="00AB632B">
        <w:rPr>
          <w:rFonts w:ascii="Times New Roman" w:eastAsia="Times New Roman" w:hAnsi="Times New Roman" w:cs="Times New Roman"/>
          <w:noProof/>
        </w:rPr>
        <w:t>[6]</w:t>
      </w:r>
      <w:r w:rsidR="00AB632B">
        <w:rPr>
          <w:rFonts w:ascii="Times New Roman" w:eastAsia="Times New Roman" w:hAnsi="Times New Roman" w:cs="Times New Roman"/>
        </w:rPr>
        <w:fldChar w:fldCharType="end"/>
      </w:r>
      <w:r w:rsidRPr="00CB478E">
        <w:rPr>
          <w:rFonts w:ascii="Times New Roman" w:eastAsia="Times New Roman" w:hAnsi="Times New Roman" w:cs="Times New Roman"/>
        </w:rPr>
        <w:t>radio modulation technique, and a Media Access Control (MAC) Layer protocol LoRa-Wide Area Network (LoRaWAN)</w:t>
      </w:r>
      <w:r w:rsidR="00131B4F">
        <w:rPr>
          <w:rFonts w:ascii="Times New Roman" w:eastAsia="Times New Roman" w:hAnsi="Times New Roman" w:cs="Times New Roman"/>
        </w:rPr>
        <w:t xml:space="preserve">. </w:t>
      </w:r>
    </w:p>
    <w:p w:rsidR="00B1490A" w:rsidRPr="00CB478E" w:rsidRDefault="00B1490A" w:rsidP="00DB453A">
      <w:pPr>
        <w:jc w:val="both"/>
        <w:outlineLvl w:val="0"/>
        <w:rPr>
          <w:rFonts w:ascii="Times New Roman" w:eastAsia="Times New Roman" w:hAnsi="Times New Roman" w:cs="Times New Roman"/>
        </w:rPr>
      </w:pPr>
      <w:r w:rsidRPr="00CB478E">
        <w:rPr>
          <w:rFonts w:ascii="Times New Roman" w:eastAsia="Times New Roman" w:hAnsi="Times New Roman" w:cs="Times New Roman"/>
        </w:rPr>
        <w:t>LoRa parameters available for customization of the LoRa modulation include the Bandwidth (BW), the Spreading Factor (SF), and the Code Rate (CR)</w:t>
      </w:r>
      <w:r w:rsidR="00AB632B">
        <w:rPr>
          <w:rFonts w:ascii="Times New Roman" w:eastAsia="Times New Roman" w:hAnsi="Times New Roman" w:cs="Times New Roman"/>
        </w:rPr>
        <w:t xml:space="preserve"> </w:t>
      </w:r>
      <w:r w:rsidR="00AB632B">
        <w:rPr>
          <w:rFonts w:ascii="Times New Roman" w:eastAsia="Times New Roman" w:hAnsi="Times New Roman" w:cs="Times New Roman"/>
        </w:rPr>
        <w:fldChar w:fldCharType="begin" w:fldLock="1"/>
      </w:r>
      <w:r w:rsidR="00AB632B">
        <w:rPr>
          <w:rFonts w:ascii="Times New Roman" w:eastAsia="Times New Roman" w:hAnsi="Times New Roman" w:cs="Times New Roman"/>
        </w:rPr>
        <w:instrText>ADDIN CSL_CITATION {"citationItems":[{"id":"ITEM-1","itemData":{"DOI":"10.3390/s16091466","ISSN":"14248220","abstract":"LoRa is a long-range, low-power, low-bitrate, wireless telecommunications system, promoted as an infrastructure solution for the Internet of Things: end-devices use LoRa across a single wireless hop to communicate to gateway(s), connected to the Internet and which act as transparent bridges and relay messages between these end-devices and a central network server. This paper provides an overview of LoRa and an in-depth analysis of its functional components. The physical and data link layer performance is evaluated by field tests and simulations. Based on the analysis and evaluations, some possible solutions for performance enhancements are proposed.","author":[{"dropping-particle":"","family":"Augustin","given":"Aloÿs","non-dropping-particle":"","parse-names":false,"suffix":""},{"dropping-particle":"","family":"Yi","given":"Jiazi","non-dropping-particle":"","parse-names":false,"suffix":""},{"dropping-particle":"","family":"Clausen","given":"Thomas","non-dropping-particle":"","parse-names":false,"suffix":""},{"dropping-particle":"","family":"Townsley","given":"William Mark","non-dropping-particle":"","parse-names":false,"suffix":""}],"container-title":"Sensors (Switzerland)","id":"ITEM-1","issue":"9","issued":{"date-parts":[["2016"]]},"page":"1-18","title":"A study of Lora: Long range &amp; low power networks for the internet of things","type":"article-journal","volume":"16"},"uris":["http://www.mendeley.com/documents/?uuid=b4779012-d295-4894-8756-4eb56f26a27d"]}],"mendeley":{"formattedCitation":"[7]","plainTextFormattedCitation":"[7]","previouslyFormattedCitation":"[7]"},"properties":{"noteIndex":0},"schema":"https://github.com/citation-style-language/schema/raw/master/csl-citation.json"}</w:instrText>
      </w:r>
      <w:r w:rsidR="00AB632B">
        <w:rPr>
          <w:rFonts w:ascii="Times New Roman" w:eastAsia="Times New Roman" w:hAnsi="Times New Roman" w:cs="Times New Roman"/>
        </w:rPr>
        <w:fldChar w:fldCharType="separate"/>
      </w:r>
      <w:r w:rsidR="00AB632B" w:rsidRPr="00AB632B">
        <w:rPr>
          <w:rFonts w:ascii="Times New Roman" w:eastAsia="Times New Roman" w:hAnsi="Times New Roman" w:cs="Times New Roman"/>
          <w:noProof/>
        </w:rPr>
        <w:t>[7]</w:t>
      </w:r>
      <w:r w:rsidR="00AB632B">
        <w:rPr>
          <w:rFonts w:ascii="Times New Roman" w:eastAsia="Times New Roman" w:hAnsi="Times New Roman" w:cs="Times New Roman"/>
        </w:rPr>
        <w:fldChar w:fldCharType="end"/>
      </w:r>
      <w:r w:rsidRPr="00CB478E">
        <w:rPr>
          <w:rFonts w:ascii="Times New Roman" w:eastAsia="Times New Roman" w:hAnsi="Times New Roman" w:cs="Times New Roman"/>
        </w:rPr>
        <w:t>. The bandwidth is depended on by the chirp rate, which is equal to the bandwidth (one chirp per second per Hertz of bandwidth). Also, the symbol rate and bit rate are proportional to the frequency bandwidth at a given spreading factor; hence, a bandwidth doubling will effectively double the rate of transmission</w:t>
      </w:r>
      <w:r w:rsidR="00AB632B">
        <w:rPr>
          <w:rFonts w:ascii="Times New Roman" w:eastAsia="Times New Roman" w:hAnsi="Times New Roman" w:cs="Times New Roman"/>
        </w:rPr>
        <w:t xml:space="preserve"> </w:t>
      </w:r>
      <w:r w:rsidR="00AB632B">
        <w:rPr>
          <w:rFonts w:ascii="Times New Roman" w:eastAsia="Times New Roman" w:hAnsi="Times New Roman" w:cs="Times New Roman"/>
        </w:rPr>
        <w:fldChar w:fldCharType="begin" w:fldLock="1"/>
      </w:r>
      <w:r w:rsidR="00C838C8">
        <w:rPr>
          <w:rFonts w:ascii="Times New Roman" w:eastAsia="Times New Roman" w:hAnsi="Times New Roman" w:cs="Times New Roman"/>
        </w:rPr>
        <w:instrText>ADDIN CSL_CITATION {"citationItems":[{"id":"ITEM-1","itemData":{"abstract":"This page is about understanding the LoRa RF modulation format. LoRa is an abbreviation of Long Range, meaning it is an radio modulation format that gives longer range than straight FSK modulation. This is achieved by a combination of methods: it uses a spread spectrum technique called Chirp Spread Spectrum (CSS) and it uses forward error coding (in combination with whitening and interleaving). To transmit or receive LoRa signals, you need to buy hardware that supports this modulation format. The goal of this project is to collect more detailed information on the LoRa modulation and packet format. A concrete result could be that someone writes software which makes it possible to receive and decode LoRa signals with a cheap software defined radio, like rtlsdr.","author":[{"dropping-particle":"","family":"Sikken","given":"Bertrik","non-dropping-particle":"","parse-names":false,"suffix":""}],"id":"ITEM-1","issued":{"date-parts":[["2017"]]},"title":"DecodingLora - RevSpace","type":"article"},"uris":["http://www.mendeley.com/documents/?uuid=bc954da1-acce-4b19-ab6d-f1bf330fa6c8"]}],"mendeley":{"formattedCitation":"[8]","plainTextFormattedCitation":"[8]","previouslyFormattedCitation":"[8]"},"properties":{"noteIndex":0},"schema":"https://github.com/citation-style-language/schema/raw/master/csl-citation.json"}</w:instrText>
      </w:r>
      <w:r w:rsidR="00AB632B">
        <w:rPr>
          <w:rFonts w:ascii="Times New Roman" w:eastAsia="Times New Roman" w:hAnsi="Times New Roman" w:cs="Times New Roman"/>
        </w:rPr>
        <w:fldChar w:fldCharType="separate"/>
      </w:r>
      <w:r w:rsidR="00AB632B" w:rsidRPr="00AB632B">
        <w:rPr>
          <w:rFonts w:ascii="Times New Roman" w:eastAsia="Times New Roman" w:hAnsi="Times New Roman" w:cs="Times New Roman"/>
          <w:noProof/>
        </w:rPr>
        <w:t>[8]</w:t>
      </w:r>
      <w:r w:rsidR="00AB632B">
        <w:rPr>
          <w:rFonts w:ascii="Times New Roman" w:eastAsia="Times New Roman" w:hAnsi="Times New Roman" w:cs="Times New Roman"/>
        </w:rPr>
        <w:fldChar w:fldCharType="end"/>
      </w:r>
      <w:r w:rsidRPr="00CB478E">
        <w:rPr>
          <w:rFonts w:ascii="Times New Roman" w:eastAsia="Times New Roman" w:hAnsi="Times New Roman" w:cs="Times New Roman"/>
        </w:rPr>
        <w:t>.</w:t>
      </w:r>
      <w:r w:rsidR="00AB632B">
        <w:rPr>
          <w:rFonts w:ascii="Times New Roman" w:eastAsia="Times New Roman" w:hAnsi="Times New Roman" w:cs="Times New Roman"/>
        </w:rPr>
        <w:t xml:space="preserve"> </w:t>
      </w:r>
      <w:r w:rsidRPr="00CB478E">
        <w:rPr>
          <w:rFonts w:ascii="Times New Roman" w:eastAsia="Times New Roman" w:hAnsi="Times New Roman" w:cs="Times New Roman"/>
        </w:rPr>
        <w:t xml:space="preserve"> An increase of bandwidth lowers receiver sensitivity, while an increase of the spreading factor increases the sensitivity of the receiver. </w:t>
      </w:r>
    </w:p>
    <w:p w:rsidR="00E90C94" w:rsidRDefault="00E90C94" w:rsidP="00E30E8F">
      <w:pPr>
        <w:jc w:val="both"/>
        <w:rPr>
          <w:rFonts w:ascii="Times New Roman" w:hAnsi="Times New Roman" w:cs="Times New Roman"/>
          <w:sz w:val="24"/>
          <w:szCs w:val="24"/>
        </w:rPr>
      </w:pPr>
      <w:r w:rsidRPr="00E90C94">
        <w:rPr>
          <w:rFonts w:ascii="Times New Roman" w:hAnsi="Times New Roman" w:cs="Times New Roman"/>
          <w:b/>
          <w:sz w:val="24"/>
          <w:szCs w:val="24"/>
        </w:rPr>
        <w:t>RESULTS</w:t>
      </w:r>
      <w:r>
        <w:rPr>
          <w:rFonts w:ascii="Times New Roman" w:hAnsi="Times New Roman" w:cs="Times New Roman"/>
          <w:sz w:val="24"/>
          <w:szCs w:val="24"/>
        </w:rPr>
        <w:br/>
        <w:t>LoRa Coverage at Ol-Pejeta</w:t>
      </w:r>
    </w:p>
    <w:p w:rsidR="00E30E8F" w:rsidRPr="00CB478E" w:rsidRDefault="00E30E8F" w:rsidP="00E30E8F">
      <w:pPr>
        <w:pStyle w:val="Caption"/>
        <w:jc w:val="both"/>
        <w:outlineLvl w:val="0"/>
        <w:rPr>
          <w:rFonts w:ascii="Times New Roman" w:eastAsia="Times New Roman" w:hAnsi="Times New Roman" w:cs="Times New Roman"/>
          <w:i w:val="0"/>
          <w:color w:val="auto"/>
          <w:sz w:val="24"/>
          <w:szCs w:val="24"/>
        </w:rPr>
      </w:pPr>
      <w:r w:rsidRPr="00CB478E">
        <w:rPr>
          <w:rFonts w:ascii="Times New Roman" w:hAnsi="Times New Roman" w:cs="Times New Roman"/>
          <w:b/>
          <w:i w:val="0"/>
          <w:color w:val="auto"/>
          <w:sz w:val="24"/>
          <w:szCs w:val="24"/>
        </w:rPr>
        <w:t>Table</w:t>
      </w:r>
      <w:r w:rsidR="00C10DE3">
        <w:rPr>
          <w:rFonts w:ascii="Times New Roman" w:hAnsi="Times New Roman" w:cs="Times New Roman"/>
          <w:b/>
          <w:i w:val="0"/>
          <w:color w:val="auto"/>
          <w:sz w:val="24"/>
          <w:szCs w:val="24"/>
        </w:rPr>
        <w:t xml:space="preserve"> 1</w:t>
      </w:r>
      <w:r w:rsidRPr="00CB478E">
        <w:rPr>
          <w:rFonts w:ascii="Times New Roman" w:hAnsi="Times New Roman" w:cs="Times New Roman"/>
          <w:b/>
          <w:i w:val="0"/>
          <w:color w:val="auto"/>
          <w:sz w:val="24"/>
          <w:szCs w:val="24"/>
        </w:rPr>
        <w:t>:</w:t>
      </w:r>
      <w:r w:rsidRPr="00CB478E">
        <w:rPr>
          <w:rFonts w:ascii="Times New Roman" w:hAnsi="Times New Roman" w:cs="Times New Roman"/>
          <w:i w:val="0"/>
          <w:color w:val="auto"/>
          <w:sz w:val="24"/>
          <w:szCs w:val="24"/>
        </w:rPr>
        <w:t xml:space="preserve"> The </w:t>
      </w:r>
      <w:r>
        <w:rPr>
          <w:rFonts w:ascii="Times New Roman" w:hAnsi="Times New Roman" w:cs="Times New Roman"/>
          <w:i w:val="0"/>
          <w:color w:val="auto"/>
          <w:sz w:val="24"/>
          <w:szCs w:val="24"/>
        </w:rPr>
        <w:t>Lorix One and Kerlink LoRa Gateways S</w:t>
      </w:r>
      <w:r w:rsidRPr="00CB478E">
        <w:rPr>
          <w:rFonts w:ascii="Times New Roman" w:hAnsi="Times New Roman" w:cs="Times New Roman"/>
          <w:i w:val="0"/>
          <w:color w:val="auto"/>
          <w:sz w:val="24"/>
          <w:szCs w:val="24"/>
        </w:rPr>
        <w:t>pecifications</w:t>
      </w:r>
      <w:r>
        <w:rPr>
          <w:rFonts w:ascii="Times New Roman" w:hAnsi="Times New Roman" w:cs="Times New Roman"/>
          <w:i w:val="0"/>
          <w:color w:val="auto"/>
          <w:sz w:val="24"/>
          <w:szCs w:val="24"/>
        </w:rPr>
        <w:t xml:space="preserve"> and Operations</w:t>
      </w:r>
      <w:r w:rsidRPr="00CB478E">
        <w:rPr>
          <w:rFonts w:ascii="Times New Roman" w:hAnsi="Times New Roman" w:cs="Times New Roman"/>
          <w:i w:val="0"/>
          <w:color w:val="auto"/>
          <w:sz w:val="24"/>
          <w:szCs w:val="24"/>
        </w:rPr>
        <w:t xml:space="preserve"> (subject to environmental factors and placement of nodes/sens</w:t>
      </w:r>
      <w:r>
        <w:rPr>
          <w:rFonts w:ascii="Times New Roman" w:hAnsi="Times New Roman" w:cs="Times New Roman"/>
          <w:i w:val="0"/>
          <w:color w:val="auto"/>
          <w:sz w:val="24"/>
          <w:szCs w:val="24"/>
        </w:rPr>
        <w:t xml:space="preserve">ors and gateways) taken from </w:t>
      </w:r>
      <w:r>
        <w:rPr>
          <w:rFonts w:ascii="Times New Roman" w:hAnsi="Times New Roman" w:cs="Times New Roman"/>
          <w:i w:val="0"/>
          <w:color w:val="auto"/>
          <w:sz w:val="24"/>
          <w:szCs w:val="24"/>
        </w:rPr>
        <w:fldChar w:fldCharType="begin" w:fldLock="1"/>
      </w:r>
      <w:r w:rsidR="00C838C8">
        <w:rPr>
          <w:rFonts w:ascii="Times New Roman" w:hAnsi="Times New Roman" w:cs="Times New Roman"/>
          <w:i w:val="0"/>
          <w:color w:val="auto"/>
          <w:sz w:val="24"/>
          <w:szCs w:val="24"/>
        </w:rPr>
        <w:instrText>ADDIN CSL_CITATION {"citationItems":[{"id":"ITEM-1","itemData":{"id":"ITEM-1","issued":{"date-parts":[["0"]]},"title":"Easy to use and low cost LoRa _ LoRaWAN IoT gateway _ LORIX One","type":"article"},"uris":["http://www.mendeley.com/documents/?uuid=46e04e3c-899f-44f4-b5e3-798b18c425d7"]}],"mendeley":{"formattedCitation":"[9]","plainTextFormattedCitation":"[9]","previouslyFormattedCitation":"[9]"},"properties":{"noteIndex":0},"schema":"https://github.com/citation-style-language/schema/raw/master/csl-citation.json"}</w:instrText>
      </w:r>
      <w:r>
        <w:rPr>
          <w:rFonts w:ascii="Times New Roman" w:hAnsi="Times New Roman" w:cs="Times New Roman"/>
          <w:i w:val="0"/>
          <w:color w:val="auto"/>
          <w:sz w:val="24"/>
          <w:szCs w:val="24"/>
        </w:rPr>
        <w:fldChar w:fldCharType="separate"/>
      </w:r>
      <w:r w:rsidR="00AB632B" w:rsidRPr="00AB632B">
        <w:rPr>
          <w:rFonts w:ascii="Times New Roman" w:hAnsi="Times New Roman" w:cs="Times New Roman"/>
          <w:i w:val="0"/>
          <w:noProof/>
          <w:color w:val="auto"/>
          <w:sz w:val="24"/>
          <w:szCs w:val="24"/>
        </w:rPr>
        <w:t>[9]</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fldChar w:fldCharType="begin" w:fldLock="1"/>
      </w:r>
      <w:r w:rsidR="00C838C8">
        <w:rPr>
          <w:rFonts w:ascii="Times New Roman" w:hAnsi="Times New Roman" w:cs="Times New Roman"/>
          <w:i w:val="0"/>
          <w:color w:val="auto"/>
          <w:sz w:val="24"/>
          <w:szCs w:val="24"/>
        </w:rPr>
        <w:instrText>ADDIN CSL_CITATION {"citationItems":[{"id":"ITEM-1","itemData":{"abstract":"The Wirnet 868 MHzis a terminal designed to meet M2M &amp; IoT connectivity service providers that want to operate their network by themselves.\\n\\nThe Station incorporates the Long Range « LoRa » ™ technology developed by Semtech and communication functions (Ethernet and 3G).\\n\\nThanks to a rugged case - IP 67 -, Wirnet 868 MHz can handle with harsh installation environments (moisture, dust, wind...).\\n\\nInstalled on the relay antenna of a telecommunications operator, on the roof of a building or a water tower, it can establish bidirectional communications with several thousand items of intelligent equipment (sensors, meters, connected things) which are several kilometres away.","id":"ITEM-1","issued":{"date-parts":[["0"]]},"title":"Kerlink LoRa IoT Gateway - Wirnet Station 868 MHz","type":"article"},"uris":["http://www.mendeley.com/documents/?uuid=dbaf34b8-18b3-4950-a974-92b7927e7168"]}],"mendeley":{"formattedCitation":"[10]","plainTextFormattedCitation":"[10]","previouslyFormattedCitation":"[10]"},"properties":{"noteIndex":0},"schema":"https://github.com/citation-style-language/schema/raw/master/csl-citation.json"}</w:instrText>
      </w:r>
      <w:r>
        <w:rPr>
          <w:rFonts w:ascii="Times New Roman" w:hAnsi="Times New Roman" w:cs="Times New Roman"/>
          <w:i w:val="0"/>
          <w:color w:val="auto"/>
          <w:sz w:val="24"/>
          <w:szCs w:val="24"/>
        </w:rPr>
        <w:fldChar w:fldCharType="separate"/>
      </w:r>
      <w:r w:rsidR="00AB632B" w:rsidRPr="00AB632B">
        <w:rPr>
          <w:rFonts w:ascii="Times New Roman" w:hAnsi="Times New Roman" w:cs="Times New Roman"/>
          <w:i w:val="0"/>
          <w:noProof/>
          <w:color w:val="auto"/>
          <w:sz w:val="24"/>
          <w:szCs w:val="24"/>
        </w:rPr>
        <w:t>[10]</w:t>
      </w:r>
      <w:r>
        <w:rPr>
          <w:rFonts w:ascii="Times New Roman" w:hAnsi="Times New Roman" w:cs="Times New Roman"/>
          <w:i w:val="0"/>
          <w:color w:val="auto"/>
          <w:sz w:val="24"/>
          <w:szCs w:val="24"/>
        </w:rPr>
        <w:fldChar w:fldCharType="end"/>
      </w:r>
    </w:p>
    <w:tbl>
      <w:tblPr>
        <w:tblW w:w="51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02"/>
        <w:gridCol w:w="3987"/>
        <w:gridCol w:w="3150"/>
      </w:tblGrid>
      <w:tr w:rsidR="00E30E8F" w:rsidRPr="00F30BF1" w:rsidTr="008F51E2">
        <w:trPr>
          <w:trHeight w:val="409"/>
        </w:trPr>
        <w:tc>
          <w:tcPr>
            <w:tcW w:w="1259"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18"/>
                <w:szCs w:val="18"/>
              </w:rPr>
            </w:pPr>
          </w:p>
        </w:tc>
        <w:tc>
          <w:tcPr>
            <w:tcW w:w="2090" w:type="pct"/>
            <w:vAlign w:val="center"/>
          </w:tcPr>
          <w:p w:rsidR="00E30E8F" w:rsidRPr="0050200B" w:rsidRDefault="00E30E8F" w:rsidP="008F51E2">
            <w:pPr>
              <w:pBdr>
                <w:top w:val="nil"/>
                <w:left w:val="nil"/>
                <w:bottom w:val="nil"/>
                <w:right w:val="nil"/>
                <w:between w:val="nil"/>
              </w:pBdr>
              <w:outlineLvl w:val="0"/>
              <w:rPr>
                <w:rFonts w:ascii="Times New Roman" w:eastAsia="Times New Roman" w:hAnsi="Times New Roman" w:cs="Times New Roman"/>
                <w:b/>
                <w:sz w:val="18"/>
                <w:szCs w:val="18"/>
              </w:rPr>
            </w:pPr>
            <w:r w:rsidRPr="0050200B">
              <w:rPr>
                <w:rFonts w:ascii="Times New Roman" w:eastAsia="Times New Roman" w:hAnsi="Times New Roman" w:cs="Times New Roman"/>
                <w:b/>
                <w:sz w:val="18"/>
                <w:szCs w:val="18"/>
              </w:rPr>
              <w:t>LORIX ONE</w:t>
            </w:r>
          </w:p>
        </w:tc>
        <w:tc>
          <w:tcPr>
            <w:tcW w:w="1651" w:type="pct"/>
            <w:vAlign w:val="center"/>
          </w:tcPr>
          <w:p w:rsidR="00E30E8F" w:rsidRPr="0050200B" w:rsidRDefault="00E30E8F" w:rsidP="008F51E2">
            <w:pPr>
              <w:pBdr>
                <w:top w:val="nil"/>
                <w:left w:val="nil"/>
                <w:bottom w:val="nil"/>
                <w:right w:val="nil"/>
                <w:between w:val="nil"/>
              </w:pBdr>
              <w:outlineLvl w:val="0"/>
              <w:rPr>
                <w:rFonts w:ascii="Times New Roman" w:eastAsia="Times New Roman" w:hAnsi="Times New Roman" w:cs="Times New Roman"/>
                <w:b/>
                <w:sz w:val="18"/>
                <w:szCs w:val="18"/>
              </w:rPr>
            </w:pPr>
            <w:r w:rsidRPr="0050200B">
              <w:rPr>
                <w:rFonts w:ascii="Times New Roman" w:eastAsia="Times New Roman" w:hAnsi="Times New Roman" w:cs="Times New Roman"/>
                <w:b/>
                <w:sz w:val="18"/>
                <w:szCs w:val="18"/>
              </w:rPr>
              <w:t>KERLINK LORA</w:t>
            </w:r>
          </w:p>
        </w:tc>
      </w:tr>
      <w:tr w:rsidR="00E30E8F" w:rsidRPr="00F30BF1" w:rsidTr="008F51E2">
        <w:trPr>
          <w:trHeight w:val="409"/>
        </w:trPr>
        <w:tc>
          <w:tcPr>
            <w:tcW w:w="1259"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18"/>
                <w:szCs w:val="18"/>
              </w:rPr>
            </w:pPr>
            <w:r w:rsidRPr="00F30BF1">
              <w:rPr>
                <w:rFonts w:ascii="Times New Roman" w:eastAsia="Times New Roman" w:hAnsi="Times New Roman" w:cs="Times New Roman"/>
                <w:sz w:val="18"/>
                <w:szCs w:val="18"/>
              </w:rPr>
              <w:t>Antenna</w:t>
            </w:r>
          </w:p>
        </w:tc>
        <w:tc>
          <w:tcPr>
            <w:tcW w:w="2090"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Indoor 20cm Inclinable Antenna, </w:t>
            </w:r>
            <w:r w:rsidRPr="00F30BF1">
              <w:rPr>
                <w:rFonts w:ascii="Times New Roman" w:eastAsia="Times New Roman" w:hAnsi="Times New Roman" w:cs="Times New Roman"/>
                <w:sz w:val="18"/>
                <w:szCs w:val="18"/>
              </w:rPr>
              <w:t xml:space="preserve"> 2dBi</w:t>
            </w:r>
            <w:r>
              <w:rPr>
                <w:rFonts w:ascii="Times New Roman" w:eastAsia="Times New Roman" w:hAnsi="Times New Roman" w:cs="Times New Roman"/>
                <w:sz w:val="18"/>
                <w:szCs w:val="18"/>
              </w:rPr>
              <w:t xml:space="preserve">, </w:t>
            </w:r>
            <w:r w:rsidRPr="00F30BF1">
              <w:rPr>
                <w:rFonts w:ascii="Times New Roman" w:eastAsia="Times New Roman" w:hAnsi="Times New Roman" w:cs="Times New Roman"/>
                <w:sz w:val="18"/>
                <w:szCs w:val="18"/>
              </w:rPr>
              <w:t>27dBm max output</w:t>
            </w:r>
          </w:p>
        </w:tc>
        <w:tc>
          <w:tcPr>
            <w:tcW w:w="1651"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Indoor 20cm Inclinable Antenna, </w:t>
            </w:r>
            <w:r w:rsidRPr="00F30BF1">
              <w:rPr>
                <w:rFonts w:ascii="Times New Roman" w:eastAsia="Times New Roman" w:hAnsi="Times New Roman" w:cs="Times New Roman"/>
                <w:sz w:val="18"/>
                <w:szCs w:val="18"/>
              </w:rPr>
              <w:t xml:space="preserve"> 2dBi</w:t>
            </w:r>
            <w:r>
              <w:rPr>
                <w:rFonts w:ascii="Times New Roman" w:eastAsia="Times New Roman" w:hAnsi="Times New Roman" w:cs="Times New Roman"/>
                <w:sz w:val="18"/>
                <w:szCs w:val="18"/>
              </w:rPr>
              <w:t>, 28</w:t>
            </w:r>
            <w:r w:rsidRPr="00F30BF1">
              <w:rPr>
                <w:rFonts w:ascii="Times New Roman" w:eastAsia="Times New Roman" w:hAnsi="Times New Roman" w:cs="Times New Roman"/>
                <w:sz w:val="18"/>
                <w:szCs w:val="18"/>
              </w:rPr>
              <w:t>dBm max output</w:t>
            </w:r>
          </w:p>
        </w:tc>
      </w:tr>
      <w:tr w:rsidR="00E30E8F" w:rsidRPr="00F30BF1" w:rsidTr="008F51E2">
        <w:trPr>
          <w:trHeight w:val="409"/>
        </w:trPr>
        <w:tc>
          <w:tcPr>
            <w:tcW w:w="1259"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18"/>
                <w:szCs w:val="18"/>
              </w:rPr>
            </w:pPr>
            <w:r>
              <w:rPr>
                <w:rFonts w:ascii="Times New Roman" w:eastAsia="Times New Roman" w:hAnsi="Times New Roman" w:cs="Times New Roman"/>
                <w:sz w:val="18"/>
                <w:szCs w:val="18"/>
              </w:rPr>
              <w:t>Receiver Sensitivity</w:t>
            </w:r>
          </w:p>
        </w:tc>
        <w:tc>
          <w:tcPr>
            <w:tcW w:w="2090"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18"/>
                <w:szCs w:val="18"/>
              </w:rPr>
            </w:pPr>
            <w:r>
              <w:rPr>
                <w:rFonts w:ascii="Times New Roman" w:eastAsia="Times New Roman" w:hAnsi="Times New Roman" w:cs="Times New Roman"/>
                <w:sz w:val="18"/>
                <w:szCs w:val="18"/>
              </w:rPr>
              <w:t>-140dBm</w:t>
            </w:r>
          </w:p>
        </w:tc>
        <w:tc>
          <w:tcPr>
            <w:tcW w:w="1651"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18"/>
                <w:szCs w:val="18"/>
              </w:rPr>
            </w:pPr>
            <w:r>
              <w:rPr>
                <w:rFonts w:ascii="Times New Roman" w:eastAsia="Times New Roman" w:hAnsi="Times New Roman" w:cs="Times New Roman"/>
                <w:sz w:val="18"/>
                <w:szCs w:val="18"/>
              </w:rPr>
              <w:t>-141dBm</w:t>
            </w:r>
          </w:p>
        </w:tc>
      </w:tr>
      <w:tr w:rsidR="00E30E8F" w:rsidRPr="00F30BF1" w:rsidTr="008F51E2">
        <w:trPr>
          <w:trHeight w:val="422"/>
        </w:trPr>
        <w:tc>
          <w:tcPr>
            <w:tcW w:w="1259"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sidRPr="00F30BF1">
              <w:rPr>
                <w:rFonts w:ascii="Times New Roman" w:eastAsia="Times New Roman" w:hAnsi="Times New Roman" w:cs="Times New Roman"/>
                <w:sz w:val="20"/>
                <w:szCs w:val="20"/>
              </w:rPr>
              <w:t>Operating Temperature</w:t>
            </w:r>
          </w:p>
        </w:tc>
        <w:tc>
          <w:tcPr>
            <w:tcW w:w="2090"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sidRPr="00F30BF1">
              <w:rPr>
                <w:rFonts w:ascii="Times New Roman" w:eastAsia="Times New Roman" w:hAnsi="Times New Roman" w:cs="Times New Roman"/>
                <w:sz w:val="20"/>
                <w:szCs w:val="20"/>
              </w:rPr>
              <w:t>Min: -30 °C</w:t>
            </w:r>
            <w:r>
              <w:rPr>
                <w:rFonts w:ascii="Times New Roman" w:eastAsia="Times New Roman" w:hAnsi="Times New Roman" w:cs="Times New Roman"/>
                <w:sz w:val="20"/>
                <w:szCs w:val="20"/>
              </w:rPr>
              <w:t>; Max: +55</w:t>
            </w:r>
            <w:r w:rsidRPr="00F30BF1">
              <w:rPr>
                <w:rFonts w:ascii="Times New Roman" w:eastAsia="Times New Roman" w:hAnsi="Times New Roman" w:cs="Times New Roman"/>
                <w:sz w:val="20"/>
                <w:szCs w:val="20"/>
              </w:rPr>
              <w:t xml:space="preserve"> ℃</w:t>
            </w:r>
          </w:p>
        </w:tc>
        <w:tc>
          <w:tcPr>
            <w:tcW w:w="1651"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Min: -2</w:t>
            </w:r>
            <w:r w:rsidRPr="00F30BF1">
              <w:rPr>
                <w:rFonts w:ascii="Times New Roman" w:eastAsia="Times New Roman" w:hAnsi="Times New Roman" w:cs="Times New Roman"/>
                <w:sz w:val="20"/>
                <w:szCs w:val="20"/>
              </w:rPr>
              <w:t>0 °C</w:t>
            </w:r>
            <w:r>
              <w:rPr>
                <w:rFonts w:ascii="Times New Roman" w:eastAsia="Times New Roman" w:hAnsi="Times New Roman" w:cs="Times New Roman"/>
                <w:sz w:val="20"/>
                <w:szCs w:val="20"/>
              </w:rPr>
              <w:t>; Max: +55</w:t>
            </w:r>
            <w:r w:rsidRPr="00F30BF1">
              <w:rPr>
                <w:rFonts w:ascii="Times New Roman" w:eastAsia="Times New Roman" w:hAnsi="Times New Roman" w:cs="Times New Roman"/>
                <w:sz w:val="20"/>
                <w:szCs w:val="20"/>
              </w:rPr>
              <w:t xml:space="preserve"> ℃</w:t>
            </w:r>
          </w:p>
        </w:tc>
      </w:tr>
      <w:tr w:rsidR="00E30E8F" w:rsidRPr="00F30BF1" w:rsidTr="008F51E2">
        <w:trPr>
          <w:trHeight w:val="422"/>
        </w:trPr>
        <w:tc>
          <w:tcPr>
            <w:tcW w:w="1259"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sidRPr="00F30BF1">
              <w:rPr>
                <w:rFonts w:ascii="Times New Roman" w:eastAsia="Times New Roman" w:hAnsi="Times New Roman" w:cs="Times New Roman"/>
                <w:sz w:val="20"/>
                <w:szCs w:val="20"/>
              </w:rPr>
              <w:t>Communicating Range</w:t>
            </w:r>
          </w:p>
        </w:tc>
        <w:tc>
          <w:tcPr>
            <w:tcW w:w="2090" w:type="pct"/>
            <w:vAlign w:val="center"/>
          </w:tcPr>
          <w:p w:rsidR="00E30E8F"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Line of sight(*Antenna): +1</w:t>
            </w:r>
            <w:r w:rsidRPr="00F30BF1">
              <w:rPr>
                <w:rFonts w:ascii="Times New Roman" w:eastAsia="Times New Roman" w:hAnsi="Times New Roman" w:cs="Times New Roman"/>
                <w:sz w:val="20"/>
                <w:szCs w:val="20"/>
              </w:rPr>
              <w:t>0kms</w:t>
            </w:r>
          </w:p>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Urban: up to 1km</w:t>
            </w:r>
          </w:p>
        </w:tc>
        <w:tc>
          <w:tcPr>
            <w:tcW w:w="1651" w:type="pct"/>
            <w:vAlign w:val="center"/>
          </w:tcPr>
          <w:p w:rsidR="00E30E8F"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Line of sight(*Antenna): +15</w:t>
            </w:r>
            <w:r w:rsidRPr="00F30BF1">
              <w:rPr>
                <w:rFonts w:ascii="Times New Roman" w:eastAsia="Times New Roman" w:hAnsi="Times New Roman" w:cs="Times New Roman"/>
                <w:sz w:val="20"/>
                <w:szCs w:val="20"/>
              </w:rPr>
              <w:t>kms</w:t>
            </w:r>
          </w:p>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Urban: up to 2</w:t>
            </w:r>
            <w:r w:rsidRPr="00F30BF1">
              <w:rPr>
                <w:rFonts w:ascii="Times New Roman" w:eastAsia="Times New Roman" w:hAnsi="Times New Roman" w:cs="Times New Roman"/>
                <w:sz w:val="20"/>
                <w:szCs w:val="20"/>
              </w:rPr>
              <w:t>kms</w:t>
            </w:r>
          </w:p>
        </w:tc>
      </w:tr>
      <w:tr w:rsidR="00E30E8F" w:rsidRPr="00F30BF1" w:rsidTr="008F51E2">
        <w:trPr>
          <w:trHeight w:val="422"/>
        </w:trPr>
        <w:tc>
          <w:tcPr>
            <w:tcW w:w="1259" w:type="pct"/>
            <w:vAlign w:val="center"/>
          </w:tcPr>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sidRPr="00F30BF1">
              <w:rPr>
                <w:rFonts w:ascii="Times New Roman" w:eastAsia="Times New Roman" w:hAnsi="Times New Roman" w:cs="Times New Roman"/>
                <w:sz w:val="20"/>
                <w:szCs w:val="20"/>
              </w:rPr>
              <w:t>Installation</w:t>
            </w:r>
          </w:p>
        </w:tc>
        <w:tc>
          <w:tcPr>
            <w:tcW w:w="2090" w:type="pct"/>
            <w:vAlign w:val="center"/>
          </w:tcPr>
          <w:p w:rsidR="00E30E8F"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sidRPr="00F30BF1">
              <w:rPr>
                <w:rFonts w:ascii="Times New Roman" w:eastAsia="Times New Roman" w:hAnsi="Times New Roman" w:cs="Times New Roman"/>
                <w:sz w:val="20"/>
                <w:szCs w:val="20"/>
              </w:rPr>
              <w:t xml:space="preserve">Wall or </w:t>
            </w:r>
            <w:r>
              <w:rPr>
                <w:rFonts w:ascii="Times New Roman" w:eastAsia="Times New Roman" w:hAnsi="Times New Roman" w:cs="Times New Roman"/>
                <w:sz w:val="20"/>
                <w:szCs w:val="20"/>
              </w:rPr>
              <w:t xml:space="preserve">Pole </w:t>
            </w:r>
            <w:r w:rsidRPr="00F30BF1">
              <w:rPr>
                <w:rFonts w:ascii="Times New Roman" w:eastAsia="Times New Roman" w:hAnsi="Times New Roman" w:cs="Times New Roman"/>
                <w:sz w:val="20"/>
                <w:szCs w:val="20"/>
              </w:rPr>
              <w:t>mount</w:t>
            </w:r>
            <w:r>
              <w:rPr>
                <w:rFonts w:ascii="Times New Roman" w:eastAsia="Times New Roman" w:hAnsi="Times New Roman" w:cs="Times New Roman"/>
                <w:sz w:val="20"/>
                <w:szCs w:val="20"/>
              </w:rPr>
              <w:t>ing</w:t>
            </w:r>
          </w:p>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Metallic Strapping</w:t>
            </w:r>
          </w:p>
        </w:tc>
        <w:tc>
          <w:tcPr>
            <w:tcW w:w="1651" w:type="pct"/>
            <w:vAlign w:val="center"/>
          </w:tcPr>
          <w:p w:rsidR="00E30E8F"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sidRPr="00F30BF1">
              <w:rPr>
                <w:rFonts w:ascii="Times New Roman" w:eastAsia="Times New Roman" w:hAnsi="Times New Roman" w:cs="Times New Roman"/>
                <w:sz w:val="20"/>
                <w:szCs w:val="20"/>
              </w:rPr>
              <w:t xml:space="preserve">Wall or </w:t>
            </w:r>
            <w:r>
              <w:rPr>
                <w:rFonts w:ascii="Times New Roman" w:eastAsia="Times New Roman" w:hAnsi="Times New Roman" w:cs="Times New Roman"/>
                <w:sz w:val="20"/>
                <w:szCs w:val="20"/>
              </w:rPr>
              <w:t xml:space="preserve">Pole </w:t>
            </w:r>
            <w:r w:rsidRPr="00F30BF1">
              <w:rPr>
                <w:rFonts w:ascii="Times New Roman" w:eastAsia="Times New Roman" w:hAnsi="Times New Roman" w:cs="Times New Roman"/>
                <w:sz w:val="20"/>
                <w:szCs w:val="20"/>
              </w:rPr>
              <w:t>mount</w:t>
            </w:r>
            <w:r>
              <w:rPr>
                <w:rFonts w:ascii="Times New Roman" w:eastAsia="Times New Roman" w:hAnsi="Times New Roman" w:cs="Times New Roman"/>
                <w:sz w:val="20"/>
                <w:szCs w:val="20"/>
              </w:rPr>
              <w:t>ing</w:t>
            </w:r>
          </w:p>
          <w:p w:rsidR="00E30E8F" w:rsidRPr="00F30BF1" w:rsidRDefault="00E30E8F" w:rsidP="008F51E2">
            <w:pPr>
              <w:pBdr>
                <w:top w:val="nil"/>
                <w:left w:val="nil"/>
                <w:bottom w:val="nil"/>
                <w:right w:val="nil"/>
                <w:between w:val="nil"/>
              </w:pBd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Metallic Strapping</w:t>
            </w:r>
          </w:p>
        </w:tc>
      </w:tr>
    </w:tbl>
    <w:p w:rsidR="00E30E8F" w:rsidRDefault="00E30E8F" w:rsidP="00E30E8F">
      <w:pPr>
        <w:jc w:val="both"/>
        <w:rPr>
          <w:rFonts w:ascii="Times New Roman" w:eastAsia="Times New Roman" w:hAnsi="Times New Roman" w:cs="Times New Roman"/>
        </w:rPr>
      </w:pPr>
    </w:p>
    <w:p w:rsidR="00E30E8F" w:rsidRDefault="00E30E8F" w:rsidP="00E30E8F">
      <w:pPr>
        <w:jc w:val="both"/>
        <w:rPr>
          <w:rFonts w:ascii="Times New Roman" w:eastAsia="Times New Roman" w:hAnsi="Times New Roman" w:cs="Times New Roman"/>
        </w:rPr>
      </w:pPr>
    </w:p>
    <w:p w:rsidR="00E90C94" w:rsidRPr="00CB478E" w:rsidRDefault="0050200B" w:rsidP="00E30E8F">
      <w:pPr>
        <w:keepNext/>
        <w:widowControl w:val="0"/>
        <w:pBdr>
          <w:top w:val="nil"/>
          <w:left w:val="nil"/>
          <w:bottom w:val="nil"/>
          <w:right w:val="nil"/>
          <w:between w:val="nil"/>
        </w:pBdr>
        <w:jc w:val="center"/>
        <w:outlineLvl w:val="0"/>
        <w:rPr>
          <w:rFonts w:ascii="Times New Roman" w:eastAsia="Times New Roman" w:hAnsi="Times New Roman" w:cs="Times New Roman"/>
        </w:rPr>
      </w:pPr>
      <w:r w:rsidRPr="0050200B">
        <w:rPr>
          <w:rFonts w:ascii="Times New Roman" w:eastAsia="Times New Roman" w:hAnsi="Times New Roman" w:cs="Times New Roman"/>
          <w:noProof/>
        </w:rPr>
        <w:lastRenderedPageBreak/>
        <w:drawing>
          <wp:inline distT="0" distB="0" distL="0" distR="0">
            <wp:extent cx="5124538" cy="3622675"/>
            <wp:effectExtent l="0" t="0" r="0" b="0"/>
            <wp:docPr id="3" name="Picture 3" descr="C:\Users\nahsh\Desktop\ISTPaper\data\opc-sensor-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sh\Desktop\ISTPaper\data\opc-sensor-point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6163" cy="3623824"/>
                    </a:xfrm>
                    <a:prstGeom prst="rect">
                      <a:avLst/>
                    </a:prstGeom>
                    <a:noFill/>
                    <a:ln>
                      <a:noFill/>
                    </a:ln>
                  </pic:spPr>
                </pic:pic>
              </a:graphicData>
            </a:graphic>
          </wp:inline>
        </w:drawing>
      </w:r>
    </w:p>
    <w:p w:rsidR="00E90C94" w:rsidRPr="00CB478E" w:rsidRDefault="0050200B" w:rsidP="0050200B">
      <w:pPr>
        <w:pBdr>
          <w:top w:val="nil"/>
          <w:left w:val="nil"/>
          <w:bottom w:val="nil"/>
          <w:right w:val="nil"/>
          <w:between w:val="nil"/>
        </w:pBdr>
        <w:spacing w:after="200"/>
        <w:jc w:val="center"/>
        <w:outlineLvl w:val="0"/>
        <w:rPr>
          <w:rFonts w:ascii="Times New Roman" w:eastAsia="Times New Roman" w:hAnsi="Times New Roman" w:cs="Times New Roman"/>
        </w:rPr>
      </w:pPr>
      <w:r>
        <w:rPr>
          <w:rFonts w:ascii="Times New Roman" w:eastAsia="Times New Roman" w:hAnsi="Times New Roman" w:cs="Times New Roman"/>
          <w:b/>
        </w:rPr>
        <w:t>Figure:</w:t>
      </w:r>
      <w:r w:rsidR="00E90C94" w:rsidRPr="00CB478E">
        <w:rPr>
          <w:rFonts w:ascii="Times New Roman" w:eastAsia="Times New Roman" w:hAnsi="Times New Roman" w:cs="Times New Roman"/>
        </w:rPr>
        <w:t xml:space="preserve"> Tes</w:t>
      </w:r>
      <w:r>
        <w:rPr>
          <w:rFonts w:ascii="Times New Roman" w:eastAsia="Times New Roman" w:hAnsi="Times New Roman" w:cs="Times New Roman"/>
        </w:rPr>
        <w:t>t Points Geographical Locations/Distances from the Gateways and the obtained RSSs</w:t>
      </w:r>
    </w:p>
    <w:p w:rsidR="00652881" w:rsidRDefault="00652881" w:rsidP="00E90C94">
      <w:pPr>
        <w:pBdr>
          <w:top w:val="nil"/>
          <w:left w:val="nil"/>
          <w:bottom w:val="nil"/>
          <w:right w:val="nil"/>
          <w:between w:val="nil"/>
        </w:pBdr>
        <w:jc w:val="both"/>
        <w:outlineLvl w:val="0"/>
        <w:rPr>
          <w:rFonts w:ascii="Times New Roman" w:eastAsia="Times New Roman" w:hAnsi="Times New Roman" w:cs="Times New Roman"/>
          <w:b/>
        </w:rPr>
      </w:pPr>
      <w:bookmarkStart w:id="0" w:name="_heading=h.gjdgxs" w:colFirst="0" w:colLast="0"/>
      <w:bookmarkEnd w:id="0"/>
    </w:p>
    <w:p w:rsidR="00E90C94" w:rsidRPr="00CB478E" w:rsidRDefault="00E90C94" w:rsidP="00E90C94">
      <w:pPr>
        <w:pBdr>
          <w:top w:val="nil"/>
          <w:left w:val="nil"/>
          <w:bottom w:val="nil"/>
          <w:right w:val="nil"/>
          <w:between w:val="nil"/>
        </w:pBdr>
        <w:jc w:val="both"/>
        <w:outlineLvl w:val="0"/>
        <w:rPr>
          <w:rFonts w:ascii="Times New Roman" w:eastAsia="Times New Roman" w:hAnsi="Times New Roman" w:cs="Times New Roman"/>
          <w:b/>
        </w:rPr>
      </w:pPr>
      <w:r w:rsidRPr="00CB478E">
        <w:rPr>
          <w:rFonts w:ascii="Times New Roman" w:eastAsia="Times New Roman" w:hAnsi="Times New Roman" w:cs="Times New Roman"/>
          <w:b/>
        </w:rPr>
        <w:t>The Received Signal Strength Indication (RSSI)</w:t>
      </w:r>
    </w:p>
    <w:p w:rsidR="00E90C94" w:rsidRPr="00CB478E" w:rsidRDefault="00E90C94" w:rsidP="00E90C94">
      <w:pPr>
        <w:pBdr>
          <w:top w:val="nil"/>
          <w:left w:val="nil"/>
          <w:bottom w:val="nil"/>
          <w:right w:val="nil"/>
          <w:between w:val="nil"/>
        </w:pBdr>
        <w:jc w:val="both"/>
        <w:outlineLvl w:val="0"/>
        <w:rPr>
          <w:rFonts w:ascii="Times New Roman" w:eastAsia="Times New Roman" w:hAnsi="Times New Roman" w:cs="Times New Roman"/>
        </w:rPr>
      </w:pPr>
      <w:r w:rsidRPr="00CB478E">
        <w:rPr>
          <w:rFonts w:ascii="Times New Roman" w:eastAsia="Times New Roman" w:hAnsi="Times New Roman" w:cs="Times New Roman"/>
        </w:rPr>
        <w:t>This refers to the signal power that is received in Milliwatts, and it is measured in dBm. How clear a receiver can “hear” from a sender can be measured using this value. Received signal strength indication, i.e., RSSI, is usually a negative value; hence, the signal is better when it is more positive (closer to 0). The value ranges</w:t>
      </w:r>
      <w:r w:rsidR="00C10DE3">
        <w:rPr>
          <w:rFonts w:ascii="Times New Roman" w:eastAsia="Times New Roman" w:hAnsi="Times New Roman" w:cs="Times New Roman"/>
        </w:rPr>
        <w:t xml:space="preserve"> of typical LoRa RSSI is -140</w:t>
      </w:r>
      <w:r w:rsidRPr="00CB478E">
        <w:rPr>
          <w:rFonts w:ascii="Times New Roman" w:eastAsia="Times New Roman" w:hAnsi="Times New Roman" w:cs="Times New Roman"/>
        </w:rPr>
        <w:t xml:space="preserve"> dBm to -30dBm.</w:t>
      </w:r>
    </w:p>
    <w:p w:rsidR="00E90C94" w:rsidRPr="00CB478E" w:rsidRDefault="00E90C94" w:rsidP="00652881">
      <w:pPr>
        <w:jc w:val="both"/>
        <w:outlineLvl w:val="0"/>
        <w:rPr>
          <w:rFonts w:ascii="Times New Roman" w:eastAsia="Times New Roman" w:hAnsi="Times New Roman" w:cs="Times New Roman"/>
          <w:i/>
          <w:sz w:val="24"/>
          <w:szCs w:val="24"/>
        </w:rPr>
      </w:pPr>
      <w:r w:rsidRPr="00CB478E">
        <w:rPr>
          <w:rFonts w:ascii="Times New Roman" w:eastAsia="Times New Roman" w:hAnsi="Times New Roman" w:cs="Times New Roman"/>
        </w:rPr>
        <w:t xml:space="preserve">For our experiments, </w:t>
      </w:r>
      <w:r>
        <w:rPr>
          <w:rFonts w:ascii="Times New Roman" w:eastAsia="Times New Roman" w:hAnsi="Times New Roman" w:cs="Times New Roman"/>
        </w:rPr>
        <w:t xml:space="preserve">we </w:t>
      </w:r>
      <w:r w:rsidRPr="00CB478E">
        <w:rPr>
          <w:rFonts w:ascii="Times New Roman" w:eastAsia="Times New Roman" w:hAnsi="Times New Roman" w:cs="Times New Roman"/>
        </w:rPr>
        <w:t>computed the mean RSSI</w:t>
      </w:r>
      <w:r w:rsidR="00AD0C67">
        <w:rPr>
          <w:rFonts w:ascii="Times New Roman" w:eastAsia="Times New Roman" w:hAnsi="Times New Roman" w:cs="Times New Roman"/>
        </w:rPr>
        <w:t xml:space="preserve"> for each of the 5 </w:t>
      </w:r>
      <w:r w:rsidRPr="00CB478E">
        <w:rPr>
          <w:rFonts w:ascii="Times New Roman" w:eastAsia="Times New Roman" w:hAnsi="Times New Roman" w:cs="Times New Roman"/>
        </w:rPr>
        <w:t xml:space="preserve">test locations that were used. </w:t>
      </w:r>
      <w:r w:rsidR="00C10DE3">
        <w:rPr>
          <w:rFonts w:ascii="Times New Roman" w:eastAsia="Times New Roman" w:hAnsi="Times New Roman" w:cs="Times New Roman"/>
        </w:rPr>
        <w:t xml:space="preserve"> At approximately 150m away from the gateway, the LORIX One gateway outperformed the Kerlink gateway by a margin of 10</w:t>
      </w:r>
      <w:r w:rsidRPr="00CB478E">
        <w:rPr>
          <w:rFonts w:ascii="Times New Roman" w:eastAsia="Times New Roman" w:hAnsi="Times New Roman" w:cs="Times New Roman"/>
        </w:rPr>
        <w:t>dBm</w:t>
      </w:r>
      <w:r w:rsidR="00C10DE3">
        <w:rPr>
          <w:rFonts w:ascii="Times New Roman" w:eastAsia="Times New Roman" w:hAnsi="Times New Roman" w:cs="Times New Roman"/>
        </w:rPr>
        <w:t xml:space="preserve"> as well as at the furthest distance (approximately 7.5km) by 13dBm</w:t>
      </w:r>
      <w:r w:rsidRPr="00CB478E">
        <w:rPr>
          <w:rFonts w:ascii="Times New Roman" w:eastAsia="Times New Roman" w:hAnsi="Times New Roman" w:cs="Times New Roman"/>
        </w:rPr>
        <w:t xml:space="preserve"> dBm. The best strength was realized at </w:t>
      </w:r>
      <w:r w:rsidR="00C10DE3">
        <w:rPr>
          <w:rFonts w:ascii="Times New Roman" w:eastAsia="Times New Roman" w:hAnsi="Times New Roman" w:cs="Times New Roman"/>
        </w:rPr>
        <w:t>the nearest test location</w:t>
      </w:r>
      <w:r w:rsidRPr="00CB478E">
        <w:rPr>
          <w:rFonts w:ascii="Times New Roman" w:eastAsia="Times New Roman" w:hAnsi="Times New Roman" w:cs="Times New Roman"/>
        </w:rPr>
        <w:t xml:space="preserve"> while it notable that this value decrease (worsens) as we moved to test locations far away from the gateway, as depicted by </w:t>
      </w:r>
      <w:r w:rsidR="00C10DE3">
        <w:rPr>
          <w:rFonts w:ascii="Times New Roman" w:eastAsia="Times New Roman" w:hAnsi="Times New Roman" w:cs="Times New Roman"/>
          <w:b/>
        </w:rPr>
        <w:t>Table 2</w:t>
      </w:r>
      <w:r w:rsidRPr="00CB478E">
        <w:rPr>
          <w:rFonts w:ascii="Times New Roman" w:eastAsia="Times New Roman" w:hAnsi="Times New Roman" w:cs="Times New Roman"/>
          <w:b/>
        </w:rPr>
        <w:t xml:space="preserve">. </w:t>
      </w:r>
      <w:r w:rsidR="00C10DE3">
        <w:rPr>
          <w:rFonts w:ascii="Times New Roman" w:eastAsia="Times New Roman" w:hAnsi="Times New Roman" w:cs="Times New Roman"/>
        </w:rPr>
        <w:t xml:space="preserve">  </w:t>
      </w:r>
      <w:r w:rsidRPr="00CB478E">
        <w:rPr>
          <w:rFonts w:ascii="Times New Roman" w:hAnsi="Times New Roman" w:cs="Times New Roman"/>
          <w:b/>
          <w:sz w:val="24"/>
          <w:szCs w:val="24"/>
        </w:rPr>
        <w:t xml:space="preserve">Table </w:t>
      </w:r>
      <w:r w:rsidR="00C10DE3">
        <w:rPr>
          <w:rFonts w:ascii="Times New Roman" w:hAnsi="Times New Roman" w:cs="Times New Roman"/>
          <w:b/>
          <w:i/>
          <w:sz w:val="24"/>
          <w:szCs w:val="24"/>
        </w:rPr>
        <w:t>2</w:t>
      </w:r>
      <w:r w:rsidRPr="00CB478E">
        <w:rPr>
          <w:rFonts w:ascii="Times New Roman" w:hAnsi="Times New Roman" w:cs="Times New Roman"/>
          <w:b/>
          <w:sz w:val="24"/>
          <w:szCs w:val="24"/>
        </w:rPr>
        <w:t xml:space="preserve">: </w:t>
      </w:r>
      <w:r w:rsidRPr="00CB478E">
        <w:rPr>
          <w:rFonts w:ascii="Times New Roman" w:hAnsi="Times New Roman" w:cs="Times New Roman"/>
          <w:sz w:val="24"/>
          <w:szCs w:val="24"/>
        </w:rPr>
        <w:t>The</w:t>
      </w:r>
      <w:r w:rsidR="00AD0C67">
        <w:rPr>
          <w:rFonts w:ascii="Times New Roman" w:hAnsi="Times New Roman" w:cs="Times New Roman"/>
          <w:i/>
          <w:sz w:val="24"/>
          <w:szCs w:val="24"/>
        </w:rPr>
        <w:t xml:space="preserve"> Mean RSSI (in dBm) for the Five (5</w:t>
      </w:r>
      <w:r w:rsidRPr="00CB478E">
        <w:rPr>
          <w:rFonts w:ascii="Times New Roman" w:hAnsi="Times New Roman" w:cs="Times New Roman"/>
          <w:sz w:val="24"/>
          <w:szCs w:val="24"/>
        </w:rPr>
        <w:t>) Test Locations</w:t>
      </w:r>
      <w:r w:rsidR="00C10DE3">
        <w:rPr>
          <w:rFonts w:ascii="Times New Roman" w:hAnsi="Times New Roman" w:cs="Times New Roman"/>
          <w:i/>
          <w:sz w:val="24"/>
          <w:szCs w:val="24"/>
        </w:rPr>
        <w:t xml:space="preserve"> for each Gateway</w:t>
      </w:r>
    </w:p>
    <w:tbl>
      <w:tblPr>
        <w:tblStyle w:val="TableGrid"/>
        <w:tblW w:w="0" w:type="auto"/>
        <w:jc w:val="center"/>
        <w:tblLook w:val="04A0" w:firstRow="1" w:lastRow="0" w:firstColumn="1" w:lastColumn="0" w:noHBand="0" w:noVBand="1"/>
      </w:tblPr>
      <w:tblGrid>
        <w:gridCol w:w="504"/>
        <w:gridCol w:w="1958"/>
        <w:gridCol w:w="1875"/>
        <w:gridCol w:w="1958"/>
        <w:gridCol w:w="1875"/>
      </w:tblGrid>
      <w:tr w:rsidR="00430AA0" w:rsidTr="00430AA0">
        <w:trPr>
          <w:jc w:val="center"/>
        </w:trPr>
        <w:tc>
          <w:tcPr>
            <w:tcW w:w="504" w:type="dxa"/>
            <w:vMerge w:val="restart"/>
          </w:tcPr>
          <w:p w:rsidR="00430AA0" w:rsidRPr="00AD0C67" w:rsidRDefault="00430AA0" w:rsidP="00AD0C67">
            <w:pPr>
              <w:jc w:val="center"/>
              <w:outlineLvl w:val="0"/>
              <w:rPr>
                <w:rFonts w:ascii="Times New Roman" w:eastAsia="Times New Roman" w:hAnsi="Times New Roman" w:cs="Times New Roman"/>
                <w:b/>
              </w:rPr>
            </w:pPr>
          </w:p>
        </w:tc>
        <w:tc>
          <w:tcPr>
            <w:tcW w:w="3833" w:type="dxa"/>
            <w:gridSpan w:val="2"/>
          </w:tcPr>
          <w:p w:rsidR="00430AA0" w:rsidRPr="00AD0C67" w:rsidRDefault="00430AA0" w:rsidP="00AD0C67">
            <w:pPr>
              <w:jc w:val="center"/>
              <w:outlineLvl w:val="0"/>
              <w:rPr>
                <w:rFonts w:ascii="Times New Roman" w:eastAsia="Times New Roman" w:hAnsi="Times New Roman" w:cs="Times New Roman"/>
                <w:b/>
              </w:rPr>
            </w:pPr>
            <w:r w:rsidRPr="00AD0C67">
              <w:rPr>
                <w:rFonts w:ascii="Times New Roman" w:eastAsia="Times New Roman" w:hAnsi="Times New Roman" w:cs="Times New Roman"/>
                <w:b/>
              </w:rPr>
              <w:t>LORIX One Gateway</w:t>
            </w:r>
          </w:p>
        </w:tc>
        <w:tc>
          <w:tcPr>
            <w:tcW w:w="3833" w:type="dxa"/>
            <w:gridSpan w:val="2"/>
          </w:tcPr>
          <w:p w:rsidR="00430AA0" w:rsidRPr="00AD0C67" w:rsidRDefault="00430AA0" w:rsidP="00AD0C67">
            <w:pPr>
              <w:jc w:val="center"/>
              <w:outlineLvl w:val="0"/>
              <w:rPr>
                <w:rFonts w:ascii="Times New Roman" w:eastAsia="Times New Roman" w:hAnsi="Times New Roman" w:cs="Times New Roman"/>
                <w:b/>
              </w:rPr>
            </w:pPr>
            <w:r w:rsidRPr="00AD0C67">
              <w:rPr>
                <w:rFonts w:ascii="Times New Roman" w:eastAsia="Times New Roman" w:hAnsi="Times New Roman" w:cs="Times New Roman"/>
                <w:b/>
              </w:rPr>
              <w:t>Kerlink LoRa Gateway</w:t>
            </w:r>
          </w:p>
        </w:tc>
      </w:tr>
      <w:tr w:rsidR="00430AA0" w:rsidTr="00430AA0">
        <w:trPr>
          <w:jc w:val="center"/>
        </w:trPr>
        <w:tc>
          <w:tcPr>
            <w:tcW w:w="504" w:type="dxa"/>
            <w:vMerge/>
          </w:tcPr>
          <w:p w:rsidR="00430AA0" w:rsidRPr="00AD0C67" w:rsidRDefault="00430AA0" w:rsidP="00AD0C67">
            <w:pPr>
              <w:jc w:val="center"/>
              <w:outlineLvl w:val="0"/>
              <w:rPr>
                <w:rFonts w:ascii="Times New Roman" w:eastAsia="Times New Roman" w:hAnsi="Times New Roman" w:cs="Times New Roman"/>
                <w:b/>
              </w:rPr>
            </w:pPr>
          </w:p>
        </w:tc>
        <w:tc>
          <w:tcPr>
            <w:tcW w:w="1958" w:type="dxa"/>
          </w:tcPr>
          <w:p w:rsidR="00430AA0" w:rsidRPr="00AD0C67" w:rsidRDefault="00430AA0" w:rsidP="00AD0C67">
            <w:pPr>
              <w:jc w:val="center"/>
              <w:outlineLvl w:val="0"/>
              <w:rPr>
                <w:rFonts w:ascii="Times New Roman" w:eastAsia="Times New Roman" w:hAnsi="Times New Roman" w:cs="Times New Roman"/>
                <w:b/>
              </w:rPr>
            </w:pPr>
            <w:r w:rsidRPr="00AD0C67">
              <w:rPr>
                <w:rFonts w:ascii="Times New Roman" w:eastAsia="Times New Roman" w:hAnsi="Times New Roman" w:cs="Times New Roman"/>
                <w:b/>
              </w:rPr>
              <w:t>Distance</w:t>
            </w:r>
            <w:r>
              <w:rPr>
                <w:rFonts w:ascii="Times New Roman" w:eastAsia="Times New Roman" w:hAnsi="Times New Roman" w:cs="Times New Roman"/>
                <w:b/>
              </w:rPr>
              <w:t>(km)</w:t>
            </w:r>
          </w:p>
        </w:tc>
        <w:tc>
          <w:tcPr>
            <w:tcW w:w="1875" w:type="dxa"/>
          </w:tcPr>
          <w:p w:rsidR="00430AA0" w:rsidRPr="00AD0C67" w:rsidRDefault="00430AA0" w:rsidP="00AD0C67">
            <w:pPr>
              <w:jc w:val="center"/>
              <w:outlineLvl w:val="0"/>
              <w:rPr>
                <w:rFonts w:ascii="Times New Roman" w:eastAsia="Times New Roman" w:hAnsi="Times New Roman" w:cs="Times New Roman"/>
                <w:b/>
              </w:rPr>
            </w:pPr>
            <w:r w:rsidRPr="00AD0C67">
              <w:rPr>
                <w:rFonts w:ascii="Times New Roman" w:eastAsia="Times New Roman" w:hAnsi="Times New Roman" w:cs="Times New Roman"/>
                <w:b/>
              </w:rPr>
              <w:t>RSSI</w:t>
            </w:r>
            <w:r>
              <w:rPr>
                <w:rFonts w:ascii="Times New Roman" w:eastAsia="Times New Roman" w:hAnsi="Times New Roman" w:cs="Times New Roman"/>
                <w:b/>
              </w:rPr>
              <w:t>(dBm)</w:t>
            </w:r>
          </w:p>
        </w:tc>
        <w:tc>
          <w:tcPr>
            <w:tcW w:w="1958" w:type="dxa"/>
          </w:tcPr>
          <w:p w:rsidR="00430AA0" w:rsidRPr="00AD0C67" w:rsidRDefault="00430AA0" w:rsidP="00AD0C67">
            <w:pPr>
              <w:jc w:val="center"/>
              <w:outlineLvl w:val="0"/>
              <w:rPr>
                <w:rFonts w:ascii="Times New Roman" w:eastAsia="Times New Roman" w:hAnsi="Times New Roman" w:cs="Times New Roman"/>
                <w:b/>
              </w:rPr>
            </w:pPr>
            <w:r w:rsidRPr="00AD0C67">
              <w:rPr>
                <w:rFonts w:ascii="Times New Roman" w:eastAsia="Times New Roman" w:hAnsi="Times New Roman" w:cs="Times New Roman"/>
                <w:b/>
              </w:rPr>
              <w:t>Distance</w:t>
            </w:r>
            <w:r>
              <w:rPr>
                <w:rFonts w:ascii="Times New Roman" w:eastAsia="Times New Roman" w:hAnsi="Times New Roman" w:cs="Times New Roman"/>
                <w:b/>
              </w:rPr>
              <w:t>(km)</w:t>
            </w:r>
          </w:p>
        </w:tc>
        <w:tc>
          <w:tcPr>
            <w:tcW w:w="1875" w:type="dxa"/>
          </w:tcPr>
          <w:p w:rsidR="00430AA0" w:rsidRPr="00AD0C67" w:rsidRDefault="00430AA0" w:rsidP="00AD0C67">
            <w:pPr>
              <w:jc w:val="center"/>
              <w:outlineLvl w:val="0"/>
              <w:rPr>
                <w:rFonts w:ascii="Times New Roman" w:eastAsia="Times New Roman" w:hAnsi="Times New Roman" w:cs="Times New Roman"/>
                <w:b/>
              </w:rPr>
            </w:pPr>
            <w:r w:rsidRPr="00AD0C67">
              <w:rPr>
                <w:rFonts w:ascii="Times New Roman" w:eastAsia="Times New Roman" w:hAnsi="Times New Roman" w:cs="Times New Roman"/>
                <w:b/>
              </w:rPr>
              <w:t>RSSI</w:t>
            </w:r>
            <w:r>
              <w:rPr>
                <w:rFonts w:ascii="Times New Roman" w:eastAsia="Times New Roman" w:hAnsi="Times New Roman" w:cs="Times New Roman"/>
                <w:b/>
              </w:rPr>
              <w:t>(dBm)</w:t>
            </w:r>
          </w:p>
        </w:tc>
      </w:tr>
      <w:tr w:rsidR="00430AA0" w:rsidTr="00430AA0">
        <w:trPr>
          <w:jc w:val="center"/>
        </w:trPr>
        <w:tc>
          <w:tcPr>
            <w:tcW w:w="504" w:type="dxa"/>
          </w:tcPr>
          <w:p w:rsidR="00430AA0" w:rsidRPr="00430AA0" w:rsidRDefault="00430AA0" w:rsidP="00C10DE3">
            <w:pPr>
              <w:tabs>
                <w:tab w:val="left" w:pos="1020"/>
              </w:tabs>
              <w:jc w:val="center"/>
              <w:outlineLvl w:val="0"/>
              <w:rPr>
                <w:rFonts w:ascii="Times New Roman" w:eastAsia="Times New Roman" w:hAnsi="Times New Roman" w:cs="Times New Roman"/>
                <w:b/>
              </w:rPr>
            </w:pPr>
            <w:r w:rsidRPr="00430AA0">
              <w:rPr>
                <w:rFonts w:ascii="Times New Roman" w:eastAsia="Times New Roman" w:hAnsi="Times New Roman" w:cs="Times New Roman"/>
                <w:b/>
              </w:rPr>
              <w:t>1</w:t>
            </w:r>
          </w:p>
        </w:tc>
        <w:tc>
          <w:tcPr>
            <w:tcW w:w="1958" w:type="dxa"/>
          </w:tcPr>
          <w:p w:rsidR="00430AA0" w:rsidRDefault="00430AA0" w:rsidP="00C10DE3">
            <w:pPr>
              <w:tabs>
                <w:tab w:val="left" w:pos="1020"/>
              </w:tabs>
              <w:jc w:val="center"/>
              <w:outlineLvl w:val="0"/>
              <w:rPr>
                <w:rFonts w:ascii="Times New Roman" w:eastAsia="Times New Roman" w:hAnsi="Times New Roman" w:cs="Times New Roman"/>
              </w:rPr>
            </w:pPr>
            <w:r>
              <w:rPr>
                <w:rFonts w:ascii="Times New Roman" w:eastAsia="Times New Roman" w:hAnsi="Times New Roman" w:cs="Times New Roman"/>
              </w:rPr>
              <w:t>0.152</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-78.75</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0.160</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-89.24</w:t>
            </w:r>
          </w:p>
        </w:tc>
      </w:tr>
      <w:tr w:rsidR="00430AA0" w:rsidTr="00430AA0">
        <w:trPr>
          <w:jc w:val="center"/>
        </w:trPr>
        <w:tc>
          <w:tcPr>
            <w:tcW w:w="504" w:type="dxa"/>
          </w:tcPr>
          <w:p w:rsidR="00430AA0" w:rsidRPr="00430AA0" w:rsidRDefault="00430AA0" w:rsidP="00C10DE3">
            <w:pPr>
              <w:jc w:val="center"/>
              <w:outlineLvl w:val="0"/>
              <w:rPr>
                <w:rFonts w:ascii="Times New Roman" w:eastAsia="Times New Roman" w:hAnsi="Times New Roman" w:cs="Times New Roman"/>
                <w:b/>
              </w:rPr>
            </w:pPr>
            <w:r w:rsidRPr="00430AA0">
              <w:rPr>
                <w:rFonts w:ascii="Times New Roman" w:eastAsia="Times New Roman" w:hAnsi="Times New Roman" w:cs="Times New Roman"/>
                <w:b/>
              </w:rPr>
              <w:t>2</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0.442</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-91.57</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0.436</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-93.44</w:t>
            </w:r>
          </w:p>
        </w:tc>
      </w:tr>
      <w:tr w:rsidR="00430AA0" w:rsidTr="00430AA0">
        <w:trPr>
          <w:jc w:val="center"/>
        </w:trPr>
        <w:tc>
          <w:tcPr>
            <w:tcW w:w="504" w:type="dxa"/>
          </w:tcPr>
          <w:p w:rsidR="00430AA0" w:rsidRPr="00430AA0" w:rsidRDefault="00430AA0" w:rsidP="00C10DE3">
            <w:pPr>
              <w:jc w:val="center"/>
              <w:outlineLvl w:val="0"/>
              <w:rPr>
                <w:rFonts w:ascii="Times New Roman" w:eastAsia="Times New Roman" w:hAnsi="Times New Roman" w:cs="Times New Roman"/>
                <w:b/>
              </w:rPr>
            </w:pPr>
            <w:r w:rsidRPr="00430AA0">
              <w:rPr>
                <w:rFonts w:ascii="Times New Roman" w:eastAsia="Times New Roman" w:hAnsi="Times New Roman" w:cs="Times New Roman"/>
                <w:b/>
              </w:rPr>
              <w:t>3</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0.560</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-102.72</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0.567</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-110.32</w:t>
            </w:r>
          </w:p>
        </w:tc>
      </w:tr>
      <w:tr w:rsidR="00430AA0" w:rsidTr="00430AA0">
        <w:trPr>
          <w:jc w:val="center"/>
        </w:trPr>
        <w:tc>
          <w:tcPr>
            <w:tcW w:w="504" w:type="dxa"/>
          </w:tcPr>
          <w:p w:rsidR="00430AA0" w:rsidRPr="00430AA0" w:rsidRDefault="00430AA0" w:rsidP="00C10DE3">
            <w:pPr>
              <w:jc w:val="center"/>
              <w:outlineLvl w:val="0"/>
              <w:rPr>
                <w:rFonts w:ascii="Times New Roman" w:eastAsia="Times New Roman" w:hAnsi="Times New Roman" w:cs="Times New Roman"/>
                <w:b/>
              </w:rPr>
            </w:pPr>
            <w:r w:rsidRPr="00430AA0">
              <w:rPr>
                <w:rFonts w:ascii="Times New Roman" w:eastAsia="Times New Roman" w:hAnsi="Times New Roman" w:cs="Times New Roman"/>
                <w:b/>
              </w:rPr>
              <w:t>4</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1.272</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-109.74</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1.273</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-101.01</w:t>
            </w:r>
          </w:p>
        </w:tc>
      </w:tr>
      <w:tr w:rsidR="00430AA0" w:rsidTr="00430AA0">
        <w:trPr>
          <w:jc w:val="center"/>
        </w:trPr>
        <w:tc>
          <w:tcPr>
            <w:tcW w:w="504" w:type="dxa"/>
          </w:tcPr>
          <w:p w:rsidR="00430AA0" w:rsidRPr="00430AA0" w:rsidRDefault="00430AA0" w:rsidP="00C10DE3">
            <w:pPr>
              <w:jc w:val="center"/>
              <w:outlineLvl w:val="0"/>
              <w:rPr>
                <w:rFonts w:ascii="Times New Roman" w:eastAsia="Times New Roman" w:hAnsi="Times New Roman" w:cs="Times New Roman"/>
                <w:b/>
              </w:rPr>
            </w:pPr>
            <w:r w:rsidRPr="00430AA0">
              <w:rPr>
                <w:rFonts w:ascii="Times New Roman" w:eastAsia="Times New Roman" w:hAnsi="Times New Roman" w:cs="Times New Roman"/>
                <w:b/>
              </w:rPr>
              <w:t>5</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7.557</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-104.49</w:t>
            </w:r>
          </w:p>
        </w:tc>
        <w:tc>
          <w:tcPr>
            <w:tcW w:w="1958"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7.562</w:t>
            </w:r>
          </w:p>
        </w:tc>
        <w:tc>
          <w:tcPr>
            <w:tcW w:w="1875" w:type="dxa"/>
          </w:tcPr>
          <w:p w:rsidR="00430AA0" w:rsidRDefault="00430AA0" w:rsidP="00C10DE3">
            <w:pPr>
              <w:jc w:val="center"/>
              <w:outlineLvl w:val="0"/>
              <w:rPr>
                <w:rFonts w:ascii="Times New Roman" w:eastAsia="Times New Roman" w:hAnsi="Times New Roman" w:cs="Times New Roman"/>
              </w:rPr>
            </w:pPr>
            <w:r>
              <w:rPr>
                <w:rFonts w:ascii="Times New Roman" w:eastAsia="Times New Roman" w:hAnsi="Times New Roman" w:cs="Times New Roman"/>
              </w:rPr>
              <w:t>-117.78</w:t>
            </w:r>
          </w:p>
        </w:tc>
      </w:tr>
    </w:tbl>
    <w:p w:rsidR="00E90C94" w:rsidRDefault="00E90C94"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Pr="00CB478E" w:rsidRDefault="00652881" w:rsidP="00E90C94">
      <w:pPr>
        <w:jc w:val="both"/>
        <w:outlineLvl w:val="0"/>
        <w:rPr>
          <w:rFonts w:ascii="Times New Roman" w:eastAsia="Times New Roman" w:hAnsi="Times New Roman" w:cs="Times New Roman"/>
        </w:rPr>
      </w:pPr>
    </w:p>
    <w:p w:rsidR="00E90C94" w:rsidRDefault="00E90C94" w:rsidP="00E90C94">
      <w:pPr>
        <w:jc w:val="both"/>
        <w:outlineLvl w:val="0"/>
        <w:rPr>
          <w:rFonts w:ascii="Times New Roman" w:eastAsia="Times New Roman" w:hAnsi="Times New Roman" w:cs="Times New Roman"/>
        </w:rPr>
      </w:pPr>
    </w:p>
    <w:p w:rsidR="00652881" w:rsidRPr="00CB478E" w:rsidRDefault="00652881" w:rsidP="00652881">
      <w:pPr>
        <w:jc w:val="center"/>
        <w:outlineLvl w:val="0"/>
        <w:rPr>
          <w:rFonts w:ascii="Times New Roman" w:eastAsia="Times New Roman" w:hAnsi="Times New Roman" w:cs="Times New Roman"/>
        </w:rPr>
      </w:pPr>
      <w:r w:rsidRPr="00652881">
        <w:rPr>
          <w:rFonts w:ascii="Times New Roman" w:eastAsia="Times New Roman" w:hAnsi="Times New Roman" w:cs="Times New Roman"/>
          <w:noProof/>
        </w:rPr>
        <w:drawing>
          <wp:inline distT="0" distB="0" distL="0" distR="0" wp14:anchorId="1ED0BDF8" wp14:editId="49149089">
            <wp:extent cx="5486400" cy="3657600"/>
            <wp:effectExtent l="0" t="0" r="0" b="0"/>
            <wp:docPr id="4" name="Picture 4" descr="C:\Users\nahsh\Desktop\ISTPaper\data\box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sh\Desktop\ISTPaper\data\boxcomp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52881" w:rsidRPr="00CB478E" w:rsidRDefault="00652881" w:rsidP="00652881">
      <w:pPr>
        <w:pBdr>
          <w:top w:val="nil"/>
          <w:left w:val="nil"/>
          <w:bottom w:val="nil"/>
          <w:right w:val="nil"/>
          <w:between w:val="nil"/>
        </w:pBdr>
        <w:spacing w:after="200"/>
        <w:jc w:val="center"/>
        <w:outlineLvl w:val="0"/>
        <w:rPr>
          <w:rFonts w:ascii="Times New Roman" w:eastAsia="Times New Roman" w:hAnsi="Times New Roman" w:cs="Times New Roman"/>
        </w:rPr>
      </w:pPr>
      <w:proofErr w:type="gramStart"/>
      <w:r w:rsidRPr="00CB478E">
        <w:rPr>
          <w:rFonts w:ascii="Times New Roman" w:eastAsia="Times New Roman" w:hAnsi="Times New Roman" w:cs="Times New Roman"/>
          <w:b/>
        </w:rPr>
        <w:t xml:space="preserve">Figure </w:t>
      </w:r>
      <w:r w:rsidRPr="00CB478E">
        <w:rPr>
          <w:rFonts w:ascii="Times New Roman" w:eastAsia="Times New Roman" w:hAnsi="Times New Roman" w:cs="Times New Roman"/>
        </w:rPr>
        <w:t>:</w:t>
      </w:r>
      <w:proofErr w:type="gramEnd"/>
      <w:r w:rsidRPr="00CB478E">
        <w:rPr>
          <w:rFonts w:ascii="Times New Roman" w:eastAsia="Times New Roman" w:hAnsi="Times New Roman" w:cs="Times New Roman"/>
        </w:rPr>
        <w:t xml:space="preserve"> The Received Strength Whisker and Box Plots for the 10 Test Locations.</w:t>
      </w:r>
    </w:p>
    <w:p w:rsidR="00E90C94" w:rsidRDefault="00E90C94" w:rsidP="00E90C94">
      <w:pPr>
        <w:jc w:val="both"/>
        <w:outlineLvl w:val="0"/>
        <w:rPr>
          <w:rFonts w:ascii="Times New Roman" w:eastAsia="Times New Roman" w:hAnsi="Times New Roman" w:cs="Times New Roman"/>
        </w:rPr>
      </w:pPr>
      <w:r w:rsidRPr="00CB478E">
        <w:rPr>
          <w:rFonts w:ascii="Times New Roman" w:eastAsia="Times New Roman" w:hAnsi="Times New Roman" w:cs="Times New Roman"/>
        </w:rPr>
        <w:t xml:space="preserve">The Whisker and Box Plots in </w:t>
      </w:r>
      <w:proofErr w:type="gramStart"/>
      <w:r w:rsidR="00652881">
        <w:rPr>
          <w:rFonts w:ascii="Times New Roman" w:eastAsia="Times New Roman" w:hAnsi="Times New Roman" w:cs="Times New Roman"/>
          <w:b/>
        </w:rPr>
        <w:t xml:space="preserve">Figure </w:t>
      </w:r>
      <w:r w:rsidRPr="00CB478E">
        <w:rPr>
          <w:rFonts w:ascii="Times New Roman" w:eastAsia="Times New Roman" w:hAnsi="Times New Roman" w:cs="Times New Roman"/>
        </w:rPr>
        <w:t xml:space="preserve"> provides</w:t>
      </w:r>
      <w:proofErr w:type="gramEnd"/>
      <w:r w:rsidRPr="00CB478E">
        <w:rPr>
          <w:rFonts w:ascii="Times New Roman" w:eastAsia="Times New Roman" w:hAnsi="Times New Roman" w:cs="Times New Roman"/>
        </w:rPr>
        <w:t xml:space="preserve"> a quick graphical examination of the RSSI for each of </w:t>
      </w:r>
      <w:r w:rsidR="00652881">
        <w:rPr>
          <w:rFonts w:ascii="Times New Roman" w:eastAsia="Times New Roman" w:hAnsi="Times New Roman" w:cs="Times New Roman"/>
        </w:rPr>
        <w:t xml:space="preserve">five(5) test </w:t>
      </w:r>
      <w:r w:rsidR="00C10DE3">
        <w:rPr>
          <w:rFonts w:ascii="Times New Roman" w:eastAsia="Times New Roman" w:hAnsi="Times New Roman" w:cs="Times New Roman"/>
        </w:rPr>
        <w:t>location</w:t>
      </w:r>
      <w:r w:rsidRPr="00CB478E">
        <w:rPr>
          <w:rFonts w:ascii="Times New Roman" w:eastAsia="Times New Roman" w:hAnsi="Times New Roman" w:cs="Times New Roman"/>
        </w:rPr>
        <w:t>s</w:t>
      </w:r>
      <w:r w:rsidR="00C10DE3">
        <w:rPr>
          <w:rFonts w:ascii="Times New Roman" w:eastAsia="Times New Roman" w:hAnsi="Times New Roman" w:cs="Times New Roman"/>
        </w:rPr>
        <w:t xml:space="preserve"> for each gateway</w:t>
      </w:r>
      <w:r w:rsidRPr="00CB478E">
        <w:rPr>
          <w:rFonts w:ascii="Times New Roman" w:eastAsia="Times New Roman" w:hAnsi="Times New Roman" w:cs="Times New Roman"/>
        </w:rPr>
        <w:t>. Outlier RSSIs were</w:t>
      </w:r>
      <w:r w:rsidR="00652881">
        <w:rPr>
          <w:rFonts w:ascii="Times New Roman" w:eastAsia="Times New Roman" w:hAnsi="Times New Roman" w:cs="Times New Roman"/>
        </w:rPr>
        <w:t xml:space="preserve"> highly realized in test location</w:t>
      </w:r>
      <w:r w:rsidRPr="00CB478E">
        <w:rPr>
          <w:rFonts w:ascii="Times New Roman" w:eastAsia="Times New Roman" w:hAnsi="Times New Roman" w:cs="Times New Roman"/>
        </w:rPr>
        <w:t xml:space="preserve"> </w:t>
      </w:r>
      <w:r w:rsidR="00652881">
        <w:rPr>
          <w:rFonts w:ascii="Times New Roman" w:eastAsia="Times New Roman" w:hAnsi="Times New Roman" w:cs="Times New Roman"/>
        </w:rPr>
        <w:t>2</w:t>
      </w:r>
      <w:r w:rsidRPr="00CB478E">
        <w:rPr>
          <w:rFonts w:ascii="Times New Roman" w:eastAsia="Times New Roman" w:hAnsi="Times New Roman" w:cs="Times New Roman"/>
        </w:rPr>
        <w:t xml:space="preserve"> and they are plotted as individual points</w:t>
      </w:r>
      <w:r w:rsidR="00652881">
        <w:rPr>
          <w:rFonts w:ascii="Times New Roman" w:eastAsia="Times New Roman" w:hAnsi="Times New Roman" w:cs="Times New Roman"/>
        </w:rPr>
        <w:t>, while none were realized at location 1 (nearest to the gateways).</w:t>
      </w:r>
      <w:r w:rsidRPr="00CB478E">
        <w:rPr>
          <w:rFonts w:ascii="Times New Roman" w:eastAsia="Times New Roman" w:hAnsi="Times New Roman" w:cs="Times New Roman"/>
        </w:rPr>
        <w:t xml:space="preserve"> </w:t>
      </w:r>
      <w:r w:rsidR="00652881">
        <w:rPr>
          <w:rFonts w:ascii="Times New Roman" w:eastAsia="Times New Roman" w:hAnsi="Times New Roman" w:cs="Times New Roman"/>
        </w:rPr>
        <w:t xml:space="preserve">However, location 1 depicts the </w:t>
      </w:r>
      <w:r w:rsidRPr="00CB478E">
        <w:rPr>
          <w:rFonts w:ascii="Times New Roman" w:eastAsia="Times New Roman" w:hAnsi="Times New Roman" w:cs="Times New Roman"/>
        </w:rPr>
        <w:t>highest notable degree of dispersi</w:t>
      </w:r>
      <w:r w:rsidR="00652881">
        <w:rPr>
          <w:rFonts w:ascii="Times New Roman" w:eastAsia="Times New Roman" w:hAnsi="Times New Roman" w:cs="Times New Roman"/>
        </w:rPr>
        <w:t xml:space="preserve">on (spread) and skewness for both gateways. </w:t>
      </w:r>
      <w:r w:rsidRPr="00CB478E">
        <w:rPr>
          <w:rFonts w:ascii="Times New Roman" w:eastAsia="Times New Roman" w:hAnsi="Times New Roman" w:cs="Times New Roman"/>
        </w:rPr>
        <w:t xml:space="preserve">There is a </w:t>
      </w:r>
      <w:r>
        <w:rPr>
          <w:rFonts w:ascii="Times New Roman" w:eastAsia="Times New Roman" w:hAnsi="Times New Roman" w:cs="Times New Roman"/>
        </w:rPr>
        <w:t>general non-linear</w:t>
      </w:r>
      <w:r w:rsidRPr="00CB478E">
        <w:rPr>
          <w:rFonts w:ascii="Times New Roman" w:eastAsia="Times New Roman" w:hAnsi="Times New Roman" w:cs="Times New Roman"/>
        </w:rPr>
        <w:t xml:space="preserve"> variation of the median positions of the RSSI, </w:t>
      </w:r>
      <w:r>
        <w:rPr>
          <w:rFonts w:ascii="Times New Roman" w:eastAsia="Times New Roman" w:hAnsi="Times New Roman" w:cs="Times New Roman"/>
        </w:rPr>
        <w:t>usu</w:t>
      </w:r>
      <w:r w:rsidRPr="00CB478E">
        <w:rPr>
          <w:rFonts w:ascii="Times New Roman" w:eastAsia="Times New Roman" w:hAnsi="Times New Roman" w:cs="Times New Roman"/>
        </w:rPr>
        <w:t xml:space="preserve">ally determined by various parameters, which include free space </w:t>
      </w:r>
      <w:r w:rsidR="00652881">
        <w:rPr>
          <w:rFonts w:ascii="Times New Roman" w:eastAsia="Times New Roman" w:hAnsi="Times New Roman" w:cs="Times New Roman"/>
        </w:rPr>
        <w:t>loss</w:t>
      </w:r>
      <w:r w:rsidRPr="00CB478E">
        <w:rPr>
          <w:rFonts w:ascii="Times New Roman" w:eastAsia="Times New Roman" w:hAnsi="Times New Roman" w:cs="Times New Roman"/>
        </w:rPr>
        <w:t>, shadowing, reflection and transmission, diffraction</w:t>
      </w:r>
      <w:r>
        <w:rPr>
          <w:rFonts w:ascii="Times New Roman" w:eastAsia="Times New Roman" w:hAnsi="Times New Roman" w:cs="Times New Roman"/>
        </w:rPr>
        <w:t>,</w:t>
      </w:r>
      <w:r w:rsidRPr="00CB478E">
        <w:rPr>
          <w:rFonts w:ascii="Times New Roman" w:eastAsia="Times New Roman" w:hAnsi="Times New Roman" w:cs="Times New Roman"/>
        </w:rPr>
        <w:t xml:space="preserve"> amo</w:t>
      </w:r>
      <w:r w:rsidR="00652881">
        <w:rPr>
          <w:rFonts w:ascii="Times New Roman" w:eastAsia="Times New Roman" w:hAnsi="Times New Roman" w:cs="Times New Roman"/>
        </w:rPr>
        <w:t>ng others.</w:t>
      </w:r>
    </w:p>
    <w:p w:rsidR="00E90C94" w:rsidRDefault="00E90C94" w:rsidP="00E90C94">
      <w:pPr>
        <w:jc w:val="both"/>
        <w:outlineLvl w:val="0"/>
        <w:rPr>
          <w:rFonts w:ascii="Times New Roman" w:eastAsia="Times New Roman" w:hAnsi="Times New Roman" w:cs="Times New Roman"/>
        </w:rPr>
      </w:pPr>
    </w:p>
    <w:p w:rsidR="00E90C94" w:rsidRDefault="00E90C94"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p w:rsidR="00652881" w:rsidRDefault="00652881" w:rsidP="00E90C94">
      <w:pPr>
        <w:jc w:val="both"/>
        <w:outlineLvl w:val="0"/>
        <w:rPr>
          <w:rFonts w:ascii="Times New Roman" w:eastAsia="Times New Roman" w:hAnsi="Times New Roman" w:cs="Times New Roman"/>
        </w:rPr>
      </w:pPr>
    </w:p>
    <w:bookmarkStart w:id="1" w:name="_heading=h.30j0zll" w:colFirst="0" w:colLast="0"/>
    <w:bookmarkEnd w:id="1"/>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C838C8">
        <w:rPr>
          <w:rFonts w:ascii="Times New Roman" w:hAnsi="Times New Roman" w:cs="Times New Roman"/>
          <w:noProof/>
          <w:sz w:val="24"/>
          <w:szCs w:val="24"/>
        </w:rPr>
        <w:t>[1]</w:t>
      </w:r>
      <w:r w:rsidRPr="00C838C8">
        <w:rPr>
          <w:rFonts w:ascii="Times New Roman" w:hAnsi="Times New Roman" w:cs="Times New Roman"/>
          <w:noProof/>
          <w:sz w:val="24"/>
          <w:szCs w:val="24"/>
        </w:rPr>
        <w:tab/>
        <w:t>Unesco, “Facts and Figures from the United Nations World Water Development Report 4,” p. 16, 2012.</w:t>
      </w:r>
      <w:bookmarkStart w:id="2" w:name="_GoBack"/>
      <w:bookmarkEnd w:id="2"/>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[2]</w:t>
      </w:r>
      <w:r w:rsidRPr="00C838C8">
        <w:rPr>
          <w:rFonts w:ascii="Times New Roman" w:hAnsi="Times New Roman" w:cs="Times New Roman"/>
          <w:noProof/>
          <w:sz w:val="24"/>
          <w:szCs w:val="24"/>
        </w:rPr>
        <w:tab/>
        <w:t xml:space="preserve">UNDESA, “The Millennium Development Goals Report 2005,” </w:t>
      </w:r>
      <w:r w:rsidRPr="00C838C8">
        <w:rPr>
          <w:rFonts w:ascii="Times New Roman" w:hAnsi="Times New Roman" w:cs="Times New Roman"/>
          <w:i/>
          <w:iCs/>
          <w:noProof/>
          <w:sz w:val="24"/>
          <w:szCs w:val="24"/>
        </w:rPr>
        <w:t>United Nations</w:t>
      </w:r>
      <w:r w:rsidRPr="00C838C8">
        <w:rPr>
          <w:rFonts w:ascii="Times New Roman" w:hAnsi="Times New Roman" w:cs="Times New Roman"/>
          <w:noProof/>
          <w:sz w:val="24"/>
          <w:szCs w:val="24"/>
        </w:rPr>
        <w:t>, p. 48, 2005.</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[3]</w:t>
      </w:r>
      <w:r w:rsidRPr="00C838C8">
        <w:rPr>
          <w:rFonts w:ascii="Times New Roman" w:hAnsi="Times New Roman" w:cs="Times New Roman"/>
          <w:noProof/>
          <w:sz w:val="24"/>
          <w:szCs w:val="24"/>
        </w:rPr>
        <w:tab/>
        <w:t>“River Water Shortage in a Highland – Lowland System,” vol. 25, no. 2, pp. 155–162, 2019.</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[4]</w:t>
      </w:r>
      <w:r w:rsidRPr="00C838C8">
        <w:rPr>
          <w:rFonts w:ascii="Times New Roman" w:hAnsi="Times New Roman" w:cs="Times New Roman"/>
          <w:noProof/>
          <w:sz w:val="24"/>
          <w:szCs w:val="24"/>
        </w:rPr>
        <w:tab/>
        <w:t xml:space="preserve">B. Notter, L. MacMillan, D. Viviroli, R. Weingartner, and H. P. Liniger, “Impacts of environmental change on water resources in the Mt. Kenya region,” </w:t>
      </w:r>
      <w:r w:rsidRPr="00C838C8">
        <w:rPr>
          <w:rFonts w:ascii="Times New Roman" w:hAnsi="Times New Roman" w:cs="Times New Roman"/>
          <w:i/>
          <w:iCs/>
          <w:noProof/>
          <w:sz w:val="24"/>
          <w:szCs w:val="24"/>
        </w:rPr>
        <w:t>J. Hydrol.</w:t>
      </w:r>
      <w:r w:rsidRPr="00C838C8">
        <w:rPr>
          <w:rFonts w:ascii="Times New Roman" w:hAnsi="Times New Roman" w:cs="Times New Roman"/>
          <w:noProof/>
          <w:sz w:val="24"/>
          <w:szCs w:val="24"/>
        </w:rPr>
        <w:t>, vol. 343, no. 3–4, pp. 266–278, 2007.</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[5]</w:t>
      </w:r>
      <w:r w:rsidRPr="00C838C8">
        <w:rPr>
          <w:rFonts w:ascii="Times New Roman" w:hAnsi="Times New Roman" w:cs="Times New Roman"/>
          <w:noProof/>
          <w:sz w:val="24"/>
          <w:szCs w:val="24"/>
        </w:rPr>
        <w:tab/>
        <w:t>A. J. Bern and W. D. Gregg, “On the,” no. June, pp. 748–751, 1973.</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[6]</w:t>
      </w:r>
      <w:r w:rsidRPr="00C838C8">
        <w:rPr>
          <w:rFonts w:ascii="Times New Roman" w:hAnsi="Times New Roman" w:cs="Times New Roman"/>
          <w:noProof/>
          <w:sz w:val="24"/>
          <w:szCs w:val="24"/>
        </w:rPr>
        <w:tab/>
        <w:t xml:space="preserve">A. Springer, W. Gugler, M. Huemer, L. Reindl, C. C. W. Ruppel, and R. Weigel, “Spread spectrum communications using chirp signals,” </w:t>
      </w:r>
      <w:r w:rsidRPr="00C838C8">
        <w:rPr>
          <w:rFonts w:ascii="Times New Roman" w:hAnsi="Times New Roman" w:cs="Times New Roman"/>
          <w:i/>
          <w:iCs/>
          <w:noProof/>
          <w:sz w:val="24"/>
          <w:szCs w:val="24"/>
        </w:rPr>
        <w:t>IEEE/AFCEA - EUROCOMM 2000 Inf. Syst. Enhanc. Public Saf. Secur.</w:t>
      </w:r>
      <w:r w:rsidRPr="00C838C8">
        <w:rPr>
          <w:rFonts w:ascii="Times New Roman" w:hAnsi="Times New Roman" w:cs="Times New Roman"/>
          <w:noProof/>
          <w:sz w:val="24"/>
          <w:szCs w:val="24"/>
        </w:rPr>
        <w:t>, vol. 00, no. 6, pp. 166–170, 2000.</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[7]</w:t>
      </w:r>
      <w:r w:rsidRPr="00C838C8">
        <w:rPr>
          <w:rFonts w:ascii="Times New Roman" w:hAnsi="Times New Roman" w:cs="Times New Roman"/>
          <w:noProof/>
          <w:sz w:val="24"/>
          <w:szCs w:val="24"/>
        </w:rPr>
        <w:tab/>
        <w:t xml:space="preserve">A. Augustin, J. Yi, T. Clausen, and W. M. Townsley, “A study of Lora: Long range &amp; low power networks for the internet of things,” </w:t>
      </w:r>
      <w:r w:rsidRPr="00C838C8">
        <w:rPr>
          <w:rFonts w:ascii="Times New Roman" w:hAnsi="Times New Roman" w:cs="Times New Roman"/>
          <w:i/>
          <w:iCs/>
          <w:noProof/>
          <w:sz w:val="24"/>
          <w:szCs w:val="24"/>
        </w:rPr>
        <w:t>Sensors (Switzerland)</w:t>
      </w:r>
      <w:r w:rsidRPr="00C838C8">
        <w:rPr>
          <w:rFonts w:ascii="Times New Roman" w:hAnsi="Times New Roman" w:cs="Times New Roman"/>
          <w:noProof/>
          <w:sz w:val="24"/>
          <w:szCs w:val="24"/>
        </w:rPr>
        <w:t>, vol. 16, no. 9, pp. 1–18, 2016.</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[8]</w:t>
      </w:r>
      <w:r w:rsidRPr="00C838C8">
        <w:rPr>
          <w:rFonts w:ascii="Times New Roman" w:hAnsi="Times New Roman" w:cs="Times New Roman"/>
          <w:noProof/>
          <w:sz w:val="24"/>
          <w:szCs w:val="24"/>
        </w:rPr>
        <w:tab/>
        <w:t>B. Sikken, “DecodingLora - RevSpace.” 2017.</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szCs w:val="24"/>
        </w:rPr>
      </w:pPr>
      <w:r w:rsidRPr="00C838C8">
        <w:rPr>
          <w:rFonts w:ascii="Times New Roman" w:hAnsi="Times New Roman" w:cs="Times New Roman"/>
          <w:noProof/>
          <w:sz w:val="24"/>
          <w:szCs w:val="24"/>
        </w:rPr>
        <w:t>[9]</w:t>
      </w:r>
      <w:r w:rsidRPr="00C838C8">
        <w:rPr>
          <w:rFonts w:ascii="Times New Roman" w:hAnsi="Times New Roman" w:cs="Times New Roman"/>
          <w:noProof/>
          <w:sz w:val="24"/>
          <w:szCs w:val="24"/>
        </w:rPr>
        <w:tab/>
        <w:t>“Easy to use and low cost LoRa _ LoRaWAN IoT gateway _ LORIX One.” .</w:t>
      </w:r>
    </w:p>
    <w:p w:rsidR="00C838C8" w:rsidRPr="00C838C8" w:rsidRDefault="00C838C8" w:rsidP="00C838C8">
      <w:pPr>
        <w:widowControl w:val="0"/>
        <w:autoSpaceDE w:val="0"/>
        <w:autoSpaceDN w:val="0"/>
        <w:adjustRightInd w:val="0"/>
        <w:spacing w:line="240" w:lineRule="auto"/>
        <w:ind w:left="640" w:hanging="640"/>
        <w:rPr>
          <w:rFonts w:ascii="Times New Roman" w:hAnsi="Times New Roman" w:cs="Times New Roman"/>
          <w:noProof/>
          <w:sz w:val="24"/>
        </w:rPr>
      </w:pPr>
      <w:r w:rsidRPr="00C838C8">
        <w:rPr>
          <w:rFonts w:ascii="Times New Roman" w:hAnsi="Times New Roman" w:cs="Times New Roman"/>
          <w:noProof/>
          <w:sz w:val="24"/>
          <w:szCs w:val="24"/>
        </w:rPr>
        <w:t>[10]</w:t>
      </w:r>
      <w:r w:rsidRPr="00C838C8">
        <w:rPr>
          <w:rFonts w:ascii="Times New Roman" w:hAnsi="Times New Roman" w:cs="Times New Roman"/>
          <w:noProof/>
          <w:sz w:val="24"/>
          <w:szCs w:val="24"/>
        </w:rPr>
        <w:tab/>
        <w:t>“Kerlink LoRa IoT Gateway - Wirnet Station 868 MHz.” .</w:t>
      </w:r>
    </w:p>
    <w:p w:rsidR="001E3A94" w:rsidRDefault="00C838C8" w:rsidP="001115DC">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1E3A94" w:rsidSect="00E90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64BC8"/>
    <w:multiLevelType w:val="multilevel"/>
    <w:tmpl w:val="818A1B1A"/>
    <w:lvl w:ilvl="0">
      <w:start w:val="1"/>
      <w:numFmt w:val="decimal"/>
      <w:lvlText w:val="%1"/>
      <w:lvlJc w:val="left"/>
      <w:pPr>
        <w:ind w:left="360" w:hanging="360"/>
      </w:pPr>
    </w:lvl>
    <w:lvl w:ilvl="1">
      <w:start w:val="1"/>
      <w:numFmt w:val="decimal"/>
      <w:lvlText w:val="%1.%2"/>
      <w:lvlJc w:val="left"/>
      <w:pPr>
        <w:ind w:left="644" w:hanging="357"/>
      </w:pPr>
      <w:rPr>
        <w:b/>
      </w:rPr>
    </w:lvl>
    <w:lvl w:ilvl="2">
      <w:start w:val="1"/>
      <w:numFmt w:val="decimal"/>
      <w:lvlText w:val="%1.%2.%3"/>
      <w:lvlJc w:val="left"/>
      <w:pPr>
        <w:ind w:left="1288" w:hanging="719"/>
      </w:pPr>
      <w:rPr>
        <w:b/>
        <w:color w:val="auto"/>
      </w:r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072" w:hanging="1800"/>
      </w:pPr>
    </w:lvl>
  </w:abstractNum>
  <w:abstractNum w:abstractNumId="1" w15:restartNumberingAfterBreak="0">
    <w:nsid w:val="69827C89"/>
    <w:multiLevelType w:val="hybridMultilevel"/>
    <w:tmpl w:val="4F12B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0BZIG5kYW5qbGFko6SsGpxcWZ+XkgBca1AEaJ9zosAAAA"/>
  </w:docVars>
  <w:rsids>
    <w:rsidRoot w:val="001115DC"/>
    <w:rsid w:val="001115DC"/>
    <w:rsid w:val="00131B4F"/>
    <w:rsid w:val="001E3A94"/>
    <w:rsid w:val="002D1D45"/>
    <w:rsid w:val="003C38AF"/>
    <w:rsid w:val="00430AA0"/>
    <w:rsid w:val="004E1FCF"/>
    <w:rsid w:val="0050200B"/>
    <w:rsid w:val="00611CD0"/>
    <w:rsid w:val="00652881"/>
    <w:rsid w:val="00833DFF"/>
    <w:rsid w:val="00857EB7"/>
    <w:rsid w:val="008C638F"/>
    <w:rsid w:val="009C5B21"/>
    <w:rsid w:val="00AB632B"/>
    <w:rsid w:val="00AD0C67"/>
    <w:rsid w:val="00B1490A"/>
    <w:rsid w:val="00B44BEF"/>
    <w:rsid w:val="00C10DE3"/>
    <w:rsid w:val="00C14CA7"/>
    <w:rsid w:val="00C75380"/>
    <w:rsid w:val="00C838C8"/>
    <w:rsid w:val="00D8154F"/>
    <w:rsid w:val="00DB453A"/>
    <w:rsid w:val="00E30E8F"/>
    <w:rsid w:val="00E90C94"/>
    <w:rsid w:val="00F90130"/>
    <w:rsid w:val="00F9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B9AAB-B8B7-4AC4-B63F-460AF95B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C94"/>
    <w:pPr>
      <w:keepNext/>
      <w:keepLines/>
      <w:spacing w:before="240" w:after="0" w:line="240" w:lineRule="auto"/>
      <w:outlineLvl w:val="0"/>
    </w:pPr>
    <w:rPr>
      <w:rFonts w:ascii="Calibri" w:eastAsia="Calibri" w:hAnsi="Calibri" w:cs="Calibri"/>
      <w:color w:val="2E75B5"/>
      <w:sz w:val="32"/>
      <w:szCs w:val="32"/>
      <w:lang w:val="en-ZA"/>
    </w:rPr>
  </w:style>
  <w:style w:type="paragraph" w:styleId="Heading2">
    <w:name w:val="heading 2"/>
    <w:basedOn w:val="Normal"/>
    <w:next w:val="Normal"/>
    <w:link w:val="Heading2Char"/>
    <w:uiPriority w:val="9"/>
    <w:semiHidden/>
    <w:unhideWhenUsed/>
    <w:qFormat/>
    <w:rsid w:val="00B14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4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49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C94"/>
    <w:rPr>
      <w:rFonts w:ascii="Calibri" w:eastAsia="Calibri" w:hAnsi="Calibri" w:cs="Calibri"/>
      <w:color w:val="2E75B5"/>
      <w:sz w:val="32"/>
      <w:szCs w:val="32"/>
      <w:lang w:val="en-ZA"/>
    </w:rPr>
  </w:style>
  <w:style w:type="paragraph" w:styleId="Caption">
    <w:name w:val="caption"/>
    <w:basedOn w:val="Normal"/>
    <w:next w:val="Normal"/>
    <w:uiPriority w:val="35"/>
    <w:unhideWhenUsed/>
    <w:qFormat/>
    <w:rsid w:val="00E90C94"/>
    <w:pPr>
      <w:spacing w:after="200" w:line="240" w:lineRule="auto"/>
    </w:pPr>
    <w:rPr>
      <w:rFonts w:ascii="Arial" w:eastAsia="Arial" w:hAnsi="Arial" w:cs="Arial"/>
      <w:i/>
      <w:iCs/>
      <w:color w:val="44546A" w:themeColor="text2"/>
      <w:sz w:val="18"/>
      <w:szCs w:val="18"/>
      <w:lang w:val="en-ZA"/>
    </w:rPr>
  </w:style>
  <w:style w:type="table" w:styleId="TableGrid">
    <w:name w:val="Table Grid"/>
    <w:basedOn w:val="TableNormal"/>
    <w:uiPriority w:val="39"/>
    <w:rsid w:val="00E90C94"/>
    <w:pPr>
      <w:spacing w:after="0" w:line="240" w:lineRule="auto"/>
    </w:pPr>
    <w:rPr>
      <w:rFonts w:ascii="Arial" w:eastAsia="Arial" w:hAnsi="Arial" w:cs="Arial"/>
      <w:sz w:val="24"/>
      <w:szCs w:val="24"/>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149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49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49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Ber73</b:Tag>
    <b:SourceType>JournalArticle</b:SourceType>
    <b:Guid>{656E96C8-B2F9-4937-AB01-7E2E3617B964}</b:Guid>
    <b:Author>
      <b:Author>
        <b:NameList>
          <b:Person>
            <b:Last>Berni</b:Last>
            <b:First>A.</b:First>
          </b:Person>
          <b:Person>
            <b:Last>Gregg</b:Last>
            <b:First>W.</b:First>
          </b:Person>
        </b:NameList>
      </b:Author>
    </b:Author>
    <b:Title>On the Utility of Chirp Modulation for Digital Signaling</b:Title>
    <b:JournalName>IEEE Transactions on Communications</b:JournalName>
    <b:Year>1973</b:Year>
    <b:Pages>748-751</b:Pages>
    <b:Volume>21</b:Volume>
    <b:Issue>6</b:Issue>
    <b:RefOrder>7</b:RefOrder>
  </b:Source>
  <b:Source>
    <b:Tag>ASp01</b:Tag>
    <b:SourceType>JournalArticle</b:SourceType>
    <b:Guid>{8F02BB94-ECD6-4122-94E5-6B3419F0C33A}</b:Guid>
    <b:Author>
      <b:Author>
        <b:NameList>
          <b:Person>
            <b:Last>Springer</b:Last>
            <b:First>A.</b:First>
          </b:Person>
          <b:Person>
            <b:Last>Gugler</b:Last>
            <b:First>W.</b:First>
          </b:Person>
          <b:Person>
            <b:Last>Huemer</b:Last>
            <b:First>M.</b:First>
          </b:Person>
          <b:Person>
            <b:Last>Reindl</b:Last>
            <b:First>L.</b:First>
          </b:Person>
          <b:Person>
            <b:Last>Ruppel</b:Last>
            <b:First>C.</b:First>
            <b:Middle>C. W.</b:Middle>
          </b:Person>
          <b:Person>
            <b:Last>Weigel</b:Last>
            <b:First>R.</b:First>
          </b:Person>
        </b:NameList>
      </b:Author>
    </b:Author>
    <b:Title>A wireless spread-spectrum communication system using SAW chirped delay lines</b:Title>
    <b:JournalName>IEEE Transactions on Microwave Theory and Techniques</b:JournalName>
    <b:Year>2001</b:Year>
    <b:Pages>754-760</b:Pages>
    <b:Volume>49</b:Volume>
    <b:Issue>4</b:Issue>
    <b:RefOrder>8</b:RefOrder>
  </b:Source>
  <b:Source>
    <b:Tag>Pet16</b:Tag>
    <b:SourceType>ConferenceProceedings</b:SourceType>
    <b:Guid>{653871AD-FAAC-48DD-A274-9ECDAC7AC22C}</b:Guid>
    <b:Author>
      <b:Author>
        <b:NameList>
          <b:Person>
            <b:Last>Petäjäjärvi</b:Last>
            <b:First>J.</b:First>
          </b:Person>
          <b:Person>
            <b:Last>Mikhaylov</b:Last>
            <b:First>K.</b:First>
          </b:Person>
          <b:Person>
            <b:Last>Roivainen</b:Last>
            <b:First>A.</b:First>
          </b:Person>
          <b:Person>
            <b:Last>Hänninen</b:Last>
            <b:First>T.</b:First>
          </b:Person>
          <b:Person>
            <b:Last>Pettissalo</b:Last>
            <b:First>M.</b:First>
          </b:Person>
        </b:NameList>
      </b:Author>
    </b:Author>
    <b:Title>On the coverage of LPWANs: Range evaluation and channel attenuation model for LoRa technology</b:Title>
    <b:JournalName>2015 14th International Conference on ITS Telecommunications (ITST)</b:JournalName>
    <b:Year>2016</b:Year>
    <b:Pages>55–59</b:Pages>
    <b:ConferenceName>2015 14th International Conference on ITS Telecommunications (ITST)</b:ConferenceName>
    <b:RefOrder>9</b:RefOrder>
  </b:Source>
  <b:Source>
    <b:Tag>Lor191</b:Tag>
    <b:SourceType>InternetSite</b:SourceType>
    <b:Guid>{8EAAFE6B-9259-4973-9034-335DF9986ADC}</b:Guid>
    <b:Title>Lora-alliance.org</b:Title>
    <b:ProductionCompany>What is LoRaWAN® | LoRa Alliance™</b:ProductionCompany>
    <b:YearAccessed>2019</b:YearAccessed>
    <b:MonthAccessed>November</b:MonthAccessed>
    <b:DayAccessed>05</b:DayAccessed>
    <b:URL>https://lora-alliance.org/resource-hub/what-lorawanr</b:URL>
    <b:RefOrder>10</b:RefOrder>
  </b:Source>
  <b:Source>
    <b:Tag>Alo16</b:Tag>
    <b:SourceType>JournalArticle</b:SourceType>
    <b:Guid>{4DA1255A-BC62-4544-B932-785D998D904F}</b:Guid>
    <b:Title>A Study of LoRa: Long Range &amp; Low Power Networks for the Internet of Things</b:Title>
    <b:Year>2016</b:Year>
    <b:Author>
      <b:Author>
        <b:NameList>
          <b:Person>
            <b:Last>Augustin</b:Last>
            <b:First>Aloÿs</b:First>
          </b:Person>
          <b:Person>
            <b:Last>Yi</b:Last>
            <b:First>Jiazi</b:First>
          </b:Person>
          <b:Person>
            <b:Last>Clausen</b:Last>
            <b:First>Thomas</b:First>
          </b:Person>
          <b:Person>
            <b:Last>Townsley</b:Last>
            <b:First>William</b:First>
            <b:Middle>Mark</b:Middle>
          </b:Person>
        </b:NameList>
      </b:Author>
    </b:Author>
    <b:JournalName>Sensors</b:JournalName>
    <b:Pages>1466</b:Pages>
    <b:Volume>16</b:Volume>
    <b:Issue>9</b:Issue>
    <b:RefOrder>11</b:RefOrder>
  </b:Source>
  <b:Source>
    <b:Tag>Rev19</b:Tag>
    <b:SourceType>InternetSite</b:SourceType>
    <b:Guid>{21074426-BFB1-4C87-A79A-765CF266C450}</b:Guid>
    <b:Title>Revspace.nl</b:Title>
    <b:ProductionCompany>DecodingLora - RevSpace</b:ProductionCompany>
    <b:YearAccessed>2019</b:YearAccessed>
    <b:MonthAccessed>November</b:MonthAccessed>
    <b:DayAccessed>03</b:DayAccessed>
    <b:URL>https://revspace.nl/DecodingLora</b:URL>
    <b:RefOrder>12</b:RefOrder>
  </b:Source>
  <b:Source>
    <b:Tag>MCe16</b:Tag>
    <b:SourceType>JournalArticle</b:SourceType>
    <b:Guid>{C694DD12-53AF-4653-B26E-060AEC570D5E}</b:Guid>
    <b:Title>Long-range communications in unlicensed bands: the rising stars in the IoT and smart city scenarios</b:Title>
    <b:Year>2016</b:Year>
    <b:Author>
      <b:Author>
        <b:NameList>
          <b:Person>
            <b:Last>Centenaro</b:Last>
            <b:First>M.</b:First>
          </b:Person>
          <b:Person>
            <b:Last>Vangelista</b:Last>
            <b:First>L.</b:First>
          </b:Person>
          <b:Person>
            <b:Last>Zanella</b:Last>
            <b:First>A.</b:First>
          </b:Person>
          <b:Person>
            <b:Last>Zorzi</b:Last>
            <b:First>M.</b:First>
          </b:Person>
        </b:NameList>
      </b:Author>
    </b:Author>
    <b:JournalName>IEEE Wireless Communications</b:JournalName>
    <b:Pages>60-67</b:Pages>
    <b:Volume>23</b:Volume>
    <b:Issue>5</b:Issue>
    <b:RefOrder>1</b:RefOrder>
  </b:Source>
  <b:Source>
    <b:Tag>Nih15</b:Tag>
    <b:SourceType>ConferenceProceedings</b:SourceType>
    <b:Guid>{9D7B5E63-5029-4B6E-9003-0152770013B1}</b:Guid>
    <b:Title>Performance Analysis of Wireless Devices for a Campus-wide IoT Network</b:Title>
    <b:Year>2015</b:Year>
    <b:Author>
      <b:Author>
        <b:NameList>
          <b:Person>
            <b:Last>Rathod</b:Last>
            <b:First>Nihesh</b:First>
          </b:Person>
          <b:Person>
            <b:Last>Jain</b:Last>
            <b:First>Pratik</b:First>
          </b:Person>
          <b:Person>
            <b:Last>Subramanian</b:Last>
            <b:First>Renu</b:First>
          </b:Person>
          <b:Person>
            <b:Last>Yawalkar</b:Last>
            <b:First>Siddhesh</b:First>
          </b:Person>
          <b:Person>
            <b:Last>Sunkenapally</b:Last>
            <b:First>Mallikarjun</b:First>
          </b:Person>
        </b:NameList>
      </b:Author>
    </b:Author>
    <b:ConferenceName>The 2015 International Workshop on Wireless Network Measurements and Experimentation</b:ConferenceName>
    <b:RefOrder>13</b:RefOrder>
  </b:Source>
</b:Sources>
</file>

<file path=customXml/itemProps1.xml><?xml version="1.0" encoding="utf-8"?>
<ds:datastoreItem xmlns:ds="http://schemas.openxmlformats.org/officeDocument/2006/customXml" ds:itemID="{76725C23-19CE-4279-9832-754A489A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3073</TotalTime>
  <Pages>5</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Nahshon Mokua</dc:creator>
  <cp:keywords/>
  <dc:description/>
  <cp:lastModifiedBy>Nahshon Mokua</cp:lastModifiedBy>
  <cp:revision>6</cp:revision>
  <dcterms:created xsi:type="dcterms:W3CDTF">2019-11-25T11:00:00Z</dcterms:created>
  <dcterms:modified xsi:type="dcterms:W3CDTF">2019-12-04T11:45:00Z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99709379-e286-32cd-bd69-2f600e733bda</vt:lpwstr>
  </property>
  <property fmtid="{D5CDD505-2E9C-101B-9397-08002B2CF9AE}" pid="24" name="Mendeley Citation Style_1">
    <vt:lpwstr>http://www.zotero.org/styles/ieee</vt:lpwstr>
  </property>
</Properties>
</file>