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1hellAkzent5"/>
        <w:tblW w:w="0" w:type="auto"/>
        <w:tblLook w:val="04A0" w:firstRow="1" w:lastRow="0" w:firstColumn="1" w:lastColumn="0" w:noHBand="0" w:noVBand="1"/>
      </w:tblPr>
      <w:tblGrid>
        <w:gridCol w:w="3201"/>
        <w:gridCol w:w="3207"/>
        <w:gridCol w:w="3219"/>
      </w:tblGrid>
      <w:tr w:rsidR="00E35A86" w14:paraId="16D739C7" w14:textId="77777777" w:rsidTr="00E35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4872C943" w14:textId="77777777" w:rsidR="00E35A86" w:rsidRDefault="00E35A86" w:rsidP="00D52E82"/>
        </w:tc>
        <w:tc>
          <w:tcPr>
            <w:tcW w:w="3259" w:type="dxa"/>
          </w:tcPr>
          <w:p w14:paraId="769FF457" w14:textId="77777777" w:rsidR="00E35A86" w:rsidRDefault="00E35A86" w:rsidP="00D5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A-Z</w:t>
            </w:r>
          </w:p>
        </w:tc>
        <w:tc>
          <w:tcPr>
            <w:tcW w:w="3259" w:type="dxa"/>
          </w:tcPr>
          <w:p w14:paraId="716DA81C" w14:textId="77777777" w:rsidR="00E35A86" w:rsidRDefault="00E35A86" w:rsidP="00D52E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Preis aufsteigend</w:t>
            </w:r>
          </w:p>
        </w:tc>
      </w:tr>
      <w:tr w:rsidR="00E35A86" w14:paraId="28CD2C53" w14:textId="77777777" w:rsidTr="00E35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59D047A8" w14:textId="77777777" w:rsidR="00E35A86" w:rsidRDefault="00E35A86" w:rsidP="00D52E82">
            <w:r>
              <w:t>100</w:t>
            </w:r>
          </w:p>
        </w:tc>
        <w:tc>
          <w:tcPr>
            <w:tcW w:w="3259" w:type="dxa"/>
          </w:tcPr>
          <w:p w14:paraId="2659D2FF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3259" w:type="dxa"/>
          </w:tcPr>
          <w:p w14:paraId="5F0047BE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  <w:tr w:rsidR="00E35A86" w14:paraId="582FF957" w14:textId="77777777" w:rsidTr="00E35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622A3FFF" w14:textId="77777777" w:rsidR="00E35A86" w:rsidRDefault="00E35A86" w:rsidP="00D52E82">
            <w:r>
              <w:t>10 000</w:t>
            </w:r>
          </w:p>
        </w:tc>
        <w:tc>
          <w:tcPr>
            <w:tcW w:w="3259" w:type="dxa"/>
          </w:tcPr>
          <w:p w14:paraId="09E5FD4C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0.003</w:t>
            </w:r>
          </w:p>
        </w:tc>
        <w:tc>
          <w:tcPr>
            <w:tcW w:w="3259" w:type="dxa"/>
          </w:tcPr>
          <w:p w14:paraId="5732F00D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0.004</w:t>
            </w:r>
          </w:p>
        </w:tc>
      </w:tr>
      <w:tr w:rsidR="00E35A86" w14:paraId="2B1B4365" w14:textId="77777777" w:rsidTr="00E35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437D578C" w14:textId="77777777" w:rsidR="00E35A86" w:rsidRDefault="00E35A86" w:rsidP="00D52E82">
            <w:r>
              <w:t>1 000 000</w:t>
            </w:r>
          </w:p>
        </w:tc>
        <w:tc>
          <w:tcPr>
            <w:tcW w:w="3259" w:type="dxa"/>
          </w:tcPr>
          <w:p w14:paraId="3A9460A3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0.91</w:t>
            </w:r>
          </w:p>
        </w:tc>
        <w:tc>
          <w:tcPr>
            <w:tcW w:w="3259" w:type="dxa"/>
          </w:tcPr>
          <w:p w14:paraId="694C31B1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0.93</w:t>
            </w:r>
          </w:p>
        </w:tc>
      </w:tr>
      <w:tr w:rsidR="00E35A86" w14:paraId="07C781AF" w14:textId="77777777" w:rsidTr="00E35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4FF54957" w14:textId="77777777" w:rsidR="00E35A86" w:rsidRDefault="00E35A86" w:rsidP="00D52E82">
            <w:r>
              <w:t>5 000 000</w:t>
            </w:r>
          </w:p>
        </w:tc>
        <w:tc>
          <w:tcPr>
            <w:tcW w:w="3259" w:type="dxa"/>
          </w:tcPr>
          <w:p w14:paraId="100B6BAB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7.578</w:t>
            </w:r>
          </w:p>
        </w:tc>
        <w:tc>
          <w:tcPr>
            <w:tcW w:w="3259" w:type="dxa"/>
          </w:tcPr>
          <w:p w14:paraId="212E4987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7.32</w:t>
            </w:r>
          </w:p>
        </w:tc>
      </w:tr>
      <w:tr w:rsidR="00E35A86" w14:paraId="49832205" w14:textId="77777777" w:rsidTr="00E35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0BC6CE8D" w14:textId="77777777" w:rsidR="00E35A86" w:rsidRDefault="00E35A86" w:rsidP="00D52E82">
            <w:r>
              <w:t>10 000 000</w:t>
            </w:r>
          </w:p>
        </w:tc>
        <w:tc>
          <w:tcPr>
            <w:tcW w:w="3259" w:type="dxa"/>
          </w:tcPr>
          <w:p w14:paraId="64EE9EA2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15.312</w:t>
            </w:r>
          </w:p>
        </w:tc>
        <w:tc>
          <w:tcPr>
            <w:tcW w:w="3259" w:type="dxa"/>
          </w:tcPr>
          <w:p w14:paraId="31489B86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15.82</w:t>
            </w:r>
          </w:p>
        </w:tc>
      </w:tr>
      <w:tr w:rsidR="00E35A86" w14:paraId="5CC54ADB" w14:textId="77777777" w:rsidTr="00E35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9" w:type="dxa"/>
          </w:tcPr>
          <w:p w14:paraId="46BCF873" w14:textId="77777777" w:rsidR="00E35A86" w:rsidRDefault="00E35A86" w:rsidP="00D52E82">
            <w:r>
              <w:t>15 000 000</w:t>
            </w:r>
          </w:p>
        </w:tc>
        <w:tc>
          <w:tcPr>
            <w:tcW w:w="3259" w:type="dxa"/>
          </w:tcPr>
          <w:p w14:paraId="5A943D6D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27.38</w:t>
            </w:r>
          </w:p>
        </w:tc>
        <w:tc>
          <w:tcPr>
            <w:tcW w:w="3259" w:type="dxa"/>
          </w:tcPr>
          <w:p w14:paraId="04055CC9" w14:textId="77777777" w:rsidR="00E35A86" w:rsidRDefault="00E35A86" w:rsidP="00D52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29.65</w:t>
            </w:r>
          </w:p>
        </w:tc>
      </w:tr>
    </w:tbl>
    <w:p w14:paraId="17D5AA79" w14:textId="77777777" w:rsidR="00DD5C50" w:rsidRDefault="00DD5C50" w:rsidP="00D52E82"/>
    <w:p w14:paraId="7AF9A18B" w14:textId="77777777" w:rsidR="00E35A86" w:rsidRDefault="00E35A86" w:rsidP="00D52E82">
      <w:r>
        <w:rPr>
          <w:noProof/>
        </w:rPr>
        <w:drawing>
          <wp:inline distT="0" distB="0" distL="0" distR="0" wp14:anchorId="6C7E9606" wp14:editId="4F4E436A">
            <wp:extent cx="6096000" cy="2952750"/>
            <wp:effectExtent l="0" t="0" r="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E854648-2668-44D9-B980-D19B60B172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5B75D89" w14:textId="77777777" w:rsidR="00C72590" w:rsidRDefault="00C72590" w:rsidP="00D52E82"/>
    <w:p w14:paraId="768C3D56" w14:textId="77777777" w:rsidR="00C72590" w:rsidRDefault="00C72590" w:rsidP="00D52E82">
      <w:r>
        <w:t>Kurzanalyse:</w:t>
      </w:r>
    </w:p>
    <w:p w14:paraId="7D1A1402" w14:textId="77777777" w:rsidR="00C72590" w:rsidRPr="00D52E82" w:rsidRDefault="00C72590" w:rsidP="00D52E82">
      <w:r>
        <w:t xml:space="preserve">Die Sortierung nach beiden Kategorien ist sehr ähnlich, das ist realistisch da wir beide werte zuerst </w:t>
      </w:r>
      <w:proofErr w:type="gramStart"/>
      <w:r>
        <w:t>auf einen integer wert Mappen</w:t>
      </w:r>
      <w:proofErr w:type="gramEnd"/>
      <w:r>
        <w:t>, d</w:t>
      </w:r>
      <w:r w:rsidR="002E7783">
        <w:t>abei wird bei der Bezeichnung mit einem Bit-Shift und Additionen gearbeitet was performanter ist als Multiplikationen, welche beim Mappen des Doubles verwendet wird</w:t>
      </w:r>
      <w:r>
        <w:t>. Die Liste ist sortiert und die Resultate sind realistisch. Die Daten zeigen auch dass die Dauer sich nicht linear erhöht.</w:t>
      </w:r>
      <w:bookmarkStart w:id="0" w:name="_GoBack"/>
      <w:bookmarkEnd w:id="0"/>
    </w:p>
    <w:sectPr w:rsidR="00C72590" w:rsidRPr="00D52E82" w:rsidSect="00D950EC">
      <w:headerReference w:type="default" r:id="rId11"/>
      <w:footerReference w:type="default" r:id="rId12"/>
      <w:pgSz w:w="11906" w:h="16838" w:code="9"/>
      <w:pgMar w:top="1134" w:right="851" w:bottom="680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BF136" w14:textId="77777777" w:rsidR="00E35A86" w:rsidRDefault="00E35A86" w:rsidP="00694215">
      <w:r>
        <w:separator/>
      </w:r>
    </w:p>
  </w:endnote>
  <w:endnote w:type="continuationSeparator" w:id="0">
    <w:p w14:paraId="455B2EA9" w14:textId="77777777" w:rsidR="00E35A86" w:rsidRDefault="00E35A86" w:rsidP="00694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00B2" w14:textId="1D2B460E" w:rsidR="00694215" w:rsidRPr="00407D5C" w:rsidRDefault="00F6064D" w:rsidP="009A2C73">
    <w:pPr>
      <w:pStyle w:val="Fuzeile"/>
      <w:tabs>
        <w:tab w:val="clear" w:pos="4536"/>
        <w:tab w:val="clear" w:pos="9072"/>
        <w:tab w:val="right" w:pos="9639"/>
      </w:tabs>
    </w:pPr>
    <w:r>
      <w:rPr>
        <w:szCs w:val="16"/>
      </w:rPr>
      <w:fldChar w:fldCharType="begin"/>
    </w:r>
    <w:r>
      <w:rPr>
        <w:szCs w:val="16"/>
      </w:rPr>
      <w:instrText xml:space="preserve"> SAVEDATE  \@ "dd.MM.yyyy"  \* MERGEFORMAT </w:instrText>
    </w:r>
    <w:r>
      <w:rPr>
        <w:szCs w:val="16"/>
      </w:rPr>
      <w:fldChar w:fldCharType="separate"/>
    </w:r>
    <w:r w:rsidR="00171348">
      <w:rPr>
        <w:noProof/>
        <w:szCs w:val="16"/>
      </w:rPr>
      <w:t>08.01.2021</w:t>
    </w:r>
    <w:r>
      <w:rPr>
        <w:szCs w:val="16"/>
      </w:rPr>
      <w:fldChar w:fldCharType="end"/>
    </w:r>
    <w:r w:rsidR="00C32220">
      <w:rPr>
        <w:szCs w:val="16"/>
      </w:rPr>
      <w:t>1</w:t>
    </w:r>
    <w:r w:rsidR="007B53D1" w:rsidRPr="00407D5C">
      <w:rPr>
        <w:szCs w:val="16"/>
      </w:rPr>
      <w:t xml:space="preserve">, </w:t>
    </w:r>
    <w:r w:rsidR="00C32220">
      <w:rPr>
        <w:szCs w:val="16"/>
      </w:rPr>
      <w:t>S-INF19aL</w:t>
    </w:r>
    <w:r w:rsidR="00D97CD3">
      <w:t xml:space="preserve">, </w:t>
    </w:r>
    <w:r w:rsidR="00C32220">
      <w:t>Nicola Fioretti</w:t>
    </w:r>
    <w:r w:rsidR="00D97CD3">
      <w:rPr>
        <w:szCs w:val="16"/>
      </w:rPr>
      <w:t xml:space="preserve"> &amp; </w:t>
    </w:r>
    <w:r w:rsidR="00C32220">
      <w:rPr>
        <w:szCs w:val="16"/>
      </w:rPr>
      <w:t>Laurin Loetscher</w:t>
    </w:r>
    <w:r w:rsidR="00694215" w:rsidRPr="00407D5C">
      <w:tab/>
      <w:t xml:space="preserve">Seite </w:t>
    </w:r>
    <w:r w:rsidR="00F160FE" w:rsidRPr="00407D5C">
      <w:fldChar w:fldCharType="begin"/>
    </w:r>
    <w:r w:rsidR="00F54048" w:rsidRPr="00407D5C">
      <w:instrText>PAGE</w:instrText>
    </w:r>
    <w:r w:rsidR="00F160FE" w:rsidRPr="00407D5C">
      <w:fldChar w:fldCharType="separate"/>
    </w:r>
    <w:r>
      <w:rPr>
        <w:noProof/>
      </w:rPr>
      <w:t>1</w:t>
    </w:r>
    <w:r w:rsidR="00F160FE" w:rsidRPr="00407D5C">
      <w:fldChar w:fldCharType="end"/>
    </w:r>
    <w:r w:rsidR="00694215" w:rsidRPr="00407D5C">
      <w:t xml:space="preserve"> von </w:t>
    </w:r>
    <w:r w:rsidR="00F160FE" w:rsidRPr="00407D5C">
      <w:fldChar w:fldCharType="begin"/>
    </w:r>
    <w:r w:rsidR="00F54048" w:rsidRPr="00407D5C">
      <w:instrText>NUMPAGES</w:instrText>
    </w:r>
    <w:r w:rsidR="00F160FE" w:rsidRPr="00407D5C">
      <w:fldChar w:fldCharType="separate"/>
    </w:r>
    <w:r>
      <w:rPr>
        <w:noProof/>
      </w:rPr>
      <w:t>1</w:t>
    </w:r>
    <w:r w:rsidR="00F160FE" w:rsidRPr="00407D5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768EA" w14:textId="77777777" w:rsidR="00E35A86" w:rsidRDefault="00E35A86" w:rsidP="00694215">
      <w:r>
        <w:separator/>
      </w:r>
    </w:p>
  </w:footnote>
  <w:footnote w:type="continuationSeparator" w:id="0">
    <w:p w14:paraId="4E2B5C95" w14:textId="77777777" w:rsidR="00E35A86" w:rsidRDefault="00E35A86" w:rsidP="00694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C052D" w14:textId="77777777"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 xml:space="preserve">Berufsbildungszentrum </w:t>
    </w:r>
    <w:r>
      <w:rPr>
        <w:rFonts w:ascii="Arial Black" w:hAnsi="Arial Black"/>
        <w:sz w:val="16"/>
      </w:rPr>
      <w:tab/>
      <w:t xml:space="preserve">Modul </w:t>
    </w:r>
    <w:r w:rsidR="0062059A">
      <w:rPr>
        <w:rFonts w:ascii="Arial Black" w:hAnsi="Arial Black"/>
        <w:sz w:val="16"/>
      </w:rPr>
      <w:t>411</w:t>
    </w:r>
    <w:r>
      <w:rPr>
        <w:rFonts w:ascii="Arial Black" w:hAnsi="Arial Black"/>
        <w:sz w:val="16"/>
      </w:rPr>
      <w:tab/>
      <w:t>Fachbereich</w:t>
    </w:r>
  </w:p>
  <w:p w14:paraId="116F65E5" w14:textId="77777777" w:rsidR="007023D4" w:rsidRDefault="007023D4" w:rsidP="007023D4">
    <w:pP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  <w:r>
      <w:rPr>
        <w:rFonts w:ascii="Arial Black" w:hAnsi="Arial Black"/>
        <w:sz w:val="16"/>
      </w:rPr>
      <w:t>Wirtschaft, Informatik und Technik</w:t>
    </w:r>
    <w:r>
      <w:rPr>
        <w:rFonts w:ascii="Arial Black" w:hAnsi="Arial Black"/>
        <w:sz w:val="16"/>
      </w:rPr>
      <w:tab/>
    </w:r>
    <w:r>
      <w:rPr>
        <w:rFonts w:ascii="Arial Black" w:hAnsi="Arial Black"/>
        <w:sz w:val="16"/>
      </w:rPr>
      <w:tab/>
      <w:t>Informatik</w:t>
    </w:r>
  </w:p>
  <w:p w14:paraId="79A4ADCC" w14:textId="77777777" w:rsidR="007023D4" w:rsidRPr="007023D4" w:rsidRDefault="007023D4" w:rsidP="007023D4">
    <w:pPr>
      <w:pBdr>
        <w:bottom w:val="single" w:sz="4" w:space="1" w:color="auto"/>
      </w:pBdr>
      <w:tabs>
        <w:tab w:val="center" w:pos="4820"/>
        <w:tab w:val="right" w:pos="9639"/>
      </w:tabs>
      <w:spacing w:line="170" w:lineRule="exact"/>
      <w:rPr>
        <w:rFonts w:ascii="Arial Black" w:hAnsi="Arial Black"/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86"/>
    <w:rsid w:val="00012980"/>
    <w:rsid w:val="00033B8B"/>
    <w:rsid w:val="0005467D"/>
    <w:rsid w:val="000F397F"/>
    <w:rsid w:val="00171348"/>
    <w:rsid w:val="00261758"/>
    <w:rsid w:val="002656FA"/>
    <w:rsid w:val="002D1B68"/>
    <w:rsid w:val="002E7783"/>
    <w:rsid w:val="002F2E68"/>
    <w:rsid w:val="00360665"/>
    <w:rsid w:val="00360A69"/>
    <w:rsid w:val="00392435"/>
    <w:rsid w:val="00396D0B"/>
    <w:rsid w:val="003B0A03"/>
    <w:rsid w:val="00407D5C"/>
    <w:rsid w:val="004736BA"/>
    <w:rsid w:val="004F5F7D"/>
    <w:rsid w:val="005F0C70"/>
    <w:rsid w:val="0062059A"/>
    <w:rsid w:val="00626C67"/>
    <w:rsid w:val="00644DC9"/>
    <w:rsid w:val="00667FF0"/>
    <w:rsid w:val="00694215"/>
    <w:rsid w:val="006A2C82"/>
    <w:rsid w:val="007023D4"/>
    <w:rsid w:val="007169B3"/>
    <w:rsid w:val="0074506B"/>
    <w:rsid w:val="007B4FD7"/>
    <w:rsid w:val="007B53D1"/>
    <w:rsid w:val="008339D0"/>
    <w:rsid w:val="00860D8C"/>
    <w:rsid w:val="00870AF3"/>
    <w:rsid w:val="008D0754"/>
    <w:rsid w:val="00942C86"/>
    <w:rsid w:val="00944823"/>
    <w:rsid w:val="009518F2"/>
    <w:rsid w:val="009A2C73"/>
    <w:rsid w:val="009C6593"/>
    <w:rsid w:val="00A65BED"/>
    <w:rsid w:val="00C32220"/>
    <w:rsid w:val="00C50CD5"/>
    <w:rsid w:val="00C72590"/>
    <w:rsid w:val="00D35F06"/>
    <w:rsid w:val="00D51A22"/>
    <w:rsid w:val="00D52E82"/>
    <w:rsid w:val="00D74B68"/>
    <w:rsid w:val="00D950EC"/>
    <w:rsid w:val="00D97CD3"/>
    <w:rsid w:val="00DD5C50"/>
    <w:rsid w:val="00E13B32"/>
    <w:rsid w:val="00E35A86"/>
    <w:rsid w:val="00E65378"/>
    <w:rsid w:val="00E97F43"/>
    <w:rsid w:val="00EE166A"/>
    <w:rsid w:val="00F160FE"/>
    <w:rsid w:val="00F20D30"/>
    <w:rsid w:val="00F23C6C"/>
    <w:rsid w:val="00F54048"/>
    <w:rsid w:val="00F6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E3A022"/>
  <w15:docId w15:val="{049A974E-171D-4A9F-8DBB-59160534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94215"/>
    <w:rPr>
      <w:rFonts w:ascii="Arial" w:hAnsi="Arial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42C86"/>
    <w:pPr>
      <w:keepNext/>
      <w:keepLines/>
      <w:spacing w:before="480"/>
      <w:outlineLvl w:val="0"/>
    </w:pPr>
    <w:rPr>
      <w:rFonts w:eastAsia="Times New Roman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42C86"/>
    <w:pPr>
      <w:keepNext/>
      <w:keepLines/>
      <w:spacing w:before="200"/>
      <w:outlineLvl w:val="1"/>
    </w:pPr>
    <w:rPr>
      <w:rFonts w:eastAsia="Times New Roman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9421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94215"/>
  </w:style>
  <w:style w:type="paragraph" w:styleId="Fuzeile">
    <w:name w:val="footer"/>
    <w:basedOn w:val="Standard"/>
    <w:link w:val="FuzeileZchn"/>
    <w:uiPriority w:val="99"/>
    <w:unhideWhenUsed/>
    <w:rsid w:val="00860D8C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860D8C"/>
    <w:rPr>
      <w:rFonts w:ascii="Arial" w:hAnsi="Arial"/>
      <w:sz w:val="16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421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4215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42C86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42C86"/>
    <w:rPr>
      <w:rFonts w:ascii="Arial" w:eastAsia="Times New Roman" w:hAnsi="Arial" w:cs="Times New Roman"/>
      <w:b/>
      <w:bCs/>
      <w:sz w:val="24"/>
      <w:szCs w:val="26"/>
    </w:rPr>
  </w:style>
  <w:style w:type="table" w:styleId="Tabellenraster">
    <w:name w:val="Table Grid"/>
    <w:basedOn w:val="NormaleTabelle"/>
    <w:uiPriority w:val="59"/>
    <w:rsid w:val="00DD5C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itternetztabelle1hellAkzent5">
    <w:name w:val="Grid Table 1 Light Accent 5"/>
    <w:basedOn w:val="NormaleTabelle"/>
    <w:uiPriority w:val="46"/>
    <w:rsid w:val="00E35A8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Downloads\INF%20M411%20Projekt%20Doku%20Vorlag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sluz-my.sharepoint.com/personal/nicola_fioretti_sluz_ch/Documents/Diagram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CH"/>
              <a:t>Messungen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A-Z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Tabelle1!$A$2:$A$7</c:f>
              <c:strCache>
                <c:ptCount val="6"/>
                <c:pt idx="0">
                  <c:v>100</c:v>
                </c:pt>
                <c:pt idx="1">
                  <c:v>10 000</c:v>
                </c:pt>
                <c:pt idx="2">
                  <c:v>1 000 000</c:v>
                </c:pt>
                <c:pt idx="3">
                  <c:v>5 000 000</c:v>
                </c:pt>
                <c:pt idx="4">
                  <c:v>10 000 000</c:v>
                </c:pt>
                <c:pt idx="5">
                  <c:v>15 000 000</c:v>
                </c:pt>
              </c:strCache>
            </c:strRef>
          </c:cat>
          <c:val>
            <c:numRef>
              <c:f>Tabelle1!$B$2:$B$7</c:f>
              <c:numCache>
                <c:formatCode>General</c:formatCode>
                <c:ptCount val="6"/>
                <c:pt idx="0">
                  <c:v>0</c:v>
                </c:pt>
                <c:pt idx="1">
                  <c:v>3.0000000000000001E-3</c:v>
                </c:pt>
                <c:pt idx="2">
                  <c:v>0.91</c:v>
                </c:pt>
                <c:pt idx="3">
                  <c:v>7.5780000000000003</c:v>
                </c:pt>
                <c:pt idx="4">
                  <c:v>15.311999999999999</c:v>
                </c:pt>
                <c:pt idx="5">
                  <c:v>27.38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E3F-4407-ADB2-6130E446308A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Preis aufsteigend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Tabelle1!$A$2:$A$7</c:f>
              <c:strCache>
                <c:ptCount val="6"/>
                <c:pt idx="0">
                  <c:v>100</c:v>
                </c:pt>
                <c:pt idx="1">
                  <c:v>10 000</c:v>
                </c:pt>
                <c:pt idx="2">
                  <c:v>1 000 000</c:v>
                </c:pt>
                <c:pt idx="3">
                  <c:v>5 000 000</c:v>
                </c:pt>
                <c:pt idx="4">
                  <c:v>10 000 000</c:v>
                </c:pt>
                <c:pt idx="5">
                  <c:v>15 000 000</c:v>
                </c:pt>
              </c:strCache>
            </c:strRef>
          </c:cat>
          <c:val>
            <c:numRef>
              <c:f>Tabelle1!$C$2:$C$7</c:f>
              <c:numCache>
                <c:formatCode>General</c:formatCode>
                <c:ptCount val="6"/>
                <c:pt idx="0">
                  <c:v>0</c:v>
                </c:pt>
                <c:pt idx="1">
                  <c:v>4.0000000000000001E-3</c:v>
                </c:pt>
                <c:pt idx="2">
                  <c:v>0.93</c:v>
                </c:pt>
                <c:pt idx="3">
                  <c:v>7.32</c:v>
                </c:pt>
                <c:pt idx="4">
                  <c:v>15.82</c:v>
                </c:pt>
                <c:pt idx="5">
                  <c:v>29.65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E3F-4407-ADB2-6130E4463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73349376"/>
        <c:axId val="673349704"/>
      </c:lineChart>
      <c:catAx>
        <c:axId val="673349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73349704"/>
        <c:crosses val="autoZero"/>
        <c:auto val="1"/>
        <c:lblAlgn val="ctr"/>
        <c:lblOffset val="100"/>
        <c:noMultiLvlLbl val="0"/>
      </c:catAx>
      <c:valAx>
        <c:axId val="67334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673349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0935903E691D4C8D3D95C66AB371FC" ma:contentTypeVersion="10" ma:contentTypeDescription="Ein neues Dokument erstellen." ma:contentTypeScope="" ma:versionID="3dc840b4b07aa9111a6e879f7c732f28">
  <xsd:schema xmlns:xsd="http://www.w3.org/2001/XMLSchema" xmlns:xs="http://www.w3.org/2001/XMLSchema" xmlns:p="http://schemas.microsoft.com/office/2006/metadata/properties" xmlns:ns3="0baf2b29-81e0-47be-b9f4-d13615e880e4" xmlns:ns4="d56196b3-ffeb-479b-92c4-351a309498cc" targetNamespace="http://schemas.microsoft.com/office/2006/metadata/properties" ma:root="true" ma:fieldsID="9b8a4d2d3f83d27478dcf686ed443cad" ns3:_="" ns4:_="">
    <xsd:import namespace="0baf2b29-81e0-47be-b9f4-d13615e880e4"/>
    <xsd:import namespace="d56196b3-ffeb-479b-92c4-351a309498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f2b29-81e0-47be-b9f4-d13615e880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196b3-ffeb-479b-92c4-351a309498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9DBF7-6A7D-4962-B24B-5A13610F1DFC}">
  <ds:schemaRefs>
    <ds:schemaRef ds:uri="d56196b3-ffeb-479b-92c4-351a309498cc"/>
    <ds:schemaRef ds:uri="http://purl.org/dc/elements/1.1/"/>
    <ds:schemaRef ds:uri="http://schemas.microsoft.com/office/infopath/2007/PartnerControls"/>
    <ds:schemaRef ds:uri="0baf2b29-81e0-47be-b9f4-d13615e880e4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5E017BB-0FF7-408D-9F22-E6B5A5C8F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4A972-2DE8-4DAF-AEC0-49DDE300CB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af2b29-81e0-47be-b9f4-d13615e880e4"/>
    <ds:schemaRef ds:uri="d56196b3-ffeb-479b-92c4-351a309498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CD5831-0D7C-4131-8380-9A7C2557E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 M411 Projekt Doku Vorlage.dotx</Template>
  <TotalTime>0</TotalTime>
  <Pages>1</Pages>
  <Words>80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BBZS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vmadmin</dc:creator>
  <cp:keywords/>
  <dc:description/>
  <cp:lastModifiedBy>BBZB;BBZW-Sursee; Fioretti Nicola</cp:lastModifiedBy>
  <cp:revision>2</cp:revision>
  <cp:lastPrinted>2021-01-08T10:12:00Z</cp:lastPrinted>
  <dcterms:created xsi:type="dcterms:W3CDTF">2021-01-08T10:23:00Z</dcterms:created>
  <dcterms:modified xsi:type="dcterms:W3CDTF">2021-01-08T10:23:00Z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0x010100F40935903E691D4C8D3D95C66AB371FC</vt:lpwstr>
  </property>
</Properties>
</file>