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CC" w:rsidRPr="0021600F" w:rsidRDefault="00B47EB3">
      <w:pP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tab/>
      </w:r>
      <w:r>
        <w:tab/>
      </w:r>
      <w:r>
        <w:tab/>
      </w:r>
    </w:p>
    <w:p w:rsidR="00B47EB3" w:rsidRPr="0021600F" w:rsidRDefault="00B47EB3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21600F" w:rsidRPr="0021600F" w:rsidRDefault="0021600F" w:rsidP="002160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1600F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1600F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21600F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</w:p>
    <w:p w:rsidR="0021600F" w:rsidRPr="0021600F" w:rsidRDefault="0021600F" w:rsidP="00216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1600F">
        <w:rPr>
          <w:rFonts w:ascii="Times New Roman" w:eastAsia="Times New Roman" w:hAnsi="Times New Roman" w:cs="Times New Roman"/>
          <w:color w:val="000000"/>
          <w:sz w:val="72"/>
          <w:szCs w:val="72"/>
          <w:lang w:eastAsia="bg-BG"/>
        </w:rPr>
        <w:t>Доклад</w:t>
      </w:r>
    </w:p>
    <w:p w:rsidR="0021600F" w:rsidRPr="0021600F" w:rsidRDefault="0021600F" w:rsidP="002160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1600F" w:rsidRPr="0021600F" w:rsidRDefault="0021600F" w:rsidP="00216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1600F">
        <w:rPr>
          <w:rFonts w:ascii="Times New Roman" w:eastAsia="Times New Roman" w:hAnsi="Times New Roman" w:cs="Times New Roman"/>
          <w:color w:val="000000"/>
          <w:sz w:val="48"/>
          <w:szCs w:val="48"/>
          <w:lang w:eastAsia="bg-BG"/>
        </w:rPr>
        <w:t>По:</w:t>
      </w:r>
    </w:p>
    <w:p w:rsidR="0021600F" w:rsidRPr="0021600F" w:rsidRDefault="0021600F" w:rsidP="0021600F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2160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Р</w:t>
      </w:r>
      <w:r w:rsidRPr="002160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азработка на софтуер</w:t>
      </w:r>
    </w:p>
    <w:p w:rsidR="0021600F" w:rsidRPr="0021600F" w:rsidRDefault="0021600F" w:rsidP="002160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1600F" w:rsidRPr="0021600F" w:rsidRDefault="0021600F" w:rsidP="00216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1600F">
        <w:rPr>
          <w:rFonts w:ascii="Times New Roman" w:eastAsia="Times New Roman" w:hAnsi="Times New Roman" w:cs="Times New Roman"/>
          <w:color w:val="000000"/>
          <w:sz w:val="48"/>
          <w:szCs w:val="48"/>
          <w:lang w:eastAsia="bg-BG"/>
        </w:rPr>
        <w:t>Тема:</w:t>
      </w:r>
    </w:p>
    <w:p w:rsidR="0021600F" w:rsidRPr="0021600F" w:rsidRDefault="0021600F" w:rsidP="002160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1600F" w:rsidRPr="0021600F" w:rsidRDefault="0021600F" w:rsidP="0021600F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21600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Процес на разработка на софтуер</w:t>
      </w:r>
    </w:p>
    <w:p w:rsidR="0021600F" w:rsidRPr="0021600F" w:rsidRDefault="0021600F" w:rsidP="002160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21600F" w:rsidRPr="0021600F" w:rsidRDefault="0021600F" w:rsidP="00216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bg-BG"/>
        </w:rPr>
        <w:t>Денислав Димитров, 12</w:t>
      </w:r>
      <w:r w:rsidRPr="0021600F">
        <w:rPr>
          <w:rFonts w:ascii="Times New Roman" w:eastAsia="Times New Roman" w:hAnsi="Times New Roman" w:cs="Times New Roman"/>
          <w:color w:val="000000"/>
          <w:sz w:val="48"/>
          <w:szCs w:val="48"/>
          <w:lang w:eastAsia="bg-BG"/>
        </w:rPr>
        <w:t>А Клас</w:t>
      </w: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Pr="0021600F" w:rsidRDefault="0021600F" w:rsidP="00B47EB3">
      <w:pPr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:rsidR="0021600F" w:rsidRDefault="0021600F" w:rsidP="00B47EB3">
      <w:pPr>
        <w:rPr>
          <w:rFonts w:ascii="Verdana" w:hAnsi="Verdana"/>
          <w:b/>
          <w:color w:val="262626" w:themeColor="text1" w:themeTint="D9"/>
          <w:sz w:val="24"/>
          <w:szCs w:val="24"/>
        </w:rPr>
      </w:pPr>
    </w:p>
    <w:p w:rsidR="00B47EB3" w:rsidRPr="00FF1F68" w:rsidRDefault="0021600F" w:rsidP="00B47EB3">
      <w:pPr>
        <w:rPr>
          <w:rFonts w:ascii="Verdana" w:hAnsi="Verdana"/>
          <w:b/>
          <w:color w:val="262626" w:themeColor="text1" w:themeTint="D9"/>
          <w:sz w:val="24"/>
          <w:szCs w:val="24"/>
        </w:rPr>
      </w:pPr>
      <w:r>
        <w:rPr>
          <w:rFonts w:ascii="Verdana" w:hAnsi="Verdana"/>
          <w:b/>
          <w:color w:val="262626" w:themeColor="text1" w:themeTint="D9"/>
          <w:sz w:val="24"/>
          <w:szCs w:val="24"/>
        </w:rPr>
        <w:lastRenderedPageBreak/>
        <w:t>1.</w:t>
      </w:r>
      <w:r w:rsidR="00B47EB3" w:rsidRPr="00FF1F68">
        <w:rPr>
          <w:rFonts w:ascii="Verdana" w:hAnsi="Verdana"/>
          <w:b/>
          <w:color w:val="262626" w:themeColor="text1" w:themeTint="D9"/>
          <w:sz w:val="24"/>
          <w:szCs w:val="24"/>
        </w:rPr>
        <w:t>Основи на процеса на разработка на софтуер</w:t>
      </w:r>
    </w:p>
    <w:p w:rsidR="00B47EB3" w:rsidRPr="00FF1F68" w:rsidRDefault="00B47EB3" w:rsidP="00B47EB3">
      <w:pPr>
        <w:rPr>
          <w:rFonts w:ascii="Verdana" w:hAnsi="Verdana"/>
          <w:color w:val="262626" w:themeColor="text1" w:themeTint="D9"/>
          <w:sz w:val="24"/>
          <w:szCs w:val="24"/>
        </w:rPr>
      </w:pPr>
      <w:r w:rsidRPr="00FF1F68">
        <w:rPr>
          <w:rFonts w:ascii="Verdana" w:hAnsi="Verdana"/>
          <w:color w:val="262626" w:themeColor="text1" w:themeTint="D9"/>
          <w:sz w:val="24"/>
          <w:szCs w:val="24"/>
        </w:rPr>
        <w:t>Терминът "софтуерно инженерство" се появява за първи път през 1968 г. на конференция на НАТО и има за цел да стимулира търсенето на решения на "софтуерната криза", която се случва по това време. Оттогава се превърна в професия на софтуерен инженер и изследователска област, посветена на това да направи софтуера по-добър, по-достъпен, по-добре под</w:t>
      </w:r>
      <w:r w:rsidR="00B30652" w:rsidRPr="00FF1F68">
        <w:rPr>
          <w:rFonts w:ascii="Verdana" w:hAnsi="Verdana"/>
          <w:color w:val="262626" w:themeColor="text1" w:themeTint="D9"/>
          <w:sz w:val="24"/>
          <w:szCs w:val="24"/>
        </w:rPr>
        <w:t>държан и по-бърз за разработка.</w:t>
      </w:r>
      <w:r w:rsidR="00B30652" w:rsidRPr="00FF1F68">
        <w:rPr>
          <w:rFonts w:ascii="Verdana" w:hAnsi="Verdana"/>
          <w:color w:val="262626" w:themeColor="text1" w:themeTint="D9"/>
          <w:sz w:val="24"/>
          <w:szCs w:val="24"/>
          <w:lang w:val="en-US"/>
        </w:rPr>
        <w:t xml:space="preserve"> </w:t>
      </w:r>
      <w:r w:rsidRPr="00FF1F68">
        <w:rPr>
          <w:rFonts w:ascii="Verdana" w:hAnsi="Verdana"/>
          <w:color w:val="262626" w:themeColor="text1" w:themeTint="D9"/>
          <w:sz w:val="24"/>
          <w:szCs w:val="24"/>
        </w:rPr>
        <w:t>Разработката на софтуер е свързана с дисциплините компютърни науки, управление на проекти и системно инженерство.</w:t>
      </w:r>
    </w:p>
    <w:p w:rsidR="00FF1F68" w:rsidRDefault="00FF1F68" w:rsidP="00B47EB3">
      <w:pPr>
        <w:rPr>
          <w:rFonts w:ascii="Verdana" w:hAnsi="Verdana"/>
          <w:b/>
          <w:color w:val="262626" w:themeColor="text1" w:themeTint="D9"/>
          <w:sz w:val="24"/>
          <w:szCs w:val="24"/>
        </w:rPr>
      </w:pPr>
    </w:p>
    <w:p w:rsidR="00B30652" w:rsidRPr="00FF1F68" w:rsidRDefault="0021600F" w:rsidP="00B47EB3">
      <w:pPr>
        <w:rPr>
          <w:rFonts w:ascii="Verdana" w:hAnsi="Verdana"/>
          <w:b/>
          <w:color w:val="262626" w:themeColor="text1" w:themeTint="D9"/>
          <w:sz w:val="24"/>
          <w:szCs w:val="24"/>
        </w:rPr>
      </w:pPr>
      <w:r>
        <w:rPr>
          <w:rFonts w:ascii="Verdana" w:hAnsi="Verdana"/>
          <w:b/>
          <w:color w:val="262626" w:themeColor="text1" w:themeTint="D9"/>
          <w:sz w:val="24"/>
          <w:szCs w:val="24"/>
        </w:rPr>
        <w:t>2.</w:t>
      </w:r>
      <w:r w:rsidR="00B30652" w:rsidRPr="00FF1F68">
        <w:rPr>
          <w:rFonts w:ascii="Verdana" w:hAnsi="Verdana"/>
          <w:b/>
          <w:color w:val="262626" w:themeColor="text1" w:themeTint="D9"/>
          <w:sz w:val="24"/>
          <w:szCs w:val="24"/>
        </w:rPr>
        <w:t>Етапи в разработката на софтуер</w:t>
      </w:r>
    </w:p>
    <w:p w:rsidR="00B30652" w:rsidRPr="00FF1F68" w:rsidRDefault="00B30652" w:rsidP="00B30652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62626" w:themeColor="text1" w:themeTint="D9"/>
        </w:rPr>
      </w:pPr>
      <w:r w:rsidRPr="00FF1F68">
        <w:rPr>
          <w:rFonts w:ascii="Verdana" w:hAnsi="Verdana" w:cs="Arial"/>
          <w:color w:val="262626" w:themeColor="text1" w:themeTint="D9"/>
        </w:rPr>
        <w:t>Планирането е част от всеки проект. В процеса на планиране се откриват конкретни задачи свързани със самия проект.</w:t>
      </w:r>
    </w:p>
    <w:p w:rsidR="00B30652" w:rsidRPr="00FF1F68" w:rsidRDefault="00B30652" w:rsidP="00B30652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62626" w:themeColor="text1" w:themeTint="D9"/>
        </w:rPr>
      </w:pPr>
      <w:r w:rsidRPr="00FF1F68">
        <w:rPr>
          <w:rFonts w:ascii="Verdana" w:hAnsi="Verdana" w:cs="Arial"/>
          <w:color w:val="262626" w:themeColor="text1" w:themeTint="D9"/>
        </w:rPr>
        <w:t>След като основните изисквания са събрани от клиента, започва техния по-задълбочен анализ. Определя се обхвата на разработения продукт като се поставят конкретни задачи на проекта и се изработва съответната документация.</w:t>
      </w:r>
    </w:p>
    <w:p w:rsidR="00B30652" w:rsidRPr="00FF1F68" w:rsidRDefault="00B30652" w:rsidP="00B30652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262626" w:themeColor="text1" w:themeTint="D9"/>
        </w:rPr>
      </w:pPr>
      <w:r w:rsidRPr="00FF1F68">
        <w:rPr>
          <w:rFonts w:ascii="Verdana" w:hAnsi="Verdana" w:cs="Arial"/>
          <w:color w:val="262626" w:themeColor="text1" w:themeTint="D9"/>
        </w:rPr>
        <w:t>Някои функционалности могат да останат извън обхвата на проекта като впоследствие могат да го оскъпят. Най-честа причина е неяснота по отношение на изискванията и приложението в самото начало на разработване. Ако друга компания извършва разработването и планирането, този документ може да се счита за правен документ и е част от договорните отношения. В случай на възникване на спорове и двусмислено тълкуване – какво е обещано на клиента и какво е получено като продукт, документацията по разработване на проекта може да се приложи за изясняване и разрешаване на спорни моменти.</w:t>
      </w:r>
    </w:p>
    <w:p w:rsidR="00FF1F68" w:rsidRDefault="00FF1F68" w:rsidP="00B30652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color w:val="262626" w:themeColor="text1" w:themeTint="D9"/>
        </w:rPr>
      </w:pPr>
    </w:p>
    <w:p w:rsidR="00754ED7" w:rsidRPr="00FF1F68" w:rsidRDefault="0021600F" w:rsidP="00B30652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b/>
          <w:color w:val="262626" w:themeColor="text1" w:themeTint="D9"/>
        </w:rPr>
      </w:pPr>
      <w:r>
        <w:rPr>
          <w:rFonts w:ascii="Verdana" w:hAnsi="Verdana" w:cs="Arial"/>
          <w:b/>
          <w:color w:val="262626" w:themeColor="text1" w:themeTint="D9"/>
        </w:rPr>
        <w:t>3.</w:t>
      </w:r>
      <w:r w:rsidR="00754ED7" w:rsidRPr="00FF1F68">
        <w:rPr>
          <w:rFonts w:ascii="Verdana" w:hAnsi="Verdana" w:cs="Arial"/>
          <w:b/>
          <w:color w:val="262626" w:themeColor="text1" w:themeTint="D9"/>
        </w:rPr>
        <w:t>Методологии за разработка на софтуер</w:t>
      </w:r>
    </w:p>
    <w:p w:rsidR="00FF1F68" w:rsidRPr="00754ED7" w:rsidRDefault="00754ED7" w:rsidP="00754ED7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Софтуерна методология при писането на </w:t>
      </w:r>
      <w:hyperlink r:id="rId5" w:tooltip="Софтуер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софтуер</w:t>
        </w:r>
      </w:hyperlink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 е рамка, която се използва за структуриране, планиране и контролиране процеса на разработка на </w:t>
      </w:r>
      <w:hyperlink r:id="rId6" w:tooltip="Информационни системи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информационни системи</w:t>
        </w:r>
      </w:hyperlink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. През годините са еволюирали много разновидности на такива платформи, всяка със своите отличителни предимства и недостатъци. Има няколко различни подхода в разработката на софтуер: някои използват по-структуриран, инженерен подход за разработка на бизнес решения, докато други възприемат по-частични подходи, като софтуерът се развива на части. Една системна методология на разработка на софтуер не винаги е подходяща за всички проекти. Всяка от възможните методологии е най-подходяща за определен тип проекти, в зависимост от различните технически, организационни, проектни и екипни спецификации.</w:t>
      </w:r>
    </w:p>
    <w:p w:rsidR="00754ED7" w:rsidRPr="00754ED7" w:rsidRDefault="00754ED7" w:rsidP="00754ED7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lastRenderedPageBreak/>
        <w:t>Повечето методологии споделят някои от следните комбинации в разработката на софтуер: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Анализиране на потребностите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Проучване на пазара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Събиране на изискванията за предложеното бизнес решение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Изработване на план или дизайн на софтуерно решение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Анализиране на проблема (математически проблем, задача)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Писане на програмен код (имплементация)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Тестване на софтуера и оправяне на </w:t>
      </w:r>
      <w:hyperlink r:id="rId7" w:tooltip="Бъг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бъгове</w:t>
        </w:r>
      </w:hyperlink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Внедряване</w:t>
      </w:r>
    </w:p>
    <w:p w:rsidR="00754ED7" w:rsidRPr="00754ED7" w:rsidRDefault="00754ED7" w:rsidP="00754E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Поддръжка и оправяне на нови </w:t>
      </w:r>
      <w:hyperlink r:id="rId8" w:tooltip="Бъг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бъгове</w:t>
        </w:r>
      </w:hyperlink>
    </w:p>
    <w:p w:rsidR="00754ED7" w:rsidRPr="00754ED7" w:rsidRDefault="00754ED7" w:rsidP="00754ED7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Тези етапи често </w:t>
      </w:r>
      <w:r w:rsidR="00E86E04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се свързват със</w:t>
      </w: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 софтуерната разработка. Различните подходи в разработката на софтуер ги използват в различна последователност или посвещават повече или по-малко време на някои от тях. Детайлите в документацията на всеки етап също може да варират. Посочените етапи могат да се свържат с подхода на „водопада“ или може да бъдат повтаряни в различни цик</w:t>
      </w:r>
      <w:r w:rsidR="00703DDA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ли</w:t>
      </w: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. </w:t>
      </w:r>
      <w:r w:rsidR="00703DDA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ab/>
      </w:r>
      <w:r w:rsidR="00703DDA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ab/>
        <w:t xml:space="preserve">  </w:t>
      </w:r>
      <w:r w:rsidR="006577B2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П</w:t>
      </w: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одход</w:t>
      </w:r>
      <w:r w:rsidR="006577B2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а с различни цикли</w:t>
      </w: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 обикновено включва по-малко отделено време за планиране и документиране, но повече време в писане на програмен код и разработка на автоматизирани </w:t>
      </w:r>
      <w:r w:rsidR="00CB6B60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тестове. Различните цикли </w:t>
      </w: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предлагат също непрекъснато тестване по време на живота на разработка, както и работещ (или без бъгове</w:t>
      </w:r>
      <w:r w:rsidR="00F205DC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) продукт през цялото време. </w:t>
      </w:r>
      <w:r w:rsidR="008964ED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По</w:t>
      </w:r>
      <w:r w:rsidR="00F205DC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-</w:t>
      </w:r>
      <w:r w:rsidR="008964ED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 </w:t>
      </w: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структурираните подходи на „водопада“ се стремят да оценяват рисковете и да разработят детайлен план преди писането на програмен код, за да се избегнат значителни промени в дизайна и програмния код на по-късен етап.</w:t>
      </w:r>
    </w:p>
    <w:p w:rsidR="00754ED7" w:rsidRPr="00FF1F68" w:rsidRDefault="00754ED7" w:rsidP="00754ED7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754ED7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Кой е най-добрият подход често зависи от типа на проблема. Ако проблемът е добре разбран и може да бъде планирано решение за дълъг период от време напред, то подходите на „водопада“ често са най-удачни. От друга страна, ако проблемът е уникален (или е такъв поне за екипа от разработчици) и структурата на софтуерното решение не може да бъде лесно визуализирана, то тогава „по-екстремните“, частични подходи биха свършили по-добра работа.</w:t>
      </w:r>
    </w:p>
    <w:p w:rsidR="00FF1F68" w:rsidRDefault="00FF1F68" w:rsidP="00FF1F68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eastAsia="bg-BG"/>
        </w:rPr>
      </w:pPr>
    </w:p>
    <w:p w:rsidR="00FF1F68" w:rsidRPr="00754ED7" w:rsidRDefault="0021600F" w:rsidP="00FF1F68">
      <w:pPr>
        <w:shd w:val="clear" w:color="auto" w:fill="FFFFFF"/>
        <w:spacing w:before="120" w:after="120" w:line="240" w:lineRule="auto"/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eastAsia="bg-BG"/>
        </w:rPr>
      </w:pPr>
      <w:r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eastAsia="bg-BG"/>
        </w:rPr>
        <w:t>4.</w:t>
      </w:r>
      <w:r w:rsidR="00FF1F68" w:rsidRPr="00FF1F68">
        <w:rPr>
          <w:rFonts w:ascii="Verdana" w:eastAsia="Times New Roman" w:hAnsi="Verdana" w:cs="Arial"/>
          <w:b/>
          <w:color w:val="262626" w:themeColor="text1" w:themeTint="D9"/>
          <w:sz w:val="24"/>
          <w:szCs w:val="24"/>
          <w:lang w:eastAsia="bg-BG"/>
        </w:rPr>
        <w:t>Софтуерни изисквания</w:t>
      </w:r>
    </w:p>
    <w:p w:rsidR="00FF1F68" w:rsidRPr="00FF1F68" w:rsidRDefault="00FF1F68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Софтуер за управление на продажбите в търговски обект (СУПТО), включен в </w:t>
      </w:r>
      <w:hyperlink r:id="rId9" w:tgtFrame="_blank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списъка по по чл. 118</w:t>
        </w:r>
      </w:hyperlink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, ал. 16 от ЗДДС, трябва да отговаря на изискванията съгласно </w:t>
      </w:r>
      <w:hyperlink r:id="rId10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приложение №29</w:t>
        </w:r>
      </w:hyperlink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 на </w:t>
      </w:r>
      <w:hyperlink r:id="rId11" w:history="1">
        <w:r w:rsidRPr="00FF1F68">
          <w:rPr>
            <w:rFonts w:ascii="Verdana" w:eastAsia="Times New Roman" w:hAnsi="Verdana" w:cs="Arial"/>
            <w:color w:val="262626" w:themeColor="text1" w:themeTint="D9"/>
            <w:sz w:val="24"/>
            <w:szCs w:val="24"/>
            <w:lang w:eastAsia="bg-BG"/>
          </w:rPr>
          <w:t>Наредба №Н-18/2006 г.</w:t>
        </w:r>
      </w:hyperlink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 - чл. 52а, ал. 1.</w:t>
      </w:r>
    </w:p>
    <w:p w:rsidR="00FF1F68" w:rsidRPr="00FF1F68" w:rsidRDefault="00FF1F68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 xml:space="preserve">Допуска се софтуер за управление на продажби, включен в списъка по чл. 118, ал. 16 от ЗДДС, да отговаря най-малко на изискванията по т. 1, 2, 4, 6 и 7 от приложение № 29, при условие че се управляват продажби само на стоки или услуги, заплащани напълно или частично от Министерството на здравеопазването или от Националната </w:t>
      </w:r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lastRenderedPageBreak/>
        <w:t>здравноосигурителна каса, съгласно националните рамкови договори за медицински дейности и за дентални дейности или индивидуалния договор за заплащане на лекарствени продукти по чл. 262, ал. 6, т. 1 от Закона за лекарствените продукти в хуманната медицина, на медицински изделия и на диетични храни за специални медицински цели, сключен по реда на Закона за здравното осигуряване, или заплащани чрез предоставените субсидии и финансирания по реда на § 1, т. 15 от допълнителните разпоредби на ЗДДС.</w:t>
      </w:r>
    </w:p>
    <w:p w:rsidR="00FF1F68" w:rsidRDefault="00FF1F68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Допуска се чрез софтуера да се управляват продажби и на други медицински услуги, при условие че за тях се отразява само медицинска информация без посочена стойност. В този софтуер не се допуска да се управляват други продажби извън изрично посочените - чл. 52а, ал. 2.</w:t>
      </w:r>
      <w:r w:rsidRPr="00FF1F68"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br/>
        <w:t>Допуска се софтуер за управление на продажбите,  включен в списъка по чл. 118, ал. 16 от ЗДДС, да отговаря само на изискванията по т. 2, 4, 6 и 7 от Приложение № 29, само когато се използва от лица, отговарящи на условията, посочени чл. 52а1 на Наредба №Н-18/2006 г.</w:t>
      </w:r>
    </w:p>
    <w:p w:rsidR="00F44E6A" w:rsidRDefault="00F44E6A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</w:p>
    <w:p w:rsidR="00F44E6A" w:rsidRDefault="00F44E6A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r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  <w:t>Източници:</w:t>
      </w:r>
    </w:p>
    <w:p w:rsidR="00F44E6A" w:rsidRDefault="0021600F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hyperlink r:id="rId12" w:history="1">
        <w:r w:rsidR="00F44E6A" w:rsidRPr="009861DC">
          <w:rPr>
            <w:rStyle w:val="Hyperlink"/>
            <w:rFonts w:ascii="Verdana" w:eastAsia="Times New Roman" w:hAnsi="Verdana" w:cs="Arial"/>
            <w:sz w:val="24"/>
            <w:szCs w:val="24"/>
            <w:lang w:eastAsia="bg-BG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https://bg.wikipedia.org/wiki/%D0%A1%D0%BE%D1%84%D1%82%D1%83%D0%B5%D1%80%D0%BD%D0%BE_%D0%B8%D0%BD%D0%B6%D0%B5%D0%BD%D0%B5%D1%80%D1%81%D1%82%D0%B2%D0%BE</w:t>
        </w:r>
      </w:hyperlink>
    </w:p>
    <w:p w:rsidR="00F44E6A" w:rsidRDefault="0021600F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hyperlink r:id="rId13" w:history="1">
        <w:r w:rsidR="00F44E6A" w:rsidRPr="009861DC">
          <w:rPr>
            <w:rStyle w:val="Hyperlink"/>
            <w:rFonts w:ascii="Verdana" w:eastAsia="Times New Roman" w:hAnsi="Verdana" w:cs="Arial"/>
            <w:sz w:val="24"/>
            <w:szCs w:val="24"/>
            <w:lang w:eastAsia="bg-BG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https://bg.wikipedia.org/wiki/%D0%A0%D0%B0%D0%B7%D1%80%D0%B0%D0%B1%D0%BE%D1%82%D0%BA%D0%B0_%D0%BD%D0%B0_%D1%81%D0%BE%D1%84%D1%82%D1%83%D0%B5%D1%80</w:t>
        </w:r>
      </w:hyperlink>
    </w:p>
    <w:p w:rsidR="00F44E6A" w:rsidRDefault="0021600F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  <w:hyperlink r:id="rId14" w:history="1">
        <w:r w:rsidR="00F44E6A" w:rsidRPr="009861DC">
          <w:rPr>
            <w:rStyle w:val="Hyperlink"/>
            <w:rFonts w:ascii="Verdana" w:eastAsia="Times New Roman" w:hAnsi="Verdana" w:cs="Arial"/>
            <w:sz w:val="24"/>
            <w:szCs w:val="24"/>
            <w:lang w:eastAsia="bg-BG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https://staging.egov.bg/wps/portal/nra/nra/fiskalni-ustroystva-supto-i-e-magazini/supto/page.Iziskvania-kum-softuera</w:t>
        </w:r>
      </w:hyperlink>
    </w:p>
    <w:p w:rsidR="00F44E6A" w:rsidRDefault="00F44E6A" w:rsidP="00FF1F6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62626" w:themeColor="text1" w:themeTint="D9"/>
          <w:sz w:val="24"/>
          <w:szCs w:val="24"/>
          <w:lang w:eastAsia="bg-BG"/>
        </w:rPr>
      </w:pPr>
    </w:p>
    <w:p w:rsidR="00754ED7" w:rsidRPr="00B30652" w:rsidRDefault="0021600F" w:rsidP="00B30652">
      <w:pPr>
        <w:pStyle w:val="NormalWeb"/>
        <w:shd w:val="clear" w:color="auto" w:fill="FFFFFF"/>
        <w:spacing w:before="120" w:beforeAutospacing="0" w:after="120" w:afterAutospacing="0"/>
        <w:rPr>
          <w:rFonts w:ascii="Verdana" w:hAnsi="Verdana" w:cs="Arial"/>
          <w:color w:val="0D0D0D" w:themeColor="text1" w:themeTint="F2"/>
        </w:rPr>
      </w:pPr>
      <w:r>
        <w:rPr>
          <w:rFonts w:ascii="Verdana" w:hAnsi="Verdana" w:cs="Arial"/>
          <w:color w:val="0D0D0D" w:themeColor="text1" w:themeTint="F2"/>
        </w:rPr>
        <w:t xml:space="preserve"> </w:t>
      </w:r>
      <w:bookmarkStart w:id="0" w:name="_GoBack"/>
      <w:bookmarkEnd w:id="0"/>
    </w:p>
    <w:p w:rsidR="00B30652" w:rsidRDefault="00B30652" w:rsidP="00B47EB3"/>
    <w:sectPr w:rsidR="00B30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56911"/>
    <w:multiLevelType w:val="multilevel"/>
    <w:tmpl w:val="1E9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B3"/>
    <w:rsid w:val="001A03CC"/>
    <w:rsid w:val="0021600F"/>
    <w:rsid w:val="004B7B43"/>
    <w:rsid w:val="006577B2"/>
    <w:rsid w:val="00703DDA"/>
    <w:rsid w:val="00754ED7"/>
    <w:rsid w:val="008964ED"/>
    <w:rsid w:val="00B30652"/>
    <w:rsid w:val="00B47EB3"/>
    <w:rsid w:val="00CB6B60"/>
    <w:rsid w:val="00E85DA4"/>
    <w:rsid w:val="00E86E04"/>
    <w:rsid w:val="00F205DC"/>
    <w:rsid w:val="00F44E6A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4409"/>
  <w15:chartTrackingRefBased/>
  <w15:docId w15:val="{7A052317-A68A-49FE-820B-1BD5DE2C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B30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1%D1%8A%D0%B3" TargetMode="External"/><Relationship Id="rId13" Type="http://schemas.openxmlformats.org/officeDocument/2006/relationships/hyperlink" Target="https://bg.wikipedia.org/wiki/%D0%A0%D0%B0%D0%B7%D1%80%D0%B0%D0%B1%D0%BE%D1%82%D0%BA%D0%B0_%D0%BD%D0%B0_%D1%81%D0%BE%D1%84%D1%82%D1%83%D0%B5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1%D1%8A%D0%B3" TargetMode="External"/><Relationship Id="rId12" Type="http://schemas.openxmlformats.org/officeDocument/2006/relationships/hyperlink" Target="https://bg.wikipedia.org/wiki/%D0%A1%D0%BE%D1%84%D1%82%D1%83%D0%B5%D1%80%D0%BD%D0%BE_%D0%B8%D0%BD%D0%B6%D0%B5%D0%BD%D0%B5%D1%80%D1%81%D1%82%D0%B2%D0%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98%D0%BD%D1%84%D0%BE%D1%80%D0%BC%D0%B0%D1%86%D0%B8%D0%BE%D0%BD%D0%BD%D0%B8_%D1%81%D0%B8%D1%81%D1%82%D0%B5%D0%BC%D0%B8" TargetMode="External"/><Relationship Id="rId11" Type="http://schemas.openxmlformats.org/officeDocument/2006/relationships/hyperlink" Target="https://staging.egov.bg/wps/portal/nra/nra/fiskalni-ustroystva-supto-i-e-magazini/supto/page.Iziskvania-kum-softuera/!ut/p/z1/jZDJDoJAEES_xQNH6TYzKnojiuCWjAuKfTFgcCBBxiBK_HuJnhS3vlXnVS8FBB5Q6l9i6eexSv2k1BtqbYWwTcc2EDts0ccZW_SafO6w1ZTD-gWYTBjOxJj1x0sLLbsJ9I8fP5SJ__m_APR9_BroZcWK8_KDjiGsaSlFowII27oDfDgYNJC1K0A1g19XjIBkooJH4GYaMEMCZeE-zMJMP2dlO8rz46mroYZFUehSKZmE-k4dNHxnidQpB--ZhOPBdT2Mh3UKroVZq90AsiphXA!!/?1dmy&amp;urile=wcm%3apath%3a%2Fagency%2Fsite%2Fzakonodatelstvo%2Fzakonodatelstvo_priority%2F238edf96-5722-4993-9eeb-1ab7082e6e7b" TargetMode="External"/><Relationship Id="rId5" Type="http://schemas.openxmlformats.org/officeDocument/2006/relationships/hyperlink" Target="https://bg.wikipedia.org/wiki/%D0%A1%D0%BE%D1%84%D1%82%D1%83%D0%B5%D1%8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ging.egov.bg/wps/portal/nra/nra/fiskalni-ustroystva-supto-i-e-magazini/supto/page.Iziskvania-kum-softuera/!ut/p/z1/jZDJDoJAEES_xQNH6TYzKnojiuCWjAuKfTFgcCBBxiBK_HuJnhS3vlXnVS8FBB5Q6l9i6eexSv2k1BtqbYWwTcc2EDts0ccZW_SafO6w1ZTD-gWYTBjOxJj1x0sLLbsJ9I8fP5SJ__m_APR9_BroZcWK8_KDjiGsaSlFowII27oDfDgYNJC1K0A1g19XjIBkooJH4GYaMEMCZeE-zMJMP2dlO8rz46mroYZFUehSKZmE-k4dNHxnidQpB--ZhOPBdT2Mh3UKroVZq90AsiphXA!!/?1dmy&amp;urile=wcm%3apath%3a%2Fagency%2Fsite%2Fzakonodatelstvo%2Fdanutsi%2Fnaredbi%2F176b939c-0d90-49d9-9102-ea2cf4495c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ging.egov.bg/wps/portal/nra/nra/fiskalni-ustroystva-supto-i-e-magazini/supto/page.Iziskvania-kum-softuera/!ut/p/z1/jZDJDoJAEES_xQNH6TYzKnojiuCWjAuKfTFgcCBBxiBK_HuJnhS3vlXnVS8FBB5Q6l9i6eexSv2k1BtqbYWwTcc2EDts0ccZW_SafO6w1ZTD-gWYTBjOxJj1x0sLLbsJ9I8fP5SJ__m_APR9_BroZcWK8_KDjiGsaSlFowII27oDfDgYNJC1K0A1g19XjIBkooJH4GYaMEMCZeE-zMJMP2dlO8rz46mroYZFUehSKZmE-k4dNHxnidQpB--ZhOPBdT2Mh3UKroVZq90AsiphXA!!/?1dmy&amp;urile=wcm%3apath%3a%2Fagency%2Fsite%2Fregisters-i-spisuci%2Fspisuci%2Fpublichen-elektronen-spisuk-na-supto%2Fpublichen-elektronen-spisuk-na-supto" TargetMode="External"/><Relationship Id="rId14" Type="http://schemas.openxmlformats.org/officeDocument/2006/relationships/hyperlink" Target="https://staging.egov.bg/wps/portal/nra/nra/fiskalni-ustroystva-supto-i-e-magazini/supto/page.Iziskvania-kum-softu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2022-09-21T07:28:00Z</dcterms:created>
  <dcterms:modified xsi:type="dcterms:W3CDTF">2022-09-21T08:57:00Z</dcterms:modified>
</cp:coreProperties>
</file>