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BrandBand"/>
      </w:pPr>
      <w:r>
        <w:t xml:space="preserve">SIDE HUSTLE STEPHEN</w:t>
      </w:r>
    </w:p>
    <w:p>
      <w:pPr>
        <w:pStyle w:val="Title"/>
      </w:pPr>
      <w:r>
        <w:t xml:space="preserve">AI Automation Pack</w:t>
      </w:r>
    </w:p>
    <w:p>
      <w:pPr>
        <w:pStyle w:val="Heading2"/>
      </w:pPr>
      <w:r>
        <w:t xml:space="preserve">Realtor Suburb Snapshot Reports</w:t>
      </w:r>
    </w:p>
    <w:p>
      <w:pPr>
        <w:pStyle w:val="Lead"/>
      </w:pPr>
      <w:r>
        <w:t xml:space="preserve">Scheduled AI-agent prompts for this service: daily lead triage, weekly prospecting, outreach drafting, follow-ups, delivery QA, weekly reporting, and proof repurposing - each ready to paste into an agent and run on a cadence with human approval.</w:t>
      </w:r>
    </w:p>
    <w:p>
      <w:pPr>
        <w:pStyle w:val="Tagline"/>
      </w:pPr>
      <w:r>
        <w:t xml:space="preserve">Turn one suburb and one AI prompt into a report agents can publish.</w:t>
      </w:r>
    </w:p>
    <w:p>
      <w:pPr>
        <w:pBdr>
          <w:bottom w:val="single" w:sz="8" w:space="1" w:color="0A0A0A"/>
        </w:pBdr>
        <w:spacing w:before="70" w:after="210"/>
      </w:pP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2200"/>
        <w:gridCol w:w="6980"/>
      </w:tblGrid>
      <w:tr>
        <w:tc>
          <w:tcPr>
            <w:tcW w:w="2200" w:type="dxa"/>
            <w:shd w:fill="F5F3F1"/>
            <w:tcMar>
              <w:top w:w="120" w:type="dxa"/>
              <w:left w:w="150" w:type="dxa"/>
              <w:bottom w:w="120" w:type="dxa"/>
              <w:right w:w="150" w:type="dxa"/>
            </w:tcMar>
            <w:vAlign w:val="center"/>
          </w:tcPr>
          <w:p>
            <w:pPr>
              <w:pStyle w:val="TableLabel"/>
            </w:pPr>
            <w:r>
              <w:t xml:space="preserve">Buyer</w:t>
            </w:r>
          </w:p>
        </w:tc>
        <w:tc>
          <w:tcPr>
            <w:tcW w:w="6980" w:type="dxa"/>
            <w:shd w:fill="F5F3F1"/>
            <w:tcMar>
              <w:top w:w="120" w:type="dxa"/>
              <w:left w:w="150" w:type="dxa"/>
              <w:bottom w:w="120" w:type="dxa"/>
              <w:right w:w="150" w:type="dxa"/>
            </w:tcMar>
            <w:vAlign w:val="center"/>
          </w:tcPr>
          <w:p>
            <w:pPr>
              <w:pStyle w:val="TableCell"/>
            </w:pPr>
            <w:r>
              <w:t xml:space="preserve">Real estate agents</w:t>
            </w:r>
          </w:p>
        </w:tc>
      </w:tr>
      <w:tr>
        <w:tc>
          <w:tcPr>
            <w:tcW w:w="2200" w:type="dxa"/>
            <w:shd w:fill="F5F3F1"/>
            <w:tcMar>
              <w:top w:w="120" w:type="dxa"/>
              <w:left w:w="150" w:type="dxa"/>
              <w:bottom w:w="120" w:type="dxa"/>
              <w:right w:w="150" w:type="dxa"/>
            </w:tcMar>
            <w:vAlign w:val="center"/>
          </w:tcPr>
          <w:p>
            <w:pPr>
              <w:pStyle w:val="TableLabel"/>
            </w:pPr>
            <w:r>
              <w:t xml:space="preserve">Category</w:t>
            </w:r>
          </w:p>
        </w:tc>
        <w:tc>
          <w:tcPr>
            <w:tcW w:w="6980" w:type="dxa"/>
            <w:tcMar>
              <w:top w:w="120" w:type="dxa"/>
              <w:left w:w="150" w:type="dxa"/>
              <w:bottom w:w="120" w:type="dxa"/>
              <w:right w:w="150" w:type="dxa"/>
            </w:tcMar>
            <w:vAlign w:val="center"/>
          </w:tcPr>
          <w:p>
            <w:pPr>
              <w:pStyle w:val="TableCell"/>
            </w:pPr>
            <w:r>
              <w:t xml:space="preserve">B2B Service</w:t>
            </w:r>
          </w:p>
        </w:tc>
      </w:tr>
      <w:tr>
        <w:tc>
          <w:tcPr>
            <w:tcW w:w="2200" w:type="dxa"/>
            <w:shd w:fill="F5F3F1"/>
            <w:tcMar>
              <w:top w:w="120" w:type="dxa"/>
              <w:left w:w="150" w:type="dxa"/>
              <w:bottom w:w="120" w:type="dxa"/>
              <w:right w:w="150" w:type="dxa"/>
            </w:tcMar>
            <w:vAlign w:val="center"/>
          </w:tcPr>
          <w:p>
            <w:pPr>
              <w:pStyle w:val="TableLabel"/>
            </w:pPr>
            <w:r>
              <w:t xml:space="preserve">Startup cost</w:t>
            </w:r>
          </w:p>
        </w:tc>
        <w:tc>
          <w:tcPr>
            <w:tcW w:w="6980" w:type="dxa"/>
            <w:shd w:fill="F5F3F1"/>
            <w:tcMar>
              <w:top w:w="120" w:type="dxa"/>
              <w:left w:w="150" w:type="dxa"/>
              <w:bottom w:w="120" w:type="dxa"/>
              <w:right w:w="150" w:type="dxa"/>
            </w:tcMar>
            <w:vAlign w:val="center"/>
          </w:tcPr>
          <w:p>
            <w:pPr>
              <w:pStyle w:val="TableCell"/>
            </w:pPr>
            <w:r>
              <w:t xml:space="preserve">$0</w:t>
            </w:r>
          </w:p>
        </w:tc>
      </w:tr>
      <w:tr>
        <w:tc>
          <w:tcPr>
            <w:tcW w:w="2200" w:type="dxa"/>
            <w:shd w:fill="F5F3F1"/>
            <w:tcMar>
              <w:top w:w="120" w:type="dxa"/>
              <w:left w:w="150" w:type="dxa"/>
              <w:bottom w:w="120" w:type="dxa"/>
              <w:right w:w="150" w:type="dxa"/>
            </w:tcMar>
            <w:vAlign w:val="center"/>
          </w:tcPr>
          <w:p>
            <w:pPr>
              <w:pStyle w:val="TableLabel"/>
            </w:pPr>
            <w:r>
              <w:t xml:space="preserve">First sale</w:t>
            </w:r>
          </w:p>
        </w:tc>
        <w:tc>
          <w:tcPr>
            <w:tcW w:w="6980" w:type="dxa"/>
            <w:tcMar>
              <w:top w:w="120" w:type="dxa"/>
              <w:left w:w="150" w:type="dxa"/>
              <w:bottom w:w="120" w:type="dxa"/>
              <w:right w:w="150" w:type="dxa"/>
            </w:tcMar>
            <w:vAlign w:val="center"/>
          </w:tcPr>
          <w:p>
            <w:pPr>
              <w:pStyle w:val="TableCell"/>
            </w:pPr>
            <w:r>
              <w:t xml:space="preserve">2-4 weeks</w:t>
            </w:r>
          </w:p>
        </w:tc>
      </w:tr>
      <w:tr>
        <w:tc>
          <w:tcPr>
            <w:tcW w:w="2200" w:type="dxa"/>
            <w:shd w:fill="F5F3F1"/>
            <w:tcMar>
              <w:top w:w="120" w:type="dxa"/>
              <w:left w:w="150" w:type="dxa"/>
              <w:bottom w:w="120" w:type="dxa"/>
              <w:right w:w="150" w:type="dxa"/>
            </w:tcMar>
            <w:vAlign w:val="center"/>
          </w:tcPr>
          <w:p>
            <w:pPr>
              <w:pStyle w:val="TableLabel"/>
            </w:pPr>
            <w:r>
              <w:t xml:space="preserve">Difficulty</w:t>
            </w:r>
          </w:p>
        </w:tc>
        <w:tc>
          <w:tcPr>
            <w:tcW w:w="6980" w:type="dxa"/>
            <w:shd w:fill="F5F3F1"/>
            <w:tcMar>
              <w:top w:w="120" w:type="dxa"/>
              <w:left w:w="150" w:type="dxa"/>
              <w:bottom w:w="120" w:type="dxa"/>
              <w:right w:w="150" w:type="dxa"/>
            </w:tcMar>
            <w:vAlign w:val="center"/>
          </w:tcPr>
          <w:p>
            <w:pPr>
              <w:pStyle w:val="TableCell"/>
            </w:pPr>
            <w:r>
              <w:t xml:space="preserve">Medium</w:t>
            </w:r>
          </w:p>
        </w:tc>
      </w:tr>
    </w:tbl>
    <w:p>
      <w:pPr>
        <w:pStyle w:val="Kicker"/>
      </w:pPr>
      <w:r>
        <w:t xml:space="preserve">Operator standard</w:t>
      </w:r>
    </w:p>
    <w:p>
      <w:pPr>
        <w:pStyle w:val="IntenseQuote"/>
      </w:pPr>
      <w:r>
        <w:t xml:space="preserve">Use this as a working asset. Replace bracketed details with buyer-specific information, verify every sensitive fact, and keep approvals in writing.</w:t>
      </w:r>
    </w:p>
    <w:p>
      <w:pPr>
        <w:pStyle w:val="Kicker"/>
      </w:pPr>
      <w:r>
        <w:t xml:space="preserve">Launch action board</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620"/>
        <w:gridCol w:w="3960"/>
        <w:gridCol w:w="3600"/>
      </w:tblGrid>
      <w:tr>
        <w:tc>
          <w:tcPr>
            <w:tcW w:w="1620" w:type="dxa"/>
            <w:shd w:fill="0A0A0A"/>
            <w:tcMar>
              <w:top w:w="120" w:type="dxa"/>
              <w:left w:w="150" w:type="dxa"/>
              <w:bottom w:w="120" w:type="dxa"/>
              <w:right w:w="150" w:type="dxa"/>
            </w:tcMar>
            <w:vAlign w:val="center"/>
          </w:tcPr>
          <w:p>
            <w:pPr>
              <w:pStyle w:val="TableHeader"/>
            </w:pPr>
            <w:r>
              <w:t xml:space="preserve">Move</w:t>
            </w:r>
          </w:p>
        </w:tc>
        <w:tc>
          <w:tcPr>
            <w:tcW w:w="3960" w:type="dxa"/>
            <w:shd w:fill="0A0A0A"/>
            <w:tcMar>
              <w:top w:w="120" w:type="dxa"/>
              <w:left w:w="150" w:type="dxa"/>
              <w:bottom w:w="120" w:type="dxa"/>
              <w:right w:w="150" w:type="dxa"/>
            </w:tcMar>
            <w:vAlign w:val="center"/>
          </w:tcPr>
          <w:p>
            <w:pPr>
              <w:pStyle w:val="TableHeader"/>
            </w:pPr>
            <w:r>
              <w:t xml:space="preserve">What to check</w:t>
            </w:r>
          </w:p>
        </w:tc>
        <w:tc>
          <w:tcPr>
            <w:tcW w:w="3600" w:type="dxa"/>
            <w:shd w:fill="0A0A0A"/>
            <w:tcMar>
              <w:top w:w="120" w:type="dxa"/>
              <w:left w:w="150" w:type="dxa"/>
              <w:bottom w:w="120" w:type="dxa"/>
              <w:right w:w="150" w:type="dxa"/>
            </w:tcMar>
            <w:vAlign w:val="center"/>
          </w:tcPr>
          <w:p>
            <w:pPr>
              <w:pStyle w:val="TableHeader"/>
            </w:pPr>
            <w:r>
              <w:t xml:space="preserve">Output</w:t>
            </w:r>
          </w:p>
        </w:tc>
      </w:tr>
      <w:tr>
        <w:tc>
          <w:tcPr>
            <w:tcW w:w="1620" w:type="dxa"/>
            <w:shd w:fill="F5F3F1"/>
            <w:tcMar>
              <w:top w:w="120" w:type="dxa"/>
              <w:left w:w="150" w:type="dxa"/>
              <w:bottom w:w="120" w:type="dxa"/>
              <w:right w:w="150" w:type="dxa"/>
            </w:tcMar>
            <w:vAlign w:val="center"/>
          </w:tcPr>
          <w:p>
            <w:pPr>
              <w:pStyle w:val="TableCell"/>
            </w:pPr>
            <w:r>
              <w:t xml:space="preserve">1. Scope</w:t>
            </w:r>
          </w:p>
        </w:tc>
        <w:tc>
          <w:tcPr>
            <w:tcW w:w="3960" w:type="dxa"/>
            <w:shd w:fill="F5F3F1"/>
            <w:tcMar>
              <w:top w:w="120" w:type="dxa"/>
              <w:left w:w="150" w:type="dxa"/>
              <w:bottom w:w="120" w:type="dxa"/>
              <w:right w:w="150" w:type="dxa"/>
            </w:tcMar>
            <w:vAlign w:val="center"/>
          </w:tcPr>
          <w:p>
            <w:pPr>
              <w:pStyle w:val="TableCell"/>
            </w:pPr>
            <w:r>
              <w:t xml:space="preserve">Buyer, input files, sensitive claims, approval owner</w:t>
            </w:r>
          </w:p>
        </w:tc>
        <w:tc>
          <w:tcPr>
            <w:tcW w:w="3600" w:type="dxa"/>
            <w:shd w:fill="F5F3F1"/>
            <w:tcMar>
              <w:top w:w="120" w:type="dxa"/>
              <w:left w:w="150" w:type="dxa"/>
              <w:bottom w:w="120" w:type="dxa"/>
              <w:right w:w="150" w:type="dxa"/>
            </w:tcMar>
            <w:vAlign w:val="center"/>
          </w:tcPr>
          <w:p>
            <w:pPr>
              <w:pStyle w:val="TableCell"/>
            </w:pPr>
            <w:r>
              <w:t xml:space="preserve">Clean project brief</w:t>
            </w:r>
          </w:p>
        </w:tc>
      </w:tr>
      <w:tr>
        <w:tc>
          <w:tcPr>
            <w:tcW w:w="1620" w:type="dxa"/>
            <w:tcMar>
              <w:top w:w="120" w:type="dxa"/>
              <w:left w:w="150" w:type="dxa"/>
              <w:bottom w:w="120" w:type="dxa"/>
              <w:right w:w="150" w:type="dxa"/>
            </w:tcMar>
            <w:vAlign w:val="center"/>
          </w:tcPr>
          <w:p>
            <w:pPr>
              <w:pStyle w:val="TableCell"/>
            </w:pPr>
            <w:r>
              <w:t xml:space="preserve">2. Build</w:t>
            </w:r>
          </w:p>
        </w:tc>
        <w:tc>
          <w:tcPr>
            <w:tcW w:w="3960" w:type="dxa"/>
            <w:tcMar>
              <w:top w:w="120" w:type="dxa"/>
              <w:left w:w="150" w:type="dxa"/>
              <w:bottom w:w="120" w:type="dxa"/>
              <w:right w:w="150" w:type="dxa"/>
            </w:tcMar>
            <w:vAlign w:val="center"/>
          </w:tcPr>
          <w:p>
            <w:pPr>
              <w:pStyle w:val="TableCell"/>
            </w:pPr>
            <w:r>
              <w:t xml:space="preserve">Use the template, prompts, checklist, or workbook sections</w:t>
            </w:r>
          </w:p>
        </w:tc>
        <w:tc>
          <w:tcPr>
            <w:tcW w:w="3600" w:type="dxa"/>
            <w:tcMar>
              <w:top w:w="120" w:type="dxa"/>
              <w:left w:w="150" w:type="dxa"/>
              <w:bottom w:w="120" w:type="dxa"/>
              <w:right w:w="150" w:type="dxa"/>
            </w:tcMar>
            <w:vAlign w:val="center"/>
          </w:tcPr>
          <w:p>
            <w:pPr>
              <w:pStyle w:val="TableCell"/>
            </w:pPr>
            <w:r>
              <w:t xml:space="preserve">Buyer-specific asset</w:t>
            </w:r>
          </w:p>
        </w:tc>
      </w:tr>
      <w:tr>
        <w:tc>
          <w:tcPr>
            <w:tcW w:w="1620" w:type="dxa"/>
            <w:shd w:fill="F5F3F1"/>
            <w:tcMar>
              <w:top w:w="120" w:type="dxa"/>
              <w:left w:w="150" w:type="dxa"/>
              <w:bottom w:w="120" w:type="dxa"/>
              <w:right w:w="150" w:type="dxa"/>
            </w:tcMar>
            <w:vAlign w:val="center"/>
          </w:tcPr>
          <w:p>
            <w:pPr>
              <w:pStyle w:val="TableCell"/>
            </w:pPr>
            <w:r>
              <w:t xml:space="preserve">3. Approve</w:t>
            </w:r>
          </w:p>
        </w:tc>
        <w:tc>
          <w:tcPr>
            <w:tcW w:w="3960" w:type="dxa"/>
            <w:shd w:fill="F5F3F1"/>
            <w:tcMar>
              <w:top w:w="120" w:type="dxa"/>
              <w:left w:w="150" w:type="dxa"/>
              <w:bottom w:w="120" w:type="dxa"/>
              <w:right w:w="150" w:type="dxa"/>
            </w:tcMar>
            <w:vAlign w:val="center"/>
          </w:tcPr>
          <w:p>
            <w:pPr>
              <w:pStyle w:val="TableCell"/>
            </w:pPr>
            <w:r>
              <w:t xml:space="preserve">Facts, prices, dates, links, policies, and public claims</w:t>
            </w:r>
          </w:p>
        </w:tc>
        <w:tc>
          <w:tcPr>
            <w:tcW w:w="3600" w:type="dxa"/>
            <w:shd w:fill="F5F3F1"/>
            <w:tcMar>
              <w:top w:w="120" w:type="dxa"/>
              <w:left w:w="150" w:type="dxa"/>
              <w:bottom w:w="120" w:type="dxa"/>
              <w:right w:w="150" w:type="dxa"/>
            </w:tcMar>
            <w:vAlign w:val="center"/>
          </w:tcPr>
          <w:p>
            <w:pPr>
              <w:pStyle w:val="TableCell"/>
            </w:pPr>
            <w:r>
              <w:t xml:space="preserve">Approved final version</w:t>
            </w:r>
          </w:p>
        </w:tc>
      </w:tr>
      <w:tr>
        <w:tc>
          <w:tcPr>
            <w:tcW w:w="1620" w:type="dxa"/>
            <w:tcMar>
              <w:top w:w="120" w:type="dxa"/>
              <w:left w:w="150" w:type="dxa"/>
              <w:bottom w:w="120" w:type="dxa"/>
              <w:right w:w="150" w:type="dxa"/>
            </w:tcMar>
            <w:vAlign w:val="center"/>
          </w:tcPr>
          <w:p>
            <w:pPr>
              <w:pStyle w:val="TableCell"/>
            </w:pPr>
            <w:r>
              <w:t xml:space="preserve">4. Follow up</w:t>
            </w:r>
          </w:p>
        </w:tc>
        <w:tc>
          <w:tcPr>
            <w:tcW w:w="3960" w:type="dxa"/>
            <w:tcMar>
              <w:top w:w="120" w:type="dxa"/>
              <w:left w:w="150" w:type="dxa"/>
              <w:bottom w:w="120" w:type="dxa"/>
              <w:right w:w="150" w:type="dxa"/>
            </w:tcMar>
            <w:vAlign w:val="center"/>
          </w:tcPr>
          <w:p>
            <w:pPr>
              <w:pStyle w:val="TableCell"/>
            </w:pPr>
            <w:r>
              <w:t xml:space="preserve">Next refresh, retainer, or second sprint</w:t>
            </w:r>
          </w:p>
        </w:tc>
        <w:tc>
          <w:tcPr>
            <w:tcW w:w="3600" w:type="dxa"/>
            <w:tcMar>
              <w:top w:w="120" w:type="dxa"/>
              <w:left w:w="150" w:type="dxa"/>
              <w:bottom w:w="120" w:type="dxa"/>
              <w:right w:w="150" w:type="dxa"/>
            </w:tcMar>
            <w:vAlign w:val="center"/>
          </w:tcPr>
          <w:p>
            <w:pPr>
              <w:pStyle w:val="TableCell"/>
            </w:pPr>
            <w:r>
              <w:t xml:space="preserve">Clear paid next step</w:t>
            </w:r>
          </w:p>
        </w:tc>
      </w:tr>
    </w:tbl>
    <w:p>
      <w:pPr>
        <w:pStyle w:val="Kicker"/>
      </w:pPr>
      <w:r>
        <w:t xml:space="preserve">In this document</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180"/>
        <w:gridCol w:w="7940"/>
      </w:tblGrid>
      <w:tr>
        <w:tc>
          <w:tcPr>
            <w:tcW w:w="1180" w:type="dxa"/>
            <w:shd w:fill="0A0A0A"/>
            <w:tcMar>
              <w:top w:w="120" w:type="dxa"/>
              <w:left w:w="150" w:type="dxa"/>
              <w:bottom w:w="120" w:type="dxa"/>
              <w:right w:w="150" w:type="dxa"/>
            </w:tcMar>
            <w:vAlign w:val="center"/>
          </w:tcPr>
          <w:p>
            <w:pPr>
              <w:pStyle w:val="TableHeader"/>
            </w:pPr>
            <w:r>
              <w:t xml:space="preserve">Section</w:t>
            </w:r>
          </w:p>
        </w:tc>
        <w:tc>
          <w:tcPr>
            <w:tcW w:w="7940" w:type="dxa"/>
            <w:shd w:fill="0A0A0A"/>
            <w:tcMar>
              <w:top w:w="120" w:type="dxa"/>
              <w:left w:w="150" w:type="dxa"/>
              <w:bottom w:w="120" w:type="dxa"/>
              <w:right w:w="150" w:type="dxa"/>
            </w:tcMar>
            <w:vAlign w:val="center"/>
          </w:tcPr>
          <w:p>
            <w:pPr>
              <w:pStyle w:val="TableHeader"/>
            </w:pPr>
            <w:r>
              <w:t xml:space="preserve">What it covers</w:t>
            </w:r>
          </w:p>
        </w:tc>
      </w:tr>
      <w:tr>
        <w:tc>
          <w:tcPr>
            <w:tcW w:w="1180" w:type="dxa"/>
            <w:shd w:fill="F5F3F1"/>
            <w:tcMar>
              <w:top w:w="120" w:type="dxa"/>
              <w:left w:w="150" w:type="dxa"/>
              <w:bottom w:w="120" w:type="dxa"/>
              <w:right w:w="150" w:type="dxa"/>
            </w:tcMar>
            <w:vAlign w:val="center"/>
          </w:tcPr>
          <w:p>
            <w:pPr>
              <w:pStyle w:val="TableCell"/>
            </w:pPr>
            <w:r>
              <w:t xml:space="preserve">01</w:t>
            </w:r>
          </w:p>
        </w:tc>
        <w:tc>
          <w:tcPr>
            <w:tcW w:w="7940" w:type="dxa"/>
            <w:shd w:fill="F5F3F1"/>
            <w:tcMar>
              <w:top w:w="120" w:type="dxa"/>
              <w:left w:w="150" w:type="dxa"/>
              <w:bottom w:w="120" w:type="dxa"/>
              <w:right w:w="150" w:type="dxa"/>
            </w:tcMar>
            <w:vAlign w:val="center"/>
          </w:tcPr>
          <w:p>
            <w:pPr>
              <w:pStyle w:val="TableCell"/>
            </w:pPr>
            <w:r>
              <w:t xml:space="preserve">The easiest reliable stack - Research and drafting: ChatGPT, Claude, or another agent that can browse, open sources, and…</w:t>
            </w:r>
          </w:p>
        </w:tc>
      </w:tr>
      <w:tr>
        <w:tc>
          <w:tcPr>
            <w:tcW w:w="1180" w:type="dxa"/>
            <w:tcMar>
              <w:top w:w="120" w:type="dxa"/>
              <w:left w:w="150" w:type="dxa"/>
              <w:bottom w:w="120" w:type="dxa"/>
              <w:right w:w="150" w:type="dxa"/>
            </w:tcMar>
            <w:vAlign w:val="center"/>
          </w:tcPr>
          <w:p>
            <w:pPr>
              <w:pStyle w:val="TableCell"/>
            </w:pPr>
            <w:r>
              <w:t xml:space="preserve">02</w:t>
            </w:r>
          </w:p>
        </w:tc>
        <w:tc>
          <w:tcPr>
            <w:tcW w:w="7940" w:type="dxa"/>
            <w:tcMar>
              <w:top w:w="120" w:type="dxa"/>
              <w:left w:w="150" w:type="dxa"/>
              <w:bottom w:w="120" w:type="dxa"/>
              <w:right w:w="150" w:type="dxa"/>
            </w:tcMar>
            <w:vAlign w:val="center"/>
          </w:tcPr>
          <w:p>
            <w:pPr>
              <w:pStyle w:val="TableCell"/>
            </w:pPr>
            <w:r>
              <w:t xml:space="preserve">Minimum viable delivery loop - 1. Trigger: the client row reaches its next reporting date.</w:t>
            </w:r>
          </w:p>
        </w:tc>
      </w:tr>
      <w:tr>
        <w:tc>
          <w:tcPr>
            <w:tcW w:w="1180" w:type="dxa"/>
            <w:shd w:fill="F5F3F1"/>
            <w:tcMar>
              <w:top w:w="120" w:type="dxa"/>
              <w:left w:w="150" w:type="dxa"/>
              <w:bottom w:w="120" w:type="dxa"/>
              <w:right w:w="150" w:type="dxa"/>
            </w:tcMar>
            <w:vAlign w:val="center"/>
          </w:tcPr>
          <w:p>
            <w:pPr>
              <w:pStyle w:val="TableCell"/>
            </w:pPr>
            <w:r>
              <w:t xml:space="preserve">03</w:t>
            </w:r>
          </w:p>
        </w:tc>
        <w:tc>
          <w:tcPr>
            <w:tcW w:w="7940" w:type="dxa"/>
            <w:shd w:fill="F5F3F1"/>
            <w:tcMar>
              <w:top w:w="120" w:type="dxa"/>
              <w:left w:w="150" w:type="dxa"/>
              <w:bottom w:w="120" w:type="dxa"/>
              <w:right w:w="150" w:type="dxa"/>
            </w:tcMar>
            <w:vAlign w:val="center"/>
          </w:tcPr>
          <w:p>
            <w:pPr>
              <w:pStyle w:val="TableCell"/>
            </w:pPr>
            <w:r>
              <w:t xml:space="preserve">Scheduled research-agent prompt - Read this client configuration: [CLIENT ROW]. Research the latest available property market…</w:t>
            </w:r>
          </w:p>
        </w:tc>
      </w:tr>
      <w:tr>
        <w:tc>
          <w:tcPr>
            <w:tcW w:w="1180" w:type="dxa"/>
            <w:tcMar>
              <w:top w:w="120" w:type="dxa"/>
              <w:left w:w="150" w:type="dxa"/>
              <w:bottom w:w="120" w:type="dxa"/>
              <w:right w:w="150" w:type="dxa"/>
            </w:tcMar>
            <w:vAlign w:val="center"/>
          </w:tcPr>
          <w:p>
            <w:pPr>
              <w:pStyle w:val="TableCell"/>
            </w:pPr>
            <w:r>
              <w:t xml:space="preserve">04</w:t>
            </w:r>
          </w:p>
        </w:tc>
        <w:tc>
          <w:tcPr>
            <w:tcW w:w="7940" w:type="dxa"/>
            <w:tcMar>
              <w:top w:w="120" w:type="dxa"/>
              <w:left w:w="150" w:type="dxa"/>
              <w:bottom w:w="120" w:type="dxa"/>
              <w:right w:w="150" w:type="dxa"/>
            </w:tcMar>
            <w:vAlign w:val="center"/>
          </w:tcPr>
          <w:p>
            <w:pPr>
              <w:pStyle w:val="TableCell"/>
            </w:pPr>
            <w:r>
              <w:t xml:space="preserve">Verification gate prompt - Open every URL in this source ledger: [PASTE LEDGER]. Return one row per figure with PASS…</w:t>
            </w:r>
          </w:p>
        </w:tc>
      </w:tr>
      <w:tr>
        <w:tc>
          <w:tcPr>
            <w:tcW w:w="1180" w:type="dxa"/>
            <w:shd w:fill="F5F3F1"/>
            <w:tcMar>
              <w:top w:w="120" w:type="dxa"/>
              <w:left w:w="150" w:type="dxa"/>
              <w:bottom w:w="120" w:type="dxa"/>
              <w:right w:w="150" w:type="dxa"/>
            </w:tcMar>
            <w:vAlign w:val="center"/>
          </w:tcPr>
          <w:p>
            <w:pPr>
              <w:pStyle w:val="TableCell"/>
            </w:pPr>
            <w:r>
              <w:t xml:space="preserve">05</w:t>
            </w:r>
          </w:p>
        </w:tc>
        <w:tc>
          <w:tcPr>
            <w:tcW w:w="7940" w:type="dxa"/>
            <w:shd w:fill="F5F3F1"/>
            <w:tcMar>
              <w:top w:w="120" w:type="dxa"/>
              <w:left w:w="150" w:type="dxa"/>
              <w:bottom w:w="120" w:type="dxa"/>
              <w:right w:w="150" w:type="dxa"/>
            </w:tcMar>
            <w:vAlign w:val="center"/>
          </w:tcPr>
          <w:p>
            <w:pPr>
              <w:pStyle w:val="TableCell"/>
            </w:pPr>
            <w:r>
              <w:t xml:space="preserve">Template mapping - Require fixed output keys: headline, reporting_period, metric_1 through metric_4, summary…</w:t>
            </w:r>
          </w:p>
        </w:tc>
      </w:tr>
      <w:tr>
        <w:tc>
          <w:tcPr>
            <w:tcW w:w="1180" w:type="dxa"/>
            <w:tcMar>
              <w:top w:w="120" w:type="dxa"/>
              <w:left w:w="150" w:type="dxa"/>
              <w:bottom w:w="120" w:type="dxa"/>
              <w:right w:w="150" w:type="dxa"/>
            </w:tcMar>
            <w:vAlign w:val="center"/>
          </w:tcPr>
          <w:p>
            <w:pPr>
              <w:pStyle w:val="TableCell"/>
            </w:pPr>
            <w:r>
              <w:t xml:space="preserve">06</w:t>
            </w:r>
          </w:p>
        </w:tc>
        <w:tc>
          <w:tcPr>
            <w:tcW w:w="7940" w:type="dxa"/>
            <w:tcMar>
              <w:top w:w="120" w:type="dxa"/>
              <w:left w:w="150" w:type="dxa"/>
              <w:bottom w:w="120" w:type="dxa"/>
              <w:right w:w="150" w:type="dxa"/>
            </w:tcMar>
            <w:vAlign w:val="center"/>
          </w:tcPr>
          <w:p>
            <w:pPr>
              <w:pStyle w:val="TableCell"/>
            </w:pPr>
            <w:r>
              <w:t xml:space="preserve">Approval email draft - Draft an email to [APPROVAL OWNER] for the [SUBURB] snapshot. Link the approval PDF, source…</w:t>
            </w:r>
          </w:p>
        </w:tc>
      </w:tr>
      <w:tr>
        <w:tc>
          <w:tcPr>
            <w:tcW w:w="1180" w:type="dxa"/>
            <w:shd w:fill="F5F3F1"/>
            <w:tcMar>
              <w:top w:w="120" w:type="dxa"/>
              <w:left w:w="150" w:type="dxa"/>
              <w:bottom w:w="120" w:type="dxa"/>
              <w:right w:w="150" w:type="dxa"/>
            </w:tcMar>
            <w:vAlign w:val="center"/>
          </w:tcPr>
          <w:p>
            <w:pPr>
              <w:pStyle w:val="TableCell"/>
            </w:pPr>
            <w:r>
              <w:t xml:space="preserve">07</w:t>
            </w:r>
          </w:p>
        </w:tc>
        <w:tc>
          <w:tcPr>
            <w:tcW w:w="7940" w:type="dxa"/>
            <w:shd w:fill="F5F3F1"/>
            <w:tcMar>
              <w:top w:w="120" w:type="dxa"/>
              <w:left w:w="150" w:type="dxa"/>
              <w:bottom w:w="120" w:type="dxa"/>
              <w:right w:w="150" w:type="dxa"/>
            </w:tcMar>
            <w:vAlign w:val="center"/>
          </w:tcPr>
          <w:p>
            <w:pPr>
              <w:pStyle w:val="TableCell"/>
            </w:pPr>
            <w:r>
              <w:t xml:space="preserve">Monthly rerun rule - After named approval, set next_reporting_date to the agreed cadence and duplicate the…</w:t>
            </w:r>
          </w:p>
        </w:tc>
      </w:tr>
      <w:tr>
        <w:tc>
          <w:tcPr>
            <w:tcW w:w="1180" w:type="dxa"/>
            <w:tcMar>
              <w:top w:w="120" w:type="dxa"/>
              <w:left w:w="150" w:type="dxa"/>
              <w:bottom w:w="120" w:type="dxa"/>
              <w:right w:w="150" w:type="dxa"/>
            </w:tcMar>
            <w:vAlign w:val="center"/>
          </w:tcPr>
          <w:p>
            <w:pPr>
              <w:pStyle w:val="TableCell"/>
            </w:pPr>
            <w:r>
              <w:t xml:space="preserve">08</w:t>
            </w:r>
          </w:p>
        </w:tc>
        <w:tc>
          <w:tcPr>
            <w:tcW w:w="7940" w:type="dxa"/>
            <w:tcMar>
              <w:top w:w="120" w:type="dxa"/>
              <w:left w:w="150" w:type="dxa"/>
              <w:bottom w:w="120" w:type="dxa"/>
              <w:right w:w="150" w:type="dxa"/>
            </w:tcMar>
            <w:vAlign w:val="center"/>
          </w:tcPr>
          <w:p>
            <w:pPr>
              <w:pStyle w:val="TableCell"/>
            </w:pPr>
            <w:r>
              <w:t xml:space="preserve">Lead-finding automation - Once a week, research 10 active agents in [SUBURB] who post listings, open homes, or broad…</w:t>
            </w:r>
          </w:p>
        </w:tc>
      </w:tr>
      <w:tr>
        <w:tc>
          <w:tcPr>
            <w:tcW w:w="1180" w:type="dxa"/>
            <w:shd w:fill="F5F3F1"/>
            <w:tcMar>
              <w:top w:w="120" w:type="dxa"/>
              <w:left w:w="150" w:type="dxa"/>
              <w:bottom w:w="120" w:type="dxa"/>
              <w:right w:w="150" w:type="dxa"/>
            </w:tcMar>
            <w:vAlign w:val="center"/>
          </w:tcPr>
          <w:p>
            <w:pPr>
              <w:pStyle w:val="TableCell"/>
            </w:pPr>
            <w:r>
              <w:t xml:space="preserve">09</w:t>
            </w:r>
          </w:p>
        </w:tc>
        <w:tc>
          <w:tcPr>
            <w:tcW w:w="7940" w:type="dxa"/>
            <w:shd w:fill="F5F3F1"/>
            <w:tcMar>
              <w:top w:w="120" w:type="dxa"/>
              <w:left w:w="150" w:type="dxa"/>
              <w:bottom w:w="120" w:type="dxa"/>
              <w:right w:w="150" w:type="dxa"/>
            </w:tcMar>
            <w:vAlign w:val="center"/>
          </w:tcPr>
          <w:p>
            <w:pPr>
              <w:pStyle w:val="TableCell"/>
            </w:pPr>
            <w:r>
              <w:t xml:space="preserve">Failure and safety rules - Stop when browsing is unavailable, a source cannot be opened, sources conflict materially…</w:t>
            </w:r>
          </w:p>
        </w:tc>
      </w:tr>
      <w:tr>
        <w:tc>
          <w:tcPr>
            <w:tcW w:w="1180" w:type="dxa"/>
            <w:tcMar>
              <w:top w:w="120" w:type="dxa"/>
              <w:left w:w="150" w:type="dxa"/>
              <w:bottom w:w="120" w:type="dxa"/>
              <w:right w:w="150" w:type="dxa"/>
            </w:tcMar>
            <w:vAlign w:val="center"/>
          </w:tcPr>
          <w:p>
            <w:pPr>
              <w:pStyle w:val="TableCell"/>
            </w:pPr>
            <w:r>
              <w:t xml:space="preserve">10</w:t>
            </w:r>
          </w:p>
        </w:tc>
        <w:tc>
          <w:tcPr>
            <w:tcW w:w="7940" w:type="dxa"/>
            <w:tcMar>
              <w:top w:w="120" w:type="dxa"/>
              <w:left w:w="150" w:type="dxa"/>
              <w:bottom w:w="120" w:type="dxa"/>
              <w:right w:w="150" w:type="dxa"/>
            </w:tcMar>
            <w:vAlign w:val="center"/>
          </w:tcPr>
          <w:p>
            <w:pPr>
              <w:pStyle w:val="TableCell"/>
            </w:pPr>
            <w:r>
              <w:t xml:space="preserve">Delivery standards (shared) - This asset is for real estate agents; replace bracketed fields with their specifics before…</w:t>
            </w:r>
          </w:p>
        </w:tc>
      </w:tr>
    </w:tbl>
    <w:p>
      <w:pPr>
        <w:pStyle w:val="Heading3"/>
      </w:pPr>
      <w:r>
        <w:t xml:space="preserve">Before sending</w:t>
      </w:r>
    </w:p>
    <w:p>
      <w:pPr>
        <w:pStyle w:val="Checklist"/>
      </w:pPr>
      <w:r>
        <w:t xml:space="preserve">[ ]  Replace bracketed fields.</w:t>
      </w:r>
    </w:p>
    <w:p>
      <w:pPr>
        <w:pStyle w:val="Checklist"/>
      </w:pPr>
      <w:r>
        <w:t xml:space="preserve">[ ]  Verify facts and claims.</w:t>
      </w:r>
    </w:p>
    <w:p>
      <w:pPr>
        <w:pStyle w:val="Checklist"/>
      </w:pPr>
      <w:r>
        <w:t xml:space="preserve">[ ]  Send for approval before publishing.</w:t>
      </w:r>
    </w:p>
    <w:p>
      <w:pPr>
        <w:pStyle w:val="Heading1"/>
      </w:pPr>
      <w:r>
        <w:t xml:space="preserve">01 / The easiest reliable stack</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3000"/>
        <w:gridCol w:w="6180"/>
      </w:tblGrid>
      <w:tr>
        <w:tc>
          <w:tcPr>
            <w:tcW w:w="3000" w:type="dxa"/>
            <w:shd w:fill="0A0A0A"/>
            <w:tcMar>
              <w:top w:w="120" w:type="dxa"/>
              <w:left w:w="150" w:type="dxa"/>
              <w:bottom w:w="120" w:type="dxa"/>
              <w:right w:w="150" w:type="dxa"/>
            </w:tcMar>
            <w:vAlign w:val="center"/>
          </w:tcPr>
          <w:p>
            <w:pPr>
              <w:pStyle w:val="TableHeader"/>
            </w:pPr>
            <w:r>
              <w:t xml:space="preserve">Field</w:t>
            </w:r>
          </w:p>
        </w:tc>
        <w:tc>
          <w:tcPr>
            <w:tcW w:w="6180" w:type="dxa"/>
            <w:shd w:fill="0A0A0A"/>
            <w:tcMar>
              <w:top w:w="120" w:type="dxa"/>
              <w:left w:w="150" w:type="dxa"/>
              <w:bottom w:w="120" w:type="dxa"/>
              <w:right w:w="150" w:type="dxa"/>
            </w:tcMar>
            <w:vAlign w:val="center"/>
          </w:tcPr>
          <w:p>
            <w:pPr>
              <w:pStyle w:val="TableHeader"/>
            </w:pPr>
            <w:r>
              <w:t xml:space="preserve">Detail</w:t>
            </w:r>
          </w:p>
        </w:tc>
      </w:tr>
      <w:tr>
        <w:tc>
          <w:tcPr>
            <w:tcW w:w="3000" w:type="dxa"/>
            <w:shd w:fill="F5F3F1"/>
            <w:tcMar>
              <w:top w:w="120" w:type="dxa"/>
              <w:left w:w="150" w:type="dxa"/>
              <w:bottom w:w="120" w:type="dxa"/>
              <w:right w:w="150" w:type="dxa"/>
            </w:tcMar>
            <w:vAlign w:val="center"/>
          </w:tcPr>
          <w:p>
            <w:pPr>
              <w:pStyle w:val="TableLabel"/>
            </w:pPr>
            <w:r>
              <w:t xml:space="preserve">Research and drafting</w:t>
            </w:r>
          </w:p>
        </w:tc>
        <w:tc>
          <w:tcPr>
            <w:tcW w:w="6180" w:type="dxa"/>
            <w:shd w:fill="F5F3F1"/>
            <w:tcMar>
              <w:top w:w="120" w:type="dxa"/>
              <w:left w:w="150" w:type="dxa"/>
              <w:bottom w:w="120" w:type="dxa"/>
              <w:right w:w="150" w:type="dxa"/>
            </w:tcMar>
            <w:vAlign w:val="center"/>
          </w:tcPr>
          <w:p>
            <w:pPr>
              <w:pStyle w:val="TableCell"/>
            </w:pPr>
            <w:r>
              <w:t xml:space="preserve">ChatGPT, Claude, or another agent that can browse, open sources, and return direct citations.</w:t>
            </w:r>
          </w:p>
        </w:tc>
      </w:tr>
      <w:tr>
        <w:tc>
          <w:tcPr>
            <w:tcW w:w="3000" w:type="dxa"/>
            <w:shd w:fill="F5F3F1"/>
            <w:tcMar>
              <w:top w:w="120" w:type="dxa"/>
              <w:left w:w="150" w:type="dxa"/>
              <w:bottom w:w="120" w:type="dxa"/>
              <w:right w:w="150" w:type="dxa"/>
            </w:tcMar>
            <w:vAlign w:val="center"/>
          </w:tcPr>
          <w:p>
            <w:pPr>
              <w:pStyle w:val="TableLabel"/>
            </w:pPr>
            <w:r>
              <w:t xml:space="preserve">Client control sheet</w:t>
            </w:r>
          </w:p>
        </w:tc>
        <w:tc>
          <w:tcPr>
            <w:tcW w:w="6180" w:type="dxa"/>
            <w:tcMar>
              <w:top w:w="120" w:type="dxa"/>
              <w:left w:w="150" w:type="dxa"/>
              <w:bottom w:w="120" w:type="dxa"/>
              <w:right w:w="150" w:type="dxa"/>
            </w:tcMar>
            <w:vAlign w:val="center"/>
          </w:tcPr>
          <w:p>
            <w:pPr>
              <w:pStyle w:val="TableCell"/>
            </w:pPr>
            <w:r>
              <w:t xml:space="preserve">one row per client in Google Sheets, Airtable, Notion, or your CRM with suburb, reporting date, audience, sources, tone, CTA, folder, and approval owner.</w:t>
            </w:r>
          </w:p>
        </w:tc>
      </w:tr>
      <w:tr>
        <w:tc>
          <w:tcPr>
            <w:tcW w:w="3000" w:type="dxa"/>
            <w:shd w:fill="F5F3F1"/>
            <w:tcMar>
              <w:top w:w="120" w:type="dxa"/>
              <w:left w:w="150" w:type="dxa"/>
              <w:bottom w:w="120" w:type="dxa"/>
              <w:right w:w="150" w:type="dxa"/>
            </w:tcMar>
            <w:vAlign w:val="center"/>
          </w:tcPr>
          <w:p>
            <w:pPr>
              <w:pStyle w:val="TableLabel"/>
            </w:pPr>
            <w:r>
              <w:t xml:space="preserve">Production</w:t>
            </w:r>
          </w:p>
        </w:tc>
        <w:tc>
          <w:tcPr>
            <w:tcW w:w="6180" w:type="dxa"/>
            <w:shd w:fill="F5F3F1"/>
            <w:tcMar>
              <w:top w:w="120" w:type="dxa"/>
              <w:left w:w="150" w:type="dxa"/>
              <w:bottom w:w="120" w:type="dxa"/>
              <w:right w:w="150" w:type="dxa"/>
            </w:tcMar>
            <w:vAlign w:val="center"/>
          </w:tcPr>
          <w:p>
            <w:pPr>
              <w:pStyle w:val="TableCell"/>
            </w:pPr>
            <w:r>
              <w:t xml:space="preserve">one reusable Canva or document template. The AI returns fixed fields so you paste or map the same blocks every run.</w:t>
            </w:r>
          </w:p>
        </w:tc>
      </w:tr>
      <w:tr>
        <w:tc>
          <w:tcPr>
            <w:tcW w:w="3000" w:type="dxa"/>
            <w:shd w:fill="F5F3F1"/>
            <w:tcMar>
              <w:top w:w="120" w:type="dxa"/>
              <w:left w:w="150" w:type="dxa"/>
              <w:bottom w:w="120" w:type="dxa"/>
              <w:right w:w="150" w:type="dxa"/>
            </w:tcMar>
            <w:vAlign w:val="center"/>
          </w:tcPr>
          <w:p>
            <w:pPr>
              <w:pStyle w:val="TableLabel"/>
            </w:pPr>
            <w:r>
              <w:t xml:space="preserve">Automation</w:t>
            </w:r>
          </w:p>
        </w:tc>
        <w:tc>
          <w:tcPr>
            <w:tcW w:w="6180" w:type="dxa"/>
            <w:tcMar>
              <w:top w:w="120" w:type="dxa"/>
              <w:left w:w="150" w:type="dxa"/>
              <w:bottom w:w="120" w:type="dxa"/>
              <w:right w:w="150" w:type="dxa"/>
            </w:tcMar>
            <w:vAlign w:val="center"/>
          </w:tcPr>
          <w:p>
            <w:pPr>
              <w:pStyle w:val="TableCell"/>
            </w:pPr>
            <w:r>
              <w:t xml:space="preserve">Make, Zapier, or an agent schedule creates the research draft, saves files, and prepares the approval email. Keep verification and publishing human-controlled.</w:t>
            </w:r>
          </w:p>
        </w:tc>
      </w:tr>
    </w:tbl>
    <w:p>
      <w:pPr>
        <w:pStyle w:val="Heading1"/>
      </w:pPr>
      <w:r>
        <w:t xml:space="preserve">02 / Minimum viable delivery loop</w:t>
      </w:r>
    </w:p>
    <w:p>
      <w:pPr>
        <w:pStyle w:val="ListParagraph"/>
        <w:numPr>
          <w:ilvl w:val="0"/>
          <w:numId w:val="1"/>
        </w:numPr>
      </w:pPr>
      <w:r>
        <w:t xml:space="preserve">1. Trigger: the client row reaches its next reporting date.</w:t>
      </w:r>
    </w:p>
    <w:p>
      <w:pPr>
        <w:pStyle w:val="ListParagraph"/>
        <w:numPr>
          <w:ilvl w:val="0"/>
          <w:numId w:val="1"/>
        </w:numPr>
      </w:pPr>
      <w:r>
        <w:t xml:space="preserve">2. Research: the AI agent runs the one-prompt workflow for that suburb and reporting period.</w:t>
      </w:r>
    </w:p>
    <w:p>
      <w:pPr>
        <w:pStyle w:val="ListParagraph"/>
        <w:numPr>
          <w:ilvl w:val="0"/>
          <w:numId w:val="1"/>
        </w:numPr>
      </w:pPr>
      <w:r>
        <w:t xml:space="preserve">3. Gate: the workflow stops if a required figure is unverified, conflicting, stale, or inaccessible.</w:t>
      </w:r>
    </w:p>
    <w:p>
      <w:pPr>
        <w:pStyle w:val="ListParagraph"/>
        <w:numPr>
          <w:ilvl w:val="0"/>
          <w:numId w:val="1"/>
        </w:numPr>
      </w:pPr>
      <w:r>
        <w:t xml:space="preserve">4. Human verify: open the cited sources and approve or remove every proposed figure.</w:t>
      </w:r>
    </w:p>
    <w:p>
      <w:pPr>
        <w:pStyle w:val="ListParagraph"/>
        <w:numPr>
          <w:ilvl w:val="0"/>
          <w:numId w:val="1"/>
        </w:numPr>
      </w:pPr>
      <w:r>
        <w:t xml:space="preserve">5. Package: map the verified fields into the report template and create the email and social files.</w:t>
      </w:r>
    </w:p>
    <w:p>
      <w:pPr>
        <w:pStyle w:val="ListParagraph"/>
        <w:numPr>
          <w:ilvl w:val="0"/>
          <w:numId w:val="1"/>
        </w:numPr>
      </w:pPr>
      <w:r>
        <w:t xml:space="preserve">6. Client approve: prepare one bundled approval email; do not send or publish audience content automatically.</w:t>
      </w:r>
    </w:p>
    <w:p>
      <w:pPr>
        <w:pStyle w:val="ListParagraph"/>
        <w:numPr>
          <w:ilvl w:val="0"/>
          <w:numId w:val="1"/>
        </w:numPr>
      </w:pPr>
      <w:r>
        <w:t xml:space="preserve">7. Repeat: after approval, update the next reporting date and retain the source ledger with the final files.</w:t>
      </w:r>
    </w:p>
    <w:p>
      <w:pPr>
        <w:pStyle w:val="Heading1"/>
      </w:pPr>
      <w:r>
        <w:t xml:space="preserve">03 / Scheduled research-agent prompt</w:t>
      </w:r>
    </w:p>
    <w:p>
      <w:pPr>
        <w:pStyle w:val="ExampleBlock"/>
      </w:pPr>
      <w:r>
        <w:t xml:space="preserve">Read this client configuration: [CLIENT ROW]. Research the latest available property market data for the configured suburb and reporting period using credible public sources you can open. Cite every figure with a direct URL, source name, reporting date, geography, property type, and metric definition. Label inaccessible, conflicting, stale, or uncertain figures UNVERIFIED and exclude them from client-facing copy. Do not estimate, forecast, value property, give investment advice, or promise leads. Produce a source ledger, one-page snapshot fields, three talking points, one client email, three social posts, and an approval list. Save the output to [CLIENT FOLDER] as [SUBURB]-draft-[REPORTING DATE]. Do not email, publish, or overwrite an approved file.</w:t>
      </w:r>
    </w:p>
    <w:p>
      <w:pPr>
        <w:pStyle w:val="Heading1"/>
      </w:pPr>
      <w:r>
        <w:t xml:space="preserve">04 / Verification gate prompt</w:t>
      </w:r>
    </w:p>
    <w:p>
      <w:pPr>
        <w:pStyle w:val="ExampleBlock"/>
      </w:pPr>
      <w:r>
        <w:t xml:space="preserve">Open every URL in this source ledger: [PASTE LEDGER]. Return one row per figure with PASS, FAIL, STALE, CONFLICT, or CANNOT ACCESS. Compare the exact source wording, period, geography, property type, and metric definition. Remove failed figures from the draft and list the remaining items for human verification. Do not invent a replacement number. If fewer than three useful figures pass, stop the workflow and request human review.</w:t>
      </w:r>
    </w:p>
    <w:p>
      <w:pPr>
        <w:pStyle w:val="Heading1"/>
      </w:pPr>
      <w:r>
        <w:t xml:space="preserve">05 / Template mapping</w:t>
      </w:r>
    </w:p>
    <w:p>
      <w:pPr>
        <w:pStyle w:val="ExampleBlock"/>
      </w:pPr>
      <w:r>
        <w:t xml:space="preserve">Require fixed output keys: headline, reporting_period, metric_1 through metric_4, summary, talking_point_1 through talking_point_3, source_footer, email, social_1 through social_3, agent_cta, approval_items.</w:t>
      </w:r>
    </w:p>
    <w:p>
      <w:pPr>
        <w:pStyle w:val="ListParagraph"/>
        <w:numPr>
          <w:ilvl w:val="0"/>
          <w:numId w:val="1"/>
        </w:numPr>
      </w:pPr>
      <w:r>
        <w:t xml:space="preserve">Map only verified fields into the Canva, Google Docs, or document-generation template. Never let the layout step research or rewrite facts.</w:t>
      </w:r>
    </w:p>
    <w:p>
      <w:pPr>
        <w:pStyle w:val="ListParagraph"/>
        <w:numPr>
          <w:ilvl w:val="0"/>
          <w:numId w:val="1"/>
        </w:numPr>
      </w:pPr>
      <w:r>
        <w:t xml:space="preserve">Export an approval PDF, preserve the editable template link, and save both beside the source ledger.</w:t>
      </w:r>
    </w:p>
    <w:p>
      <w:pPr>
        <w:pStyle w:val="Heading1"/>
      </w:pPr>
      <w:r>
        <w:t xml:space="preserve">06 / Approval email draft</w:t>
      </w:r>
    </w:p>
    <w:p>
      <w:pPr>
        <w:pStyle w:val="ExampleBlock"/>
      </w:pPr>
      <w:r>
        <w:t xml:space="preserve">Draft an email to [APPROVAL OWNER] for the [SUBURB] snapshot. Link the approval PDF, source ledger, email copy, and social copy. Summarise the reporting period and list only the items that need a decision. Ask for APPROVED, CHANGES, or HOLD. State clearly that nothing will be published before approval. Save as a draft; do not send.</w:t>
      </w:r>
    </w:p>
    <w:p>
      <w:pPr>
        <w:pStyle w:val="Heading1"/>
      </w:pPr>
      <w:r>
        <w:t xml:space="preserve">07 / Monthly rerun rule</w:t>
      </w:r>
    </w:p>
    <w:p>
      <w:pPr>
        <w:pStyle w:val="ListParagraph"/>
        <w:numPr>
          <w:ilvl w:val="0"/>
          <w:numId w:val="1"/>
        </w:numPr>
      </w:pPr>
      <w:r>
        <w:t xml:space="preserve">After named approval, set next_reporting_date to the agreed cadence and duplicate the previous job as a new draft record.</w:t>
      </w:r>
    </w:p>
    <w:p>
      <w:pPr>
        <w:pStyle w:val="ListParagraph"/>
        <w:numPr>
          <w:ilvl w:val="0"/>
          <w:numId w:val="1"/>
        </w:numPr>
      </w:pPr>
      <w:r>
        <w:t xml:space="preserve">Carry forward the client brief, source preferences, design template, CTA, and approval owner. Change only the reporting date and any newly approved campaign notes.</w:t>
      </w:r>
    </w:p>
    <w:p>
      <w:pPr>
        <w:pStyle w:val="ListParagraph"/>
        <w:numPr>
          <w:ilvl w:val="0"/>
          <w:numId w:val="1"/>
        </w:numPr>
      </w:pPr>
      <w:r>
        <w:t xml:space="preserve">Never reuse last month's numbers or source dates. Every run creates a fresh source ledger.</w:t>
      </w:r>
    </w:p>
    <w:p>
      <w:pPr>
        <w:pStyle w:val="Heading1"/>
      </w:pPr>
      <w:r>
        <w:t xml:space="preserve">08 / Lead-finding automation</w:t>
      </w:r>
    </w:p>
    <w:p>
      <w:pPr>
        <w:pStyle w:val="ExampleBlock"/>
      </w:pPr>
      <w:r>
        <w:t xml:space="preserve">Once a week, research 10 active agents in [SUBURB] who post listings, open homes, or broad market updates but do not appear to publish a consistent source-backed suburb snapshot. Return agent, agency, visible evidence, profile URL, contact channel, and one specific sample angle. Do not scrape private data or send outreach.</w:t>
      </w:r>
    </w:p>
    <w:p>
      <w:pPr>
        <w:pStyle w:val="ListParagraph"/>
        <w:numPr>
          <w:ilvl w:val="0"/>
          <w:numId w:val="1"/>
        </w:numPr>
      </w:pPr>
      <w:r>
        <w:t xml:space="preserve">For the three strongest prospects, draft a message under 70 words offering to send a one-page sample. Keep every message in drafts for human review.</w:t>
      </w:r>
    </w:p>
    <w:p>
      <w:pPr>
        <w:pStyle w:val="Heading1"/>
      </w:pPr>
      <w:r>
        <w:t xml:space="preserve">09 / Failure and safety rules</w:t>
      </w:r>
    </w:p>
    <w:p>
      <w:pPr>
        <w:pStyle w:val="ListParagraph"/>
        <w:numPr>
          <w:ilvl w:val="0"/>
          <w:numId w:val="1"/>
        </w:numPr>
      </w:pPr>
      <w:r>
        <w:t xml:space="preserve">Stop when browsing is unavailable, a source cannot be opened, sources conflict materially, the requested copy sounds like a valuation or forecast, or the approval owner is missing.</w:t>
      </w:r>
    </w:p>
    <w:p>
      <w:pPr>
        <w:pStyle w:val="ListParagraph"/>
        <w:numPr>
          <w:ilvl w:val="0"/>
          <w:numId w:val="1"/>
        </w:numPr>
      </w:pPr>
      <w:r>
        <w:t xml:space="preserve">Do not automate public posting, client-audience email sends, valuations, investment recommendations, appraisal claims, or guaranteed-performance language.</w:t>
      </w:r>
    </w:p>
    <w:p>
      <w:pPr>
        <w:pStyle w:val="ListParagraph"/>
        <w:numPr>
          <w:ilvl w:val="0"/>
          <w:numId w:val="1"/>
        </w:numPr>
      </w:pPr>
      <w:r>
        <w:t xml:space="preserve">Log the model, run date, source URLs, verification result, human verifier, client approval, and final filename for every delivery.</w:t>
      </w:r>
    </w:p>
    <w:p>
      <w:pPr>
        <w:pStyle w:val="Heading1"/>
      </w:pPr>
      <w:r>
        <w:t xml:space="preserve">10 / Delivery standards (shared)</w:t>
      </w:r>
    </w:p>
    <w:p>
      <w:pPr>
        <w:pStyle w:val="ListParagraph"/>
        <w:numPr>
          <w:ilvl w:val="0"/>
          <w:numId w:val="1"/>
        </w:numPr>
      </w:pPr>
      <w:r>
        <w:t xml:space="preserve">This asset is for real estate agents; replace bracketed fields with their specifics before sending.</w:t>
      </w:r>
    </w:p>
    <w:p>
      <w:pPr>
        <w:pStyle w:val="ListParagraph"/>
        <w:numPr>
          <w:ilvl w:val="0"/>
          <w:numId w:val="1"/>
        </w:numPr>
      </w:pPr>
      <w:r>
        <w:t xml:space="preserve">Full delivery standards - inputs to collect, evidence capture, pricing and scope guardrails, and the pre-send QA list - live once in this pack's AI Prompt Pack.</w:t>
      </w:r>
    </w:p>
    <w:p>
      <w:pPr>
        <w:pStyle w:val="ListParagraph"/>
        <w:numPr>
          <w:ilvl w:val="0"/>
          <w:numId w:val="1"/>
        </w:numPr>
      </w:pPr>
      <w:r>
        <w:t xml:space="preserve">Verify every fact, price, date, hour, link, and claim against a source, and keep approvals in writing.</w:t>
      </w:r>
    </w:p>
    <w:p>
      <w:pPr>
        <w:pStyle w:val="ListParagraph"/>
        <w:numPr>
          <w:ilvl w:val="0"/>
          <w:numId w:val="1"/>
        </w:numPr>
      </w:pPr>
      <w:r>
        <w:t xml:space="preserve">Never imply guaranteed revenue, rankings, bookings, retention, or ad performance.</w:t>
      </w:r>
    </w:p>
    <w:p>
      <w:pPr>
        <w:pStyle w:val="Heading1"/>
      </w:pPr>
      <w:r>
        <w:t xml:space="preserve">Commercial use note</w:t>
      </w:r>
    </w:p>
    <w:p>
      <w:r>
        <w:t xml:space="preserve">These templates are practical launch materials. They do not guarantee revenue, rankings, retention, or advertising performance. Validate claims with buyer data and keep approvals in writing.</w:t>
      </w:r>
    </w:p>
    <w:sectPr>
      <w:footerReference w:type="default" r:id="rId3"/>
      <w:pgSz w:w="12240" w:h="15840"/>
      <w:pgMar w:top="1180" w:right="1440" w:bottom="1000" w:left="1440" w:footer="432"/>
      <w:cols w:space="720"/>
    </w:sectPr>
  </w:body>
</w:document>
</file>

<file path=word/footer.xml><?xml version="1.0" encoding="utf-8"?>
<w:ftr xmlns:w="http://schemas.openxmlformats.org/wordprocessingml/2006/main">
  <w:p>
    <w:pPr>
      <w:pBdr>
        <w:top w:val="single" w:sz="4" w:space="3" w:color="E0DFDD"/>
      </w:pBdr>
      <w:jc w:val="center"/>
    </w:pPr>
    <w:r>
      <w:rPr>
        <w:rFonts w:ascii="Arial" w:hAnsi="Arial"/>
        <w:sz w:val="16"/>
        <w:color w:val="57534E"/>
      </w:rPr>
      <w:t xml:space="preserve">Side Hustle Stephen / Realtor Suburb Snapshot Reports / Page </w:t>
    </w:r>
    <w:r>
      <w:rPr>
        <w:rFonts w:ascii="Arial" w:hAnsi="Arial"/>
        <w:sz w:val="16"/>
        <w:color w:val="57534E"/>
      </w:rPr>
      <w:fldChar w:fldCharType="begin"/>
    </w:r>
    <w:r>
      <w:instrText xml:space="preserve"> PAGE </w:instrText>
    </w:r>
    <w:r>
      <w:fldChar w:fldCharType="end"/>
    </w:r>
  </w:p>
</w:ftr>
</file>

<file path=word/numbering.xml><?xml version="1.0" encoding="utf-8"?>
<w:numbering xmlns:w="http://schemas.openxmlformats.org/wordprocessingml/2006/main">
  <w:abstractNum w:abstractNumId="1">
    <w:lvl w:ilvl="0">
      <w:start w:val="1"/>
      <w:numFmt w:val="bullet"/>
      <w:lvlText w:val="-"/>
      <w:pPr>
        <w:ind w:left="540" w:hanging="220"/>
      </w:pPr>
    </w:lvl>
  </w:abstractNum>
  <w:num w:numId="1">
    <w:abstractNumId w:val="1"/>
  </w:num>
</w:numbering>
</file>

<file path=word/styles.xml><?xml version="1.0" encoding="utf-8"?>
<w:styles xmlns:w="http://schemas.openxmlformats.org/wordprocessingml/2006/main">
  <w:style w:type="paragraph" w:default="1" w:styleId="Normal">
    <w:name w:val="Normal"/>
    <w:rPr>
      <w:rFonts w:ascii="Arial" w:hAnsi="Arial"/>
      <w:sz w:val="21"/>
      <w:color w:val="0A0A0A"/>
    </w:rPr>
    <w:pPr>
      <w:spacing w:after="150" w:line="300" w:lineRule="auto"/>
      <w:widowControl/>
    </w:pPr>
  </w:style>
  <w:style w:type="paragraph" w:styleId="BrandBand">
    <w:name w:val="BrandBand"/>
    <w:rPr>
      <w:rFonts w:ascii="Arial" w:hAnsi="Arial"/>
      <w:b/>
      <w:caps/>
      <w:sz w:val="15"/>
      <w:color w:val="0A0A0A"/>
      <w:spacing w:val="30"/>
    </w:rPr>
    <w:pPr>
      <w:pBdr>
        <w:bottom w:val="single" w:sz="18" w:space="6" w:color="0A0A0A"/>
      </w:pBdr>
      <w:spacing w:before="0" w:after="240"/>
      <w:jc w:val="left"/>
    </w:pPr>
  </w:style>
  <w:style w:type="paragraph" w:styleId="Title">
    <w:name w:val="Title"/>
    <w:rPr>
      <w:rFonts w:ascii="Arial" w:hAnsi="Arial"/>
      <w:b/>
      <w:sz w:val="56"/>
      <w:color w:val="0A0A0A"/>
      <w:spacing w:val="-10"/>
    </w:rPr>
    <w:pPr>
      <w:spacing w:before="60" w:after="60" w:line="300" w:lineRule="auto"/>
      <w:keepNext/>
    </w:pPr>
  </w:style>
  <w:style w:type="paragraph" w:styleId="Subtitle">
    <w:name w:val="Subtitle"/>
    <w:rPr>
      <w:rFonts w:ascii="Arial" w:hAnsi="Arial"/>
      <w:b/>
      <w:caps/>
      <w:sz w:val="16"/>
      <w:color w:val="57534E"/>
    </w:rPr>
    <w:pPr>
      <w:spacing w:after="120"/>
    </w:pPr>
  </w:style>
  <w:style w:type="paragraph" w:styleId="Tagline">
    <w:name w:val="Tagline"/>
    <w:rPr>
      <w:rFonts w:ascii="Arial" w:hAnsi="Arial"/>
      <w:sz w:val="22"/>
      <w:color w:val="0A59D2"/>
    </w:rPr>
    <w:pPr>
      <w:spacing w:before="0" w:after="150" w:line="300" w:lineRule="auto"/>
    </w:pPr>
  </w:style>
  <w:style w:type="paragraph" w:styleId="Lead">
    <w:name w:val="Lead"/>
    <w:rPr>
      <w:rFonts w:ascii="Arial" w:hAnsi="Arial"/>
      <w:sz w:val="24"/>
      <w:color w:val="0A0A0A"/>
    </w:rPr>
    <w:pPr>
      <w:spacing w:before="80" w:after="60" w:line="340" w:lineRule="auto"/>
    </w:pPr>
  </w:style>
  <w:style w:type="paragraph" w:styleId="Kicker">
    <w:name w:val="Kicker"/>
    <w:rPr>
      <w:rFonts w:ascii="Arial" w:hAnsi="Arial"/>
      <w:b/>
      <w:caps/>
      <w:sz w:val="15"/>
      <w:color w:val="57534E"/>
      <w:spacing w:val="24"/>
    </w:rPr>
    <w:pPr>
      <w:spacing w:before="180" w:after="70"/>
    </w:pPr>
  </w:style>
  <w:style w:type="paragraph" w:styleId="Heading1">
    <w:name w:val="heading 1"/>
    <w:rPr>
      <w:rFonts w:ascii="Arial" w:hAnsi="Arial"/>
      <w:b/>
      <w:sz w:val="30"/>
      <w:color w:val="0A0A0A"/>
      <w:spacing w:val="-6"/>
    </w:rPr>
    <w:pPr>
      <w:keepNext/>
      <w:spacing w:before="360" w:after="140"/>
      <w:pBdr>
        <w:bottom w:val="single" w:sz="12" w:space="7" w:color="0A0A0A"/>
      </w:pBdr>
    </w:pPr>
  </w:style>
  <w:style w:type="paragraph" w:styleId="Heading2">
    <w:name w:val="heading 2"/>
    <w:rPr>
      <w:rFonts w:ascii="Arial" w:hAnsi="Arial"/>
      <w:b/>
      <w:sz w:val="24"/>
      <w:color w:val="0A0A0A"/>
    </w:rPr>
    <w:pPr>
      <w:spacing w:after="70"/>
    </w:pPr>
  </w:style>
  <w:style w:type="paragraph" w:styleId="Heading3">
    <w:name w:val="heading 3"/>
    <w:rPr>
      <w:rFonts w:ascii="Arial" w:hAnsi="Arial"/>
      <w:b/>
      <w:sz w:val="22"/>
      <w:color w:val="0A59D2"/>
    </w:rPr>
    <w:pPr>
      <w:keepNext/>
      <w:spacing w:before="190" w:after="70"/>
    </w:pPr>
  </w:style>
  <w:style w:type="paragraph" w:styleId="Meta">
    <w:name w:val="Meta"/>
    <w:rPr>
      <w:rFonts w:ascii="Arial" w:hAnsi="Arial"/>
      <w:b/>
      <w:sz w:val="18"/>
      <w:color w:val="57534E"/>
    </w:rPr>
    <w:pPr>
      <w:spacing w:after="95"/>
    </w:pPr>
  </w:style>
  <w:style w:type="paragraph" w:styleId="ListParagraph">
    <w:name w:val="List Paragraph"/>
    <w:rPr>
      <w:rFonts w:ascii="Arial" w:hAnsi="Arial"/>
      <w:sz w:val="20"/>
      <w:color w:val="0A0A0A"/>
    </w:rPr>
    <w:pPr>
      <w:spacing w:after="110" w:line="292" w:lineRule="auto"/>
      <w:ind w:left="540" w:hanging="220"/>
      <w:widowControl/>
    </w:pPr>
  </w:style>
  <w:style w:type="paragraph" w:styleId="Checklist">
    <w:name w:val="Checklist"/>
    <w:rPr>
      <w:rFonts w:ascii="Arial" w:hAnsi="Arial"/>
      <w:b/>
      <w:sz w:val="20"/>
      <w:color w:val="0A0A0A"/>
    </w:rPr>
    <w:pPr>
      <w:spacing w:after="92" w:line="280" w:lineRule="auto"/>
      <w:shd w:fill="EEF4FF"/>
      <w:pBdr>
        <w:left w:val="single" w:sz="18" w:space="8" w:color="0A59D2"/>
      </w:pBdr>
    </w:pPr>
  </w:style>
  <w:style w:type="paragraph" w:styleId="IntenseQuote">
    <w:name w:val="Intense Quote"/>
    <w:rPr>
      <w:rFonts w:ascii="Arial" w:hAnsi="Arial"/>
      <w:b/>
      <w:color w:val="0A0A0A"/>
      <w:sz w:val="21"/>
    </w:rPr>
    <w:pPr>
      <w:spacing w:before="90" w:after="170" w:line="292" w:lineRule="auto"/>
      <w:shd w:fill="F5F3F1"/>
      <w:pBdr>
        <w:left w:val="single" w:sz="24" w:space="10" w:color="0A0A0A"/>
      </w:pBdr>
    </w:pPr>
  </w:style>
  <w:style w:type="paragraph" w:styleId="ExampleBlock">
    <w:name w:val="Example Block"/>
    <w:rPr>
      <w:rFonts w:ascii="Arial" w:hAnsi="Arial"/>
      <w:sz w:val="21"/>
      <w:color w:val="0A0A0A"/>
    </w:rPr>
    <w:pPr>
      <w:spacing w:before="60" w:after="120" w:line="288" w:lineRule="auto"/>
      <w:shd w:fill="EEF4FF"/>
      <w:pBdr>
        <w:left w:val="single" w:sz="14" w:space="8" w:color="0A59D2"/>
      </w:pBdr>
    </w:pPr>
  </w:style>
  <w:style w:type="paragraph" w:styleId="EmailSubject">
    <w:name w:val="Email Subject"/>
    <w:rPr>
      <w:rFonts w:ascii="Arial" w:hAnsi="Arial"/>
      <w:b/>
      <w:sz w:val="21"/>
      <w:color w:val="0A0A0A"/>
    </w:rPr>
    <w:pPr>
      <w:keepNext/>
      <w:spacing w:before="150" w:after="0" w:line="284" w:lineRule="auto"/>
      <w:shd w:fill="EEF4FF"/>
      <w:pBdr>
        <w:top w:val="single" w:sz="14" w:space="6" w:color="0A59D2"/>
        <w:left w:val="single" w:sz="14" w:space="8" w:color="0A59D2"/>
      </w:pBdr>
    </w:pPr>
  </w:style>
  <w:style w:type="paragraph" w:styleId="TableHeader">
    <w:name w:val="Table Header"/>
    <w:rPr>
      <w:rFonts w:ascii="Arial" w:hAnsi="Arial"/>
      <w:b/>
      <w:caps/>
      <w:sz w:val="18"/>
      <w:color w:val="FFFFFF"/>
      <w:spacing w:val="14"/>
    </w:rPr>
    <w:pPr>
      <w:spacing w:before="0" w:after="0" w:line="250" w:lineRule="auto"/>
    </w:pPr>
  </w:style>
  <w:style w:type="paragraph" w:styleId="TableCell">
    <w:name w:val="Table Cell"/>
    <w:rPr>
      <w:rFonts w:ascii="Arial" w:hAnsi="Arial"/>
      <w:sz w:val="20"/>
      <w:color w:val="0A0A0A"/>
    </w:rPr>
    <w:pPr>
      <w:spacing w:before="0" w:after="0" w:line="262" w:lineRule="auto"/>
    </w:pPr>
  </w:style>
  <w:style w:type="paragraph" w:styleId="TableLabel">
    <w:name w:val="Table Label"/>
    <w:rPr>
      <w:rFonts w:ascii="Arial" w:hAnsi="Arial"/>
      <w:b/>
      <w:sz w:val="20"/>
      <w:color w:val="0A0A0A"/>
    </w:rPr>
    <w:pPr>
      <w:spacing w:before="0" w:after="0" w:line="262"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xml"/>
</Relationships>
</file>

<file path=docProps/app.xml><?xml version="1.0" encoding="utf-8"?>
<Properties xmlns="http://schemas.openxmlformats.org/officeDocument/2006/extended-properties">
  <Application>Side Hustle Stephen Asset Generator</Application>
</Properties>
</file>

<file path=docProps/core.xml><?xml version="1.0" encoding="utf-8"?>
<cp:coreProperties xmlns:cp="http://schemas.openxmlformats.org/package/2006/metadata/core-properties" xmlns:dc="http://purl.org/dc/elements/1.1/" xmlns:dcterms="http://purl.org/dc/terms/">
  <dc:title>AI Automation Pack</dc:title>
  <dc:creator>Side Hustle Stephen</dc:creator>
  <dc:subject>Realtor Suburb Snapshot Reports</dc:subject>
  <dc:description>Scheduled AI-agent prompts for this service: daily lead triage, weekly prospecting, outreach drafting, follow-ups, delivery QA, weekly reporting, and proof repurposing - each ready to paste into an agent and run on a cadence with human approval.</dc:description>
</cp:coreProperties>
</file>