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BrandBand"/>
      </w:pPr>
      <w:r>
        <w:t xml:space="preserve">SIDE HUSTLE STEPHEN</w:t>
      </w:r>
    </w:p>
    <w:p>
      <w:pPr>
        <w:pStyle w:val="Title"/>
      </w:pPr>
      <w:r>
        <w:t xml:space="preserve">Client FAQs</w:t>
      </w:r>
    </w:p>
    <w:p>
      <w:pPr>
        <w:pStyle w:val="Heading2"/>
      </w:pPr>
      <w:r>
        <w:t xml:space="preserve">Realtor Suburb Snapshot Reports</w:t>
      </w:r>
    </w:p>
    <w:p>
      <w:pPr>
        <w:pStyle w:val="Lead"/>
      </w:pPr>
      <w:r>
        <w:t xml:space="preserve">Buyer-facing answers on AI research, source verification, report limits, approvals, automation, and deliverables.</w:t>
      </w:r>
    </w:p>
    <w:p>
      <w:pPr>
        <w:pStyle w:val="Tagline"/>
      </w:pPr>
      <w:r>
        <w:t xml:space="preserve">Turn one suburb and one AI prompt into a report agents can publish.</w:t>
      </w:r>
    </w:p>
    <w:p>
      <w:pPr>
        <w:pBdr>
          <w:bottom w:val="single" w:sz="8" w:space="1" w:color="0A0A0A"/>
        </w:pBdr>
        <w:spacing w:before="70" w:after="210"/>
      </w:pP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2200"/>
        <w:gridCol w:w="6980"/>
      </w:tblGrid>
      <w:tr>
        <w:tc>
          <w:tcPr>
            <w:tcW w:w="2200" w:type="dxa"/>
            <w:shd w:fill="F5F3F1"/>
            <w:tcMar>
              <w:top w:w="120" w:type="dxa"/>
              <w:left w:w="150" w:type="dxa"/>
              <w:bottom w:w="120" w:type="dxa"/>
              <w:right w:w="150" w:type="dxa"/>
            </w:tcMar>
            <w:vAlign w:val="center"/>
          </w:tcPr>
          <w:p>
            <w:pPr>
              <w:pStyle w:val="TableLabel"/>
            </w:pPr>
            <w:r>
              <w:t xml:space="preserve">Buyer</w:t>
            </w:r>
          </w:p>
        </w:tc>
        <w:tc>
          <w:tcPr>
            <w:tcW w:w="6980" w:type="dxa"/>
            <w:shd w:fill="F5F3F1"/>
            <w:tcMar>
              <w:top w:w="120" w:type="dxa"/>
              <w:left w:w="150" w:type="dxa"/>
              <w:bottom w:w="120" w:type="dxa"/>
              <w:right w:w="150" w:type="dxa"/>
            </w:tcMar>
            <w:vAlign w:val="center"/>
          </w:tcPr>
          <w:p>
            <w:pPr>
              <w:pStyle w:val="TableCell"/>
            </w:pPr>
            <w:r>
              <w:t xml:space="preserve">Real estate agents</w:t>
            </w:r>
          </w:p>
        </w:tc>
      </w:tr>
      <w:tr>
        <w:tc>
          <w:tcPr>
            <w:tcW w:w="2200" w:type="dxa"/>
            <w:shd w:fill="F5F3F1"/>
            <w:tcMar>
              <w:top w:w="120" w:type="dxa"/>
              <w:left w:w="150" w:type="dxa"/>
              <w:bottom w:w="120" w:type="dxa"/>
              <w:right w:w="150" w:type="dxa"/>
            </w:tcMar>
            <w:vAlign w:val="center"/>
          </w:tcPr>
          <w:p>
            <w:pPr>
              <w:pStyle w:val="TableLabel"/>
            </w:pPr>
            <w:r>
              <w:t xml:space="preserve">Category</w:t>
            </w:r>
          </w:p>
        </w:tc>
        <w:tc>
          <w:tcPr>
            <w:tcW w:w="6980" w:type="dxa"/>
            <w:tcMar>
              <w:top w:w="120" w:type="dxa"/>
              <w:left w:w="150" w:type="dxa"/>
              <w:bottom w:w="120" w:type="dxa"/>
              <w:right w:w="150" w:type="dxa"/>
            </w:tcMar>
            <w:vAlign w:val="center"/>
          </w:tcPr>
          <w:p>
            <w:pPr>
              <w:pStyle w:val="TableCell"/>
            </w:pPr>
            <w:r>
              <w:t xml:space="preserve">B2B Service</w:t>
            </w:r>
          </w:p>
        </w:tc>
      </w:tr>
      <w:tr>
        <w:tc>
          <w:tcPr>
            <w:tcW w:w="2200" w:type="dxa"/>
            <w:shd w:fill="F5F3F1"/>
            <w:tcMar>
              <w:top w:w="120" w:type="dxa"/>
              <w:left w:w="150" w:type="dxa"/>
              <w:bottom w:w="120" w:type="dxa"/>
              <w:right w:w="150" w:type="dxa"/>
            </w:tcMar>
            <w:vAlign w:val="center"/>
          </w:tcPr>
          <w:p>
            <w:pPr>
              <w:pStyle w:val="TableLabel"/>
            </w:pPr>
            <w:r>
              <w:t xml:space="preserve">Startup cost</w:t>
            </w:r>
          </w:p>
        </w:tc>
        <w:tc>
          <w:tcPr>
            <w:tcW w:w="6980" w:type="dxa"/>
            <w:shd w:fill="F5F3F1"/>
            <w:tcMar>
              <w:top w:w="120" w:type="dxa"/>
              <w:left w:w="150" w:type="dxa"/>
              <w:bottom w:w="120" w:type="dxa"/>
              <w:right w:w="150" w:type="dxa"/>
            </w:tcMar>
            <w:vAlign w:val="center"/>
          </w:tcPr>
          <w:p>
            <w:pPr>
              <w:pStyle w:val="TableCell"/>
            </w:pPr>
            <w:r>
              <w:t xml:space="preserve">$0</w:t>
            </w:r>
          </w:p>
        </w:tc>
      </w:tr>
      <w:tr>
        <w:tc>
          <w:tcPr>
            <w:tcW w:w="2200" w:type="dxa"/>
            <w:shd w:fill="F5F3F1"/>
            <w:tcMar>
              <w:top w:w="120" w:type="dxa"/>
              <w:left w:w="150" w:type="dxa"/>
              <w:bottom w:w="120" w:type="dxa"/>
              <w:right w:w="150" w:type="dxa"/>
            </w:tcMar>
            <w:vAlign w:val="center"/>
          </w:tcPr>
          <w:p>
            <w:pPr>
              <w:pStyle w:val="TableLabel"/>
            </w:pPr>
            <w:r>
              <w:t xml:space="preserve">First sale</w:t>
            </w:r>
          </w:p>
        </w:tc>
        <w:tc>
          <w:tcPr>
            <w:tcW w:w="6980" w:type="dxa"/>
            <w:tcMar>
              <w:top w:w="120" w:type="dxa"/>
              <w:left w:w="150" w:type="dxa"/>
              <w:bottom w:w="120" w:type="dxa"/>
              <w:right w:w="150" w:type="dxa"/>
            </w:tcMar>
            <w:vAlign w:val="center"/>
          </w:tcPr>
          <w:p>
            <w:pPr>
              <w:pStyle w:val="TableCell"/>
            </w:pPr>
            <w:r>
              <w:t xml:space="preserve">2-4 weeks</w:t>
            </w:r>
          </w:p>
        </w:tc>
      </w:tr>
      <w:tr>
        <w:tc>
          <w:tcPr>
            <w:tcW w:w="2200" w:type="dxa"/>
            <w:shd w:fill="F5F3F1"/>
            <w:tcMar>
              <w:top w:w="120" w:type="dxa"/>
              <w:left w:w="150" w:type="dxa"/>
              <w:bottom w:w="120" w:type="dxa"/>
              <w:right w:w="150" w:type="dxa"/>
            </w:tcMar>
            <w:vAlign w:val="center"/>
          </w:tcPr>
          <w:p>
            <w:pPr>
              <w:pStyle w:val="TableLabel"/>
            </w:pPr>
            <w:r>
              <w:t xml:space="preserve">Difficulty</w:t>
            </w:r>
          </w:p>
        </w:tc>
        <w:tc>
          <w:tcPr>
            <w:tcW w:w="6980" w:type="dxa"/>
            <w:shd w:fill="F5F3F1"/>
            <w:tcMar>
              <w:top w:w="120" w:type="dxa"/>
              <w:left w:w="150" w:type="dxa"/>
              <w:bottom w:w="120" w:type="dxa"/>
              <w:right w:w="150" w:type="dxa"/>
            </w:tcMar>
            <w:vAlign w:val="center"/>
          </w:tcPr>
          <w:p>
            <w:pPr>
              <w:pStyle w:val="TableCell"/>
            </w:pPr>
            <w:r>
              <w:t xml:space="preserve">Medium</w:t>
            </w:r>
          </w:p>
        </w:tc>
      </w:tr>
    </w:tbl>
    <w:p>
      <w:pPr>
        <w:pStyle w:val="Kicker"/>
      </w:pPr>
      <w:r>
        <w:t xml:space="preserve">Operator standard</w:t>
      </w:r>
    </w:p>
    <w:p>
      <w:pPr>
        <w:pStyle w:val="IntenseQuote"/>
      </w:pPr>
      <w:r>
        <w:t xml:space="preserve">Use this as a working asset. Replace bracketed details with buyer-specific information, verify every sensitive fact, and keep approvals in writing.</w:t>
      </w:r>
    </w:p>
    <w:p>
      <w:pPr>
        <w:pStyle w:val="Kicker"/>
      </w:pPr>
      <w:r>
        <w:t xml:space="preserve">Launch action board</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620"/>
        <w:gridCol w:w="3960"/>
        <w:gridCol w:w="3600"/>
      </w:tblGrid>
      <w:tr>
        <w:tc>
          <w:tcPr>
            <w:tcW w:w="1620" w:type="dxa"/>
            <w:shd w:fill="0A0A0A"/>
            <w:tcMar>
              <w:top w:w="120" w:type="dxa"/>
              <w:left w:w="150" w:type="dxa"/>
              <w:bottom w:w="120" w:type="dxa"/>
              <w:right w:w="150" w:type="dxa"/>
            </w:tcMar>
            <w:vAlign w:val="center"/>
          </w:tcPr>
          <w:p>
            <w:pPr>
              <w:pStyle w:val="TableHeader"/>
            </w:pPr>
            <w:r>
              <w:t xml:space="preserve">Move</w:t>
            </w:r>
          </w:p>
        </w:tc>
        <w:tc>
          <w:tcPr>
            <w:tcW w:w="3960" w:type="dxa"/>
            <w:shd w:fill="0A0A0A"/>
            <w:tcMar>
              <w:top w:w="120" w:type="dxa"/>
              <w:left w:w="150" w:type="dxa"/>
              <w:bottom w:w="120" w:type="dxa"/>
              <w:right w:w="150" w:type="dxa"/>
            </w:tcMar>
            <w:vAlign w:val="center"/>
          </w:tcPr>
          <w:p>
            <w:pPr>
              <w:pStyle w:val="TableHeader"/>
            </w:pPr>
            <w:r>
              <w:t xml:space="preserve">What to check</w:t>
            </w:r>
          </w:p>
        </w:tc>
        <w:tc>
          <w:tcPr>
            <w:tcW w:w="3600" w:type="dxa"/>
            <w:shd w:fill="0A0A0A"/>
            <w:tcMar>
              <w:top w:w="120" w:type="dxa"/>
              <w:left w:w="150" w:type="dxa"/>
              <w:bottom w:w="120" w:type="dxa"/>
              <w:right w:w="150" w:type="dxa"/>
            </w:tcMar>
            <w:vAlign w:val="center"/>
          </w:tcPr>
          <w:p>
            <w:pPr>
              <w:pStyle w:val="TableHeader"/>
            </w:pPr>
            <w:r>
              <w:t xml:space="preserve">Output</w:t>
            </w:r>
          </w:p>
        </w:tc>
      </w:tr>
      <w:tr>
        <w:tc>
          <w:tcPr>
            <w:tcW w:w="1620" w:type="dxa"/>
            <w:shd w:fill="F5F3F1"/>
            <w:tcMar>
              <w:top w:w="120" w:type="dxa"/>
              <w:left w:w="150" w:type="dxa"/>
              <w:bottom w:w="120" w:type="dxa"/>
              <w:right w:w="150" w:type="dxa"/>
            </w:tcMar>
            <w:vAlign w:val="center"/>
          </w:tcPr>
          <w:p>
            <w:pPr>
              <w:pStyle w:val="TableCell"/>
            </w:pPr>
            <w:r>
              <w:t xml:space="preserve">1. Scope</w:t>
            </w:r>
          </w:p>
        </w:tc>
        <w:tc>
          <w:tcPr>
            <w:tcW w:w="3960" w:type="dxa"/>
            <w:shd w:fill="F5F3F1"/>
            <w:tcMar>
              <w:top w:w="120" w:type="dxa"/>
              <w:left w:w="150" w:type="dxa"/>
              <w:bottom w:w="120" w:type="dxa"/>
              <w:right w:w="150" w:type="dxa"/>
            </w:tcMar>
            <w:vAlign w:val="center"/>
          </w:tcPr>
          <w:p>
            <w:pPr>
              <w:pStyle w:val="TableCell"/>
            </w:pPr>
            <w:r>
              <w:t xml:space="preserve">Buyer, input files, sensitive claims, approval owner</w:t>
            </w:r>
          </w:p>
        </w:tc>
        <w:tc>
          <w:tcPr>
            <w:tcW w:w="3600" w:type="dxa"/>
            <w:shd w:fill="F5F3F1"/>
            <w:tcMar>
              <w:top w:w="120" w:type="dxa"/>
              <w:left w:w="150" w:type="dxa"/>
              <w:bottom w:w="120" w:type="dxa"/>
              <w:right w:w="150" w:type="dxa"/>
            </w:tcMar>
            <w:vAlign w:val="center"/>
          </w:tcPr>
          <w:p>
            <w:pPr>
              <w:pStyle w:val="TableCell"/>
            </w:pPr>
            <w:r>
              <w:t xml:space="preserve">Clean project brief</w:t>
            </w:r>
          </w:p>
        </w:tc>
      </w:tr>
      <w:tr>
        <w:tc>
          <w:tcPr>
            <w:tcW w:w="1620" w:type="dxa"/>
            <w:tcMar>
              <w:top w:w="120" w:type="dxa"/>
              <w:left w:w="150" w:type="dxa"/>
              <w:bottom w:w="120" w:type="dxa"/>
              <w:right w:w="150" w:type="dxa"/>
            </w:tcMar>
            <w:vAlign w:val="center"/>
          </w:tcPr>
          <w:p>
            <w:pPr>
              <w:pStyle w:val="TableCell"/>
            </w:pPr>
            <w:r>
              <w:t xml:space="preserve">2. Build</w:t>
            </w:r>
          </w:p>
        </w:tc>
        <w:tc>
          <w:tcPr>
            <w:tcW w:w="3960" w:type="dxa"/>
            <w:tcMar>
              <w:top w:w="120" w:type="dxa"/>
              <w:left w:w="150" w:type="dxa"/>
              <w:bottom w:w="120" w:type="dxa"/>
              <w:right w:w="150" w:type="dxa"/>
            </w:tcMar>
            <w:vAlign w:val="center"/>
          </w:tcPr>
          <w:p>
            <w:pPr>
              <w:pStyle w:val="TableCell"/>
            </w:pPr>
            <w:r>
              <w:t xml:space="preserve">Use the template, prompts, checklist, or workbook sections</w:t>
            </w:r>
          </w:p>
        </w:tc>
        <w:tc>
          <w:tcPr>
            <w:tcW w:w="3600" w:type="dxa"/>
            <w:tcMar>
              <w:top w:w="120" w:type="dxa"/>
              <w:left w:w="150" w:type="dxa"/>
              <w:bottom w:w="120" w:type="dxa"/>
              <w:right w:w="150" w:type="dxa"/>
            </w:tcMar>
            <w:vAlign w:val="center"/>
          </w:tcPr>
          <w:p>
            <w:pPr>
              <w:pStyle w:val="TableCell"/>
            </w:pPr>
            <w:r>
              <w:t xml:space="preserve">Buyer-specific asset</w:t>
            </w:r>
          </w:p>
        </w:tc>
      </w:tr>
      <w:tr>
        <w:tc>
          <w:tcPr>
            <w:tcW w:w="1620" w:type="dxa"/>
            <w:shd w:fill="F5F3F1"/>
            <w:tcMar>
              <w:top w:w="120" w:type="dxa"/>
              <w:left w:w="150" w:type="dxa"/>
              <w:bottom w:w="120" w:type="dxa"/>
              <w:right w:w="150" w:type="dxa"/>
            </w:tcMar>
            <w:vAlign w:val="center"/>
          </w:tcPr>
          <w:p>
            <w:pPr>
              <w:pStyle w:val="TableCell"/>
            </w:pPr>
            <w:r>
              <w:t xml:space="preserve">3. Approve</w:t>
            </w:r>
          </w:p>
        </w:tc>
        <w:tc>
          <w:tcPr>
            <w:tcW w:w="3960" w:type="dxa"/>
            <w:shd w:fill="F5F3F1"/>
            <w:tcMar>
              <w:top w:w="120" w:type="dxa"/>
              <w:left w:w="150" w:type="dxa"/>
              <w:bottom w:w="120" w:type="dxa"/>
              <w:right w:w="150" w:type="dxa"/>
            </w:tcMar>
            <w:vAlign w:val="center"/>
          </w:tcPr>
          <w:p>
            <w:pPr>
              <w:pStyle w:val="TableCell"/>
            </w:pPr>
            <w:r>
              <w:t xml:space="preserve">Facts, prices, dates, links, policies, and public claims</w:t>
            </w:r>
          </w:p>
        </w:tc>
        <w:tc>
          <w:tcPr>
            <w:tcW w:w="3600" w:type="dxa"/>
            <w:shd w:fill="F5F3F1"/>
            <w:tcMar>
              <w:top w:w="120" w:type="dxa"/>
              <w:left w:w="150" w:type="dxa"/>
              <w:bottom w:w="120" w:type="dxa"/>
              <w:right w:w="150" w:type="dxa"/>
            </w:tcMar>
            <w:vAlign w:val="center"/>
          </w:tcPr>
          <w:p>
            <w:pPr>
              <w:pStyle w:val="TableCell"/>
            </w:pPr>
            <w:r>
              <w:t xml:space="preserve">Approved final version</w:t>
            </w:r>
          </w:p>
        </w:tc>
      </w:tr>
      <w:tr>
        <w:tc>
          <w:tcPr>
            <w:tcW w:w="1620" w:type="dxa"/>
            <w:tcMar>
              <w:top w:w="120" w:type="dxa"/>
              <w:left w:w="150" w:type="dxa"/>
              <w:bottom w:w="120" w:type="dxa"/>
              <w:right w:w="150" w:type="dxa"/>
            </w:tcMar>
            <w:vAlign w:val="center"/>
          </w:tcPr>
          <w:p>
            <w:pPr>
              <w:pStyle w:val="TableCell"/>
            </w:pPr>
            <w:r>
              <w:t xml:space="preserve">4. Follow up</w:t>
            </w:r>
          </w:p>
        </w:tc>
        <w:tc>
          <w:tcPr>
            <w:tcW w:w="3960" w:type="dxa"/>
            <w:tcMar>
              <w:top w:w="120" w:type="dxa"/>
              <w:left w:w="150" w:type="dxa"/>
              <w:bottom w:w="120" w:type="dxa"/>
              <w:right w:w="150" w:type="dxa"/>
            </w:tcMar>
            <w:vAlign w:val="center"/>
          </w:tcPr>
          <w:p>
            <w:pPr>
              <w:pStyle w:val="TableCell"/>
            </w:pPr>
            <w:r>
              <w:t xml:space="preserve">Next refresh, retainer, or second sprint</w:t>
            </w:r>
          </w:p>
        </w:tc>
        <w:tc>
          <w:tcPr>
            <w:tcW w:w="3600" w:type="dxa"/>
            <w:tcMar>
              <w:top w:w="120" w:type="dxa"/>
              <w:left w:w="150" w:type="dxa"/>
              <w:bottom w:w="120" w:type="dxa"/>
              <w:right w:w="150" w:type="dxa"/>
            </w:tcMar>
            <w:vAlign w:val="center"/>
          </w:tcPr>
          <w:p>
            <w:pPr>
              <w:pStyle w:val="TableCell"/>
            </w:pPr>
            <w:r>
              <w:t xml:space="preserve">Clear paid next step</w:t>
            </w:r>
          </w:p>
        </w:tc>
      </w:tr>
    </w:tbl>
    <w:p>
      <w:pPr>
        <w:pStyle w:val="Kicker"/>
      </w:pPr>
      <w:r>
        <w:t xml:space="preserve">In this document</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1180"/>
        <w:gridCol w:w="7940"/>
      </w:tblGrid>
      <w:tr>
        <w:tc>
          <w:tcPr>
            <w:tcW w:w="1180" w:type="dxa"/>
            <w:shd w:fill="0A0A0A"/>
            <w:tcMar>
              <w:top w:w="120" w:type="dxa"/>
              <w:left w:w="150" w:type="dxa"/>
              <w:bottom w:w="120" w:type="dxa"/>
              <w:right w:w="150" w:type="dxa"/>
            </w:tcMar>
            <w:vAlign w:val="center"/>
          </w:tcPr>
          <w:p>
            <w:pPr>
              <w:pStyle w:val="TableHeader"/>
            </w:pPr>
            <w:r>
              <w:t xml:space="preserve">Section</w:t>
            </w:r>
          </w:p>
        </w:tc>
        <w:tc>
          <w:tcPr>
            <w:tcW w:w="7940" w:type="dxa"/>
            <w:shd w:fill="0A0A0A"/>
            <w:tcMar>
              <w:top w:w="120" w:type="dxa"/>
              <w:left w:w="150" w:type="dxa"/>
              <w:bottom w:w="120" w:type="dxa"/>
              <w:right w:w="150" w:type="dxa"/>
            </w:tcMar>
            <w:vAlign w:val="center"/>
          </w:tcPr>
          <w:p>
            <w:pPr>
              <w:pStyle w:val="TableHeader"/>
            </w:pPr>
            <w:r>
              <w:t xml:space="preserve">What it covers</w:t>
            </w:r>
          </w:p>
        </w:tc>
      </w:tr>
      <w:tr>
        <w:tc>
          <w:tcPr>
            <w:tcW w:w="1180" w:type="dxa"/>
            <w:shd w:fill="F5F3F1"/>
            <w:tcMar>
              <w:top w:w="120" w:type="dxa"/>
              <w:left w:w="150" w:type="dxa"/>
              <w:bottom w:w="120" w:type="dxa"/>
              <w:right w:w="150" w:type="dxa"/>
            </w:tcMar>
            <w:vAlign w:val="center"/>
          </w:tcPr>
          <w:p>
            <w:pPr>
              <w:pStyle w:val="TableCell"/>
            </w:pPr>
            <w:r>
              <w:t xml:space="preserve">01</w:t>
            </w:r>
          </w:p>
        </w:tc>
        <w:tc>
          <w:tcPr>
            <w:tcW w:w="7940" w:type="dxa"/>
            <w:shd w:fill="F5F3F1"/>
            <w:tcMar>
              <w:top w:w="120" w:type="dxa"/>
              <w:left w:w="150" w:type="dxa"/>
              <w:bottom w:w="120" w:type="dxa"/>
              <w:right w:w="150" w:type="dxa"/>
            </w:tcMar>
            <w:vAlign w:val="center"/>
          </w:tcPr>
          <w:p>
            <w:pPr>
              <w:pStyle w:val="TableCell"/>
            </w:pPr>
            <w:r>
              <w:t xml:space="preserve">How to use these FAQs - Use these answers in the proposal, checkout page, or sample-delivery email.</w:t>
            </w:r>
          </w:p>
        </w:tc>
      </w:tr>
      <w:tr>
        <w:tc>
          <w:tcPr>
            <w:tcW w:w="1180" w:type="dxa"/>
            <w:tcMar>
              <w:top w:w="120" w:type="dxa"/>
              <w:left w:w="150" w:type="dxa"/>
              <w:bottom w:w="120" w:type="dxa"/>
              <w:right w:w="150" w:type="dxa"/>
            </w:tcMar>
            <w:vAlign w:val="center"/>
          </w:tcPr>
          <w:p>
            <w:pPr>
              <w:pStyle w:val="TableCell"/>
            </w:pPr>
            <w:r>
              <w:t xml:space="preserve">02</w:t>
            </w:r>
          </w:p>
        </w:tc>
        <w:tc>
          <w:tcPr>
            <w:tcW w:w="7940" w:type="dxa"/>
            <w:tcMar>
              <w:top w:w="120" w:type="dxa"/>
              <w:left w:w="150" w:type="dxa"/>
              <w:bottom w:w="120" w:type="dxa"/>
              <w:right w:w="150" w:type="dxa"/>
            </w:tcMar>
            <w:vAlign w:val="center"/>
          </w:tcPr>
          <w:p>
            <w:pPr>
              <w:pStyle w:val="TableCell"/>
            </w:pPr>
            <w:r>
              <w:t xml:space="preserve">Buyer FAQs - What do I receive? You receive a one-page suburb snapshot, source ledger, three talking…</w:t>
            </w:r>
          </w:p>
        </w:tc>
      </w:tr>
      <w:tr>
        <w:tc>
          <w:tcPr>
            <w:tcW w:w="1180" w:type="dxa"/>
            <w:shd w:fill="F5F3F1"/>
            <w:tcMar>
              <w:top w:w="120" w:type="dxa"/>
              <w:left w:w="150" w:type="dxa"/>
              <w:bottom w:w="120" w:type="dxa"/>
              <w:right w:w="150" w:type="dxa"/>
            </w:tcMar>
            <w:vAlign w:val="center"/>
          </w:tcPr>
          <w:p>
            <w:pPr>
              <w:pStyle w:val="TableCell"/>
            </w:pPr>
            <w:r>
              <w:t xml:space="preserve">03</w:t>
            </w:r>
          </w:p>
        </w:tc>
        <w:tc>
          <w:tcPr>
            <w:tcW w:w="7940" w:type="dxa"/>
            <w:shd w:fill="F5F3F1"/>
            <w:tcMar>
              <w:top w:w="120" w:type="dxa"/>
              <w:left w:w="150" w:type="dxa"/>
              <w:bottom w:w="120" w:type="dxa"/>
              <w:right w:w="150" w:type="dxa"/>
            </w:tcMar>
            <w:vAlign w:val="center"/>
          </w:tcPr>
          <w:p>
            <w:pPr>
              <w:pStyle w:val="TableCell"/>
            </w:pPr>
            <w:r>
              <w:t xml:space="preserve">Objection-handling notes - We already receive market reports: position this as an agent-branded content layer that…</w:t>
            </w:r>
          </w:p>
        </w:tc>
      </w:tr>
      <w:tr>
        <w:tc>
          <w:tcPr>
            <w:tcW w:w="1180" w:type="dxa"/>
            <w:tcMar>
              <w:top w:w="120" w:type="dxa"/>
              <w:left w:w="150" w:type="dxa"/>
              <w:bottom w:w="120" w:type="dxa"/>
              <w:right w:w="150" w:type="dxa"/>
            </w:tcMar>
            <w:vAlign w:val="center"/>
          </w:tcPr>
          <w:p>
            <w:pPr>
              <w:pStyle w:val="TableCell"/>
            </w:pPr>
            <w:r>
              <w:t xml:space="preserve">04</w:t>
            </w:r>
          </w:p>
        </w:tc>
        <w:tc>
          <w:tcPr>
            <w:tcW w:w="7940" w:type="dxa"/>
            <w:tcMar>
              <w:top w:w="120" w:type="dxa"/>
              <w:left w:w="150" w:type="dxa"/>
              <w:bottom w:w="120" w:type="dxa"/>
              <w:right w:w="150" w:type="dxa"/>
            </w:tcMar>
            <w:vAlign w:val="center"/>
          </w:tcPr>
          <w:p>
            <w:pPr>
              <w:pStyle w:val="TableCell"/>
            </w:pPr>
            <w:r>
              <w:t xml:space="preserve">Website preview copy - A one-suburb content service built around one AI research run, one source ledger, one…</w:t>
            </w:r>
          </w:p>
        </w:tc>
      </w:tr>
      <w:tr>
        <w:tc>
          <w:tcPr>
            <w:tcW w:w="1180" w:type="dxa"/>
            <w:shd w:fill="F5F3F1"/>
            <w:tcMar>
              <w:top w:w="120" w:type="dxa"/>
              <w:left w:w="150" w:type="dxa"/>
              <w:bottom w:w="120" w:type="dxa"/>
              <w:right w:w="150" w:type="dxa"/>
            </w:tcMar>
            <w:vAlign w:val="center"/>
          </w:tcPr>
          <w:p>
            <w:pPr>
              <w:pStyle w:val="TableCell"/>
            </w:pPr>
            <w:r>
              <w:t xml:space="preserve">05</w:t>
            </w:r>
          </w:p>
        </w:tc>
        <w:tc>
          <w:tcPr>
            <w:tcW w:w="7940" w:type="dxa"/>
            <w:shd w:fill="F5F3F1"/>
            <w:tcMar>
              <w:top w:w="120" w:type="dxa"/>
              <w:left w:w="150" w:type="dxa"/>
              <w:bottom w:w="120" w:type="dxa"/>
              <w:right w:w="150" w:type="dxa"/>
            </w:tcMar>
            <w:vAlign w:val="center"/>
          </w:tcPr>
          <w:p>
            <w:pPr>
              <w:pStyle w:val="TableCell"/>
            </w:pPr>
            <w:r>
              <w:t xml:space="preserve">Delivery standards (shared) - This asset is for real estate agents; replace bracketed fields with their specifics before…</w:t>
            </w:r>
          </w:p>
        </w:tc>
      </w:tr>
    </w:tbl>
    <w:p>
      <w:pPr>
        <w:pStyle w:val="Heading3"/>
      </w:pPr>
      <w:r>
        <w:t xml:space="preserve">Before sending</w:t>
      </w:r>
    </w:p>
    <w:p>
      <w:pPr>
        <w:pStyle w:val="Checklist"/>
      </w:pPr>
      <w:r>
        <w:t xml:space="preserve">[ ]  Replace bracketed fields.</w:t>
      </w:r>
    </w:p>
    <w:p>
      <w:pPr>
        <w:pStyle w:val="Checklist"/>
      </w:pPr>
      <w:r>
        <w:t xml:space="preserve">[ ]  Verify facts and claims.</w:t>
      </w:r>
    </w:p>
    <w:p>
      <w:pPr>
        <w:pStyle w:val="Checklist"/>
      </w:pPr>
      <w:r>
        <w:t xml:space="preserve">[ ]  Send for approval before publishing.</w:t>
      </w:r>
    </w:p>
    <w:p>
      <w:pPr>
        <w:pStyle w:val="Heading1"/>
      </w:pPr>
      <w:r>
        <w:t xml:space="preserve">01 / How to use these FAQs</w:t>
      </w:r>
    </w:p>
    <w:p>
      <w:pPr>
        <w:pStyle w:val="ListParagraph"/>
        <w:numPr>
          <w:ilvl w:val="0"/>
          <w:numId w:val="1"/>
        </w:numPr>
      </w:pPr>
      <w:r>
        <w:t xml:space="preserve">Use these answers in the proposal, checkout page, or sample-delivery email.</w:t>
      </w:r>
    </w:p>
    <w:p>
      <w:pPr>
        <w:pStyle w:val="ListParagraph"/>
        <w:numPr>
          <w:ilvl w:val="0"/>
          <w:numId w:val="1"/>
        </w:numPr>
      </w:pPr>
      <w:r>
        <w:t xml:space="preserve">Keep the service positioned as source-backed content production with agent approval.</w:t>
      </w:r>
    </w:p>
    <w:p>
      <w:pPr>
        <w:pStyle w:val="ListParagraph"/>
        <w:numPr>
          <w:ilvl w:val="0"/>
          <w:numId w:val="1"/>
        </w:numPr>
      </w:pPr>
      <w:r>
        <w:t xml:space="preserve">Adjust any licensing, advertising, or disclosure wording to local rules before publishing.</w:t>
      </w:r>
    </w:p>
    <w:p>
      <w:pPr>
        <w:pStyle w:val="ListParagraph"/>
        <w:numPr>
          <w:ilvl w:val="0"/>
          <w:numId w:val="1"/>
        </w:numPr>
      </w:pPr>
      <w:r>
        <w:t xml:space="preserve">Add real objections from agent conversations as the offer develops.</w:t>
      </w:r>
    </w:p>
    <w:p>
      <w:pPr>
        <w:pStyle w:val="Heading1"/>
      </w:pPr>
      <w:r>
        <w:t xml:space="preserve">02 / Buyer FAQs</w:t>
      </w:r>
    </w:p>
    <w:p>
      <w:pPr>
        <w:pStyle w:val="Heading3"/>
      </w:pPr>
      <w:r>
        <w:t xml:space="preserve">What do I receive?</w:t>
      </w:r>
    </w:p>
    <w:p>
      <w:r>
        <w:t xml:space="preserve">You receive a one-page suburb snapshot, source ledger, three talking points, one client email, three social posts, and an approval-ready handoff for the agreed suburb and reporting period.</w:t>
      </w:r>
    </w:p>
    <w:p>
      <w:pPr>
        <w:pStyle w:val="Heading3"/>
      </w:pPr>
      <w:r>
        <w:t xml:space="preserve">Do I need to collect the data?</w:t>
      </w:r>
    </w:p>
    <w:p>
      <w:r>
        <w:t xml:space="preserve">No. The workflow uses a browsing-capable AI research agent to find and structure credible public information. The operator then opens and checks every cited source before the draft is sent to you.</w:t>
      </w:r>
    </w:p>
    <w:p>
      <w:pPr>
        <w:pStyle w:val="Heading3"/>
      </w:pPr>
      <w:r>
        <w:t xml:space="preserve">Is the report written entirely by AI?</w:t>
      </w:r>
    </w:p>
    <w:p>
      <w:r>
        <w:t xml:space="preserve">AI handles the first research and production pass. A human verifies the source links and figures, removes unsupported claims, applies your brief, and prepares the report for your approval.</w:t>
      </w:r>
    </w:p>
    <w:p>
      <w:pPr>
        <w:pStyle w:val="Heading3"/>
      </w:pPr>
      <w:r>
        <w:t xml:space="preserve">Can I choose the sources?</w:t>
      </w:r>
    </w:p>
    <w:p>
      <w:r>
        <w:t xml:space="preserve">Yes. The intake form records preferred and prohibited sources, metric definitions, property types, reporting periods, and any agency-specific requirements.</w:t>
      </w:r>
    </w:p>
    <w:p>
      <w:pPr>
        <w:pStyle w:val="Heading3"/>
      </w:pPr>
      <w:r>
        <w:t xml:space="preserve">Is this a valuation, forecast, or investment report?</w:t>
      </w:r>
    </w:p>
    <w:p>
      <w:r>
        <w:t xml:space="preserve">No. It is public-source content support. It does not provide a valuation, appraisal, legal advice, investment advice, compliance advice, or a prediction of future market performance.</w:t>
      </w:r>
    </w:p>
    <w:p>
      <w:pPr>
        <w:pStyle w:val="Heading3"/>
      </w:pPr>
      <w:r>
        <w:t xml:space="preserve">How current will the figures be?</w:t>
      </w:r>
    </w:p>
    <w:p>
      <w:r>
        <w:t xml:space="preserve">The report states the source date and reporting period for each figure. Stale, conflicting, paywalled, or inaccessible figures are flagged or removed rather than guessed.</w:t>
      </w:r>
    </w:p>
    <w:p>
      <w:pPr>
        <w:pStyle w:val="Heading3"/>
      </w:pPr>
      <w:r>
        <w:t xml:space="preserve">How fast is delivery?</w:t>
      </w:r>
    </w:p>
    <w:p>
      <w:r>
        <w:t xml:space="preserve">A paid one-suburb sample can often be prepared within 48-72 hours after the brief is approved. Recurring delivery follows the weekly, fortnightly, or monthly date agreed in the scope.</w:t>
      </w:r>
    </w:p>
    <w:p>
      <w:pPr>
        <w:pStyle w:val="Heading3"/>
      </w:pPr>
      <w:r>
        <w:t xml:space="preserve">How do approvals work?</w:t>
      </w:r>
    </w:p>
    <w:p>
      <w:r>
        <w:t xml:space="preserve">You receive the draft report, source ledger, email, and posts together. Nothing is published or sent to your audience until the named approval owner confirms the facts, commentary, branding, CTA, and channel.</w:t>
      </w:r>
    </w:p>
    <w:p>
      <w:pPr>
        <w:pStyle w:val="Heading3"/>
      </w:pPr>
      <w:r>
        <w:t xml:space="preserve">Can this run automatically?</w:t>
      </w:r>
    </w:p>
    <w:p>
      <w:r>
        <w:t xml:space="preserve">The research and draft-production stage can be scheduled with an AI agent, Make, or Zapier. Source verification and final publishing approval remain human steps.</w:t>
      </w:r>
    </w:p>
    <w:p>
      <w:pPr>
        <w:pStyle w:val="Heading3"/>
      </w:pPr>
      <w:r>
        <w:t xml:space="preserve">How do revisions work?</w:t>
      </w:r>
    </w:p>
    <w:p>
      <w:r>
        <w:t xml:space="preserve">The starter includes one approval round. Extra suburbs, new formats, custom data collection, rush work, or additional rounds are quoted separately.</w:t>
      </w:r>
    </w:p>
    <w:p>
      <w:pPr>
        <w:pStyle w:val="Heading3"/>
      </w:pPr>
      <w:r>
        <w:t xml:space="preserve">Do you guarantee leads or listings?</w:t>
      </w:r>
    </w:p>
    <w:p>
      <w:r>
        <w:t xml:space="preserve">No. The service gives you a consistent local content asset. It does not guarantee enquiries, appraisals, listings, sales, reach, or revenue.</w:t>
      </w:r>
    </w:p>
    <w:p>
      <w:pPr>
        <w:pStyle w:val="Heading1"/>
      </w:pPr>
      <w:r>
        <w:t xml:space="preserve">03 / Objection-handling notes</w:t>
      </w:r>
    </w:p>
    <w:tbl>
      <w:tblPr>
        <w:tblW w:w="0" w:type="auto"/>
        <w:tblInd w:w="0" w:type="dxa"/>
        <w:tblBorders>
          <w:top w:val="single" w:sz="6" w:color="E0DFDD"/>
          <w:left w:val="single" w:sz="6" w:color="E0DFDD"/>
          <w:bottom w:val="single" w:sz="6" w:color="E0DFDD"/>
          <w:right w:val="single" w:sz="6" w:color="E0DFDD"/>
          <w:insideH w:val="single" w:sz="4" w:color="E0DFDD"/>
          <w:insideV w:val="single" w:sz="4" w:color="E0DFDD"/>
        </w:tblBorders>
        <w:tblLook w:firstRow="1" w:noHBand="0" w:noVBand="1"/>
      </w:tblPr>
      <w:tblGrid>
        <w:gridCol w:w="3000"/>
        <w:gridCol w:w="6180"/>
      </w:tblGrid>
      <w:tr>
        <w:tc>
          <w:tcPr>
            <w:tcW w:w="3000" w:type="dxa"/>
            <w:shd w:fill="0A0A0A"/>
            <w:tcMar>
              <w:top w:w="120" w:type="dxa"/>
              <w:left w:w="150" w:type="dxa"/>
              <w:bottom w:w="120" w:type="dxa"/>
              <w:right w:w="150" w:type="dxa"/>
            </w:tcMar>
            <w:vAlign w:val="center"/>
          </w:tcPr>
          <w:p>
            <w:pPr>
              <w:pStyle w:val="TableHeader"/>
            </w:pPr>
            <w:r>
              <w:t xml:space="preserve">Objection</w:t>
            </w:r>
          </w:p>
        </w:tc>
        <w:tc>
          <w:tcPr>
            <w:tcW w:w="6180" w:type="dxa"/>
            <w:shd w:fill="0A0A0A"/>
            <w:tcMar>
              <w:top w:w="120" w:type="dxa"/>
              <w:left w:w="150" w:type="dxa"/>
              <w:bottom w:w="120" w:type="dxa"/>
              <w:right w:w="150" w:type="dxa"/>
            </w:tcMar>
            <w:vAlign w:val="center"/>
          </w:tcPr>
          <w:p>
            <w:pPr>
              <w:pStyle w:val="TableHeader"/>
            </w:pPr>
            <w:r>
              <w:t xml:space="preserve">How to respond</w:t>
            </w:r>
          </w:p>
        </w:tc>
      </w:tr>
      <w:tr>
        <w:tc>
          <w:tcPr>
            <w:tcW w:w="3000" w:type="dxa"/>
            <w:shd w:fill="F5F3F1"/>
            <w:tcMar>
              <w:top w:w="120" w:type="dxa"/>
              <w:left w:w="150" w:type="dxa"/>
              <w:bottom w:w="120" w:type="dxa"/>
              <w:right w:w="150" w:type="dxa"/>
            </w:tcMar>
            <w:vAlign w:val="center"/>
          </w:tcPr>
          <w:p>
            <w:pPr>
              <w:pStyle w:val="TableLabel"/>
            </w:pPr>
            <w:r>
              <w:t xml:space="preserve">We already receive market reports</w:t>
            </w:r>
          </w:p>
        </w:tc>
        <w:tc>
          <w:tcPr>
            <w:tcW w:w="6180" w:type="dxa"/>
            <w:shd w:fill="F5F3F1"/>
            <w:tcMar>
              <w:top w:w="120" w:type="dxa"/>
              <w:left w:w="150" w:type="dxa"/>
              <w:bottom w:w="120" w:type="dxa"/>
              <w:right w:w="150" w:type="dxa"/>
            </w:tcMar>
            <w:vAlign w:val="center"/>
          </w:tcPr>
          <w:p>
            <w:pPr>
              <w:pStyle w:val="TableCell"/>
            </w:pPr>
            <w:r>
              <w:t xml:space="preserve">position this as an agent-branded content layer that turns approved public data into a concise report, email, and social pack.</w:t>
            </w:r>
          </w:p>
        </w:tc>
      </w:tr>
      <w:tr>
        <w:tc>
          <w:tcPr>
            <w:tcW w:w="3000" w:type="dxa"/>
            <w:shd w:fill="F5F3F1"/>
            <w:tcMar>
              <w:top w:w="120" w:type="dxa"/>
              <w:left w:w="150" w:type="dxa"/>
              <w:bottom w:w="120" w:type="dxa"/>
              <w:right w:w="150" w:type="dxa"/>
            </w:tcMar>
            <w:vAlign w:val="center"/>
          </w:tcPr>
          <w:p>
            <w:pPr>
              <w:pStyle w:val="TableLabel"/>
            </w:pPr>
            <w:r>
              <w:t xml:space="preserve">AI gets facts wrong</w:t>
            </w:r>
          </w:p>
        </w:tc>
        <w:tc>
          <w:tcPr>
            <w:tcW w:w="6180" w:type="dxa"/>
            <w:tcMar>
              <w:top w:w="120" w:type="dxa"/>
              <w:left w:w="150" w:type="dxa"/>
              <w:bottom w:w="120" w:type="dxa"/>
              <w:right w:w="150" w:type="dxa"/>
            </w:tcMar>
            <w:vAlign w:val="center"/>
          </w:tcPr>
          <w:p>
            <w:pPr>
              <w:pStyle w:val="TableCell"/>
            </w:pPr>
            <w:r>
              <w:t xml:space="preserve">agree, then show the source ledger, verification statuses, human check, and named approval step.</w:t>
            </w:r>
          </w:p>
        </w:tc>
      </w:tr>
      <w:tr>
        <w:tc>
          <w:tcPr>
            <w:tcW w:w="3000" w:type="dxa"/>
            <w:shd w:fill="F5F3F1"/>
            <w:tcMar>
              <w:top w:w="120" w:type="dxa"/>
              <w:left w:w="150" w:type="dxa"/>
              <w:bottom w:w="120" w:type="dxa"/>
              <w:right w:w="150" w:type="dxa"/>
            </w:tcMar>
            <w:vAlign w:val="center"/>
          </w:tcPr>
          <w:p>
            <w:pPr>
              <w:pStyle w:val="TableLabel"/>
            </w:pPr>
            <w:r>
              <w:t xml:space="preserve">We do not have time</w:t>
            </w:r>
          </w:p>
        </w:tc>
        <w:tc>
          <w:tcPr>
            <w:tcW w:w="6180" w:type="dxa"/>
            <w:shd w:fill="F5F3F1"/>
            <w:tcMar>
              <w:top w:w="120" w:type="dxa"/>
              <w:left w:w="150" w:type="dxa"/>
              <w:bottom w:w="120" w:type="dxa"/>
              <w:right w:w="150" w:type="dxa"/>
            </w:tcMar>
            <w:vAlign w:val="center"/>
          </w:tcPr>
          <w:p>
            <w:pPr>
              <w:pStyle w:val="TableCell"/>
            </w:pPr>
            <w:r>
              <w:t xml:space="preserve">the agent supplies the brief once, then reviews one bundled approval pack on a fixed date.</w:t>
            </w:r>
          </w:p>
        </w:tc>
      </w:tr>
      <w:tr>
        <w:tc>
          <w:tcPr>
            <w:tcW w:w="3000" w:type="dxa"/>
            <w:shd w:fill="F5F3F1"/>
            <w:tcMar>
              <w:top w:w="120" w:type="dxa"/>
              <w:left w:w="150" w:type="dxa"/>
              <w:bottom w:w="120" w:type="dxa"/>
              <w:right w:w="150" w:type="dxa"/>
            </w:tcMar>
            <w:vAlign w:val="center"/>
          </w:tcPr>
          <w:p>
            <w:pPr>
              <w:pStyle w:val="TableLabel"/>
            </w:pPr>
            <w:r>
              <w:t xml:space="preserve">Compliance handles our content</w:t>
            </w:r>
          </w:p>
        </w:tc>
        <w:tc>
          <w:tcPr>
            <w:tcW w:w="6180" w:type="dxa"/>
            <w:tcMar>
              <w:top w:w="120" w:type="dxa"/>
              <w:left w:w="150" w:type="dxa"/>
              <w:bottom w:w="120" w:type="dxa"/>
              <w:right w:w="150" w:type="dxa"/>
            </w:tcMar>
            <w:vAlign w:val="center"/>
          </w:tcPr>
          <w:p>
            <w:pPr>
              <w:pStyle w:val="TableCell"/>
            </w:pPr>
            <w:r>
              <w:t xml:space="preserve">make compliance or the principal the named approval owner and keep automated publishing off.</w:t>
            </w:r>
          </w:p>
        </w:tc>
      </w:tr>
    </w:tbl>
    <w:p>
      <w:pPr>
        <w:pStyle w:val="Heading1"/>
      </w:pPr>
      <w:r>
        <w:t xml:space="preserve">04 / Website preview copy</w:t>
      </w:r>
    </w:p>
    <w:p>
      <w:pPr>
        <w:pStyle w:val="ExampleBlock"/>
      </w:pPr>
      <w:r>
        <w:t xml:space="preserve">A one-suburb content service built around one AI research run, one source ledger, one reusable design, and one human approval step.</w:t>
      </w:r>
    </w:p>
    <w:p>
      <w:pPr>
        <w:pStyle w:val="ExampleBlock"/>
      </w:pPr>
      <w:r>
        <w:t xml:space="preserve">The operator handles public-source research, verification, writing, and packaging. The agent approves the final market commentary before use.</w:t>
      </w:r>
    </w:p>
    <w:p>
      <w:pPr>
        <w:pStyle w:val="ExampleBlock"/>
      </w:pPr>
      <w:r>
        <w:t xml:space="preserve">Start with a paid sample, then schedule the next reporting date only after the handoff works.</w:t>
      </w:r>
    </w:p>
    <w:p>
      <w:pPr>
        <w:pStyle w:val="Heading1"/>
      </w:pPr>
      <w:r>
        <w:t xml:space="preserve">05 / Delivery standards (shared)</w:t>
      </w:r>
    </w:p>
    <w:p>
      <w:pPr>
        <w:pStyle w:val="ListParagraph"/>
        <w:numPr>
          <w:ilvl w:val="0"/>
          <w:numId w:val="1"/>
        </w:numPr>
      </w:pPr>
      <w:r>
        <w:t xml:space="preserve">This asset is for real estate agents; replace bracketed fields with their specifics before sending.</w:t>
      </w:r>
    </w:p>
    <w:p>
      <w:pPr>
        <w:pStyle w:val="ListParagraph"/>
        <w:numPr>
          <w:ilvl w:val="0"/>
          <w:numId w:val="1"/>
        </w:numPr>
      </w:pPr>
      <w:r>
        <w:t xml:space="preserve">Full delivery standards - inputs to collect, evidence capture, pricing and scope guardrails, and the pre-send QA list - live once in this pack's AI Prompt Pack.</w:t>
      </w:r>
    </w:p>
    <w:p>
      <w:pPr>
        <w:pStyle w:val="ListParagraph"/>
        <w:numPr>
          <w:ilvl w:val="0"/>
          <w:numId w:val="1"/>
        </w:numPr>
      </w:pPr>
      <w:r>
        <w:t xml:space="preserve">Verify every fact, price, date, hour, link, and claim against a source, and keep approvals in writing.</w:t>
      </w:r>
    </w:p>
    <w:p>
      <w:pPr>
        <w:pStyle w:val="ListParagraph"/>
        <w:numPr>
          <w:ilvl w:val="0"/>
          <w:numId w:val="1"/>
        </w:numPr>
      </w:pPr>
      <w:r>
        <w:t xml:space="preserve">Never imply guaranteed revenue, rankings, bookings, retention, or ad performance.</w:t>
      </w:r>
    </w:p>
    <w:p>
      <w:pPr>
        <w:pStyle w:val="Heading1"/>
      </w:pPr>
      <w:r>
        <w:t xml:space="preserve">Commercial use note</w:t>
      </w:r>
    </w:p>
    <w:p>
      <w:r>
        <w:t xml:space="preserve">These templates are practical launch materials. They do not guarantee revenue, rankings, retention, or advertising performance. Validate claims with buyer data and keep approvals in writing.</w:t>
      </w:r>
    </w:p>
    <w:sectPr>
      <w:footerReference w:type="default" r:id="rId3"/>
      <w:pgSz w:w="12240" w:h="15840"/>
      <w:pgMar w:top="1180" w:right="1440" w:bottom="1000" w:left="1440" w:footer="432"/>
      <w:cols w:space="720"/>
    </w:sectPr>
  </w:body>
</w:document>
</file>

<file path=word/footer.xml><?xml version="1.0" encoding="utf-8"?>
<w:ftr xmlns:w="http://schemas.openxmlformats.org/wordprocessingml/2006/main">
  <w:p>
    <w:pPr>
      <w:pBdr>
        <w:top w:val="single" w:sz="4" w:space="3" w:color="E0DFDD"/>
      </w:pBdr>
      <w:jc w:val="center"/>
    </w:pPr>
    <w:r>
      <w:rPr>
        <w:rFonts w:ascii="Arial" w:hAnsi="Arial"/>
        <w:sz w:val="16"/>
        <w:color w:val="57534E"/>
      </w:rPr>
      <w:t xml:space="preserve">Side Hustle Stephen / Realtor Suburb Snapshot Reports / Page </w:t>
    </w:r>
    <w:r>
      <w:rPr>
        <w:rFonts w:ascii="Arial" w:hAnsi="Arial"/>
        <w:sz w:val="16"/>
        <w:color w:val="57534E"/>
      </w:rPr>
      <w:fldChar w:fldCharType="begin"/>
    </w:r>
    <w:r>
      <w:instrText xml:space="preserve"> PAGE </w:instrText>
    </w:r>
    <w:r>
      <w:fldChar w:fldCharType="end"/>
    </w:r>
  </w:p>
</w:ftr>
</file>

<file path=word/numbering.xml><?xml version="1.0" encoding="utf-8"?>
<w:numbering xmlns:w="http://schemas.openxmlformats.org/wordprocessingml/2006/main">
  <w:abstractNum w:abstractNumId="1">
    <w:lvl w:ilvl="0">
      <w:start w:val="1"/>
      <w:numFmt w:val="bullet"/>
      <w:lvlText w:val="-"/>
      <w:pPr>
        <w:ind w:left="540" w:hanging="220"/>
      </w:pPr>
    </w:lvl>
  </w:abstractNum>
  <w:num w:numId="1">
    <w:abstractNumId w:val="1"/>
  </w:num>
</w:numbering>
</file>

<file path=word/styles.xml><?xml version="1.0" encoding="utf-8"?>
<w:styles xmlns:w="http://schemas.openxmlformats.org/wordprocessingml/2006/main">
  <w:style w:type="paragraph" w:default="1" w:styleId="Normal">
    <w:name w:val="Normal"/>
    <w:rPr>
      <w:rFonts w:ascii="Arial" w:hAnsi="Arial"/>
      <w:sz w:val="21"/>
      <w:color w:val="0A0A0A"/>
    </w:rPr>
    <w:pPr>
      <w:spacing w:after="150" w:line="300" w:lineRule="auto"/>
      <w:widowControl/>
    </w:pPr>
  </w:style>
  <w:style w:type="paragraph" w:styleId="BrandBand">
    <w:name w:val="BrandBand"/>
    <w:rPr>
      <w:rFonts w:ascii="Arial" w:hAnsi="Arial"/>
      <w:b/>
      <w:caps/>
      <w:sz w:val="15"/>
      <w:color w:val="0A0A0A"/>
      <w:spacing w:val="30"/>
    </w:rPr>
    <w:pPr>
      <w:pBdr>
        <w:bottom w:val="single" w:sz="18" w:space="6" w:color="0A0A0A"/>
      </w:pBdr>
      <w:spacing w:before="0" w:after="240"/>
      <w:jc w:val="left"/>
    </w:pPr>
  </w:style>
  <w:style w:type="paragraph" w:styleId="Title">
    <w:name w:val="Title"/>
    <w:rPr>
      <w:rFonts w:ascii="Arial" w:hAnsi="Arial"/>
      <w:b/>
      <w:sz w:val="56"/>
      <w:color w:val="0A0A0A"/>
      <w:spacing w:val="-10"/>
    </w:rPr>
    <w:pPr>
      <w:spacing w:before="60" w:after="60" w:line="300" w:lineRule="auto"/>
      <w:keepNext/>
    </w:pPr>
  </w:style>
  <w:style w:type="paragraph" w:styleId="Subtitle">
    <w:name w:val="Subtitle"/>
    <w:rPr>
      <w:rFonts w:ascii="Arial" w:hAnsi="Arial"/>
      <w:b/>
      <w:caps/>
      <w:sz w:val="16"/>
      <w:color w:val="57534E"/>
    </w:rPr>
    <w:pPr>
      <w:spacing w:after="120"/>
    </w:pPr>
  </w:style>
  <w:style w:type="paragraph" w:styleId="Tagline">
    <w:name w:val="Tagline"/>
    <w:rPr>
      <w:rFonts w:ascii="Arial" w:hAnsi="Arial"/>
      <w:sz w:val="22"/>
      <w:color w:val="0A59D2"/>
    </w:rPr>
    <w:pPr>
      <w:spacing w:before="0" w:after="150" w:line="300" w:lineRule="auto"/>
    </w:pPr>
  </w:style>
  <w:style w:type="paragraph" w:styleId="Lead">
    <w:name w:val="Lead"/>
    <w:rPr>
      <w:rFonts w:ascii="Arial" w:hAnsi="Arial"/>
      <w:sz w:val="24"/>
      <w:color w:val="0A0A0A"/>
    </w:rPr>
    <w:pPr>
      <w:spacing w:before="80" w:after="60" w:line="340" w:lineRule="auto"/>
    </w:pPr>
  </w:style>
  <w:style w:type="paragraph" w:styleId="Kicker">
    <w:name w:val="Kicker"/>
    <w:rPr>
      <w:rFonts w:ascii="Arial" w:hAnsi="Arial"/>
      <w:b/>
      <w:caps/>
      <w:sz w:val="15"/>
      <w:color w:val="57534E"/>
      <w:spacing w:val="24"/>
    </w:rPr>
    <w:pPr>
      <w:spacing w:before="180" w:after="70"/>
    </w:pPr>
  </w:style>
  <w:style w:type="paragraph" w:styleId="Heading1">
    <w:name w:val="heading 1"/>
    <w:rPr>
      <w:rFonts w:ascii="Arial" w:hAnsi="Arial"/>
      <w:b/>
      <w:sz w:val="30"/>
      <w:color w:val="0A0A0A"/>
      <w:spacing w:val="-6"/>
    </w:rPr>
    <w:pPr>
      <w:keepNext/>
      <w:spacing w:before="360" w:after="140"/>
      <w:pBdr>
        <w:bottom w:val="single" w:sz="12" w:space="7" w:color="0A0A0A"/>
      </w:pBdr>
    </w:pPr>
  </w:style>
  <w:style w:type="paragraph" w:styleId="Heading2">
    <w:name w:val="heading 2"/>
    <w:rPr>
      <w:rFonts w:ascii="Arial" w:hAnsi="Arial"/>
      <w:b/>
      <w:sz w:val="24"/>
      <w:color w:val="0A0A0A"/>
    </w:rPr>
    <w:pPr>
      <w:spacing w:after="70"/>
    </w:pPr>
  </w:style>
  <w:style w:type="paragraph" w:styleId="Heading3">
    <w:name w:val="heading 3"/>
    <w:rPr>
      <w:rFonts w:ascii="Arial" w:hAnsi="Arial"/>
      <w:b/>
      <w:sz w:val="22"/>
      <w:color w:val="0A59D2"/>
    </w:rPr>
    <w:pPr>
      <w:keepNext/>
      <w:spacing w:before="190" w:after="70"/>
    </w:pPr>
  </w:style>
  <w:style w:type="paragraph" w:styleId="Meta">
    <w:name w:val="Meta"/>
    <w:rPr>
      <w:rFonts w:ascii="Arial" w:hAnsi="Arial"/>
      <w:b/>
      <w:sz w:val="18"/>
      <w:color w:val="57534E"/>
    </w:rPr>
    <w:pPr>
      <w:spacing w:after="95"/>
    </w:pPr>
  </w:style>
  <w:style w:type="paragraph" w:styleId="ListParagraph">
    <w:name w:val="List Paragraph"/>
    <w:rPr>
      <w:rFonts w:ascii="Arial" w:hAnsi="Arial"/>
      <w:sz w:val="20"/>
      <w:color w:val="0A0A0A"/>
    </w:rPr>
    <w:pPr>
      <w:spacing w:after="110" w:line="292" w:lineRule="auto"/>
      <w:ind w:left="540" w:hanging="220"/>
      <w:widowControl/>
    </w:pPr>
  </w:style>
  <w:style w:type="paragraph" w:styleId="Checklist">
    <w:name w:val="Checklist"/>
    <w:rPr>
      <w:rFonts w:ascii="Arial" w:hAnsi="Arial"/>
      <w:b/>
      <w:sz w:val="20"/>
      <w:color w:val="0A0A0A"/>
    </w:rPr>
    <w:pPr>
      <w:spacing w:after="92" w:line="280" w:lineRule="auto"/>
      <w:shd w:fill="EEF4FF"/>
      <w:pBdr>
        <w:left w:val="single" w:sz="18" w:space="8" w:color="0A59D2"/>
      </w:pBdr>
    </w:pPr>
  </w:style>
  <w:style w:type="paragraph" w:styleId="IntenseQuote">
    <w:name w:val="Intense Quote"/>
    <w:rPr>
      <w:rFonts w:ascii="Arial" w:hAnsi="Arial"/>
      <w:b/>
      <w:color w:val="0A0A0A"/>
      <w:sz w:val="21"/>
    </w:rPr>
    <w:pPr>
      <w:spacing w:before="90" w:after="170" w:line="292" w:lineRule="auto"/>
      <w:shd w:fill="F5F3F1"/>
      <w:pBdr>
        <w:left w:val="single" w:sz="24" w:space="10" w:color="0A0A0A"/>
      </w:pBdr>
    </w:pPr>
  </w:style>
  <w:style w:type="paragraph" w:styleId="ExampleBlock">
    <w:name w:val="Example Block"/>
    <w:rPr>
      <w:rFonts w:ascii="Arial" w:hAnsi="Arial"/>
      <w:sz w:val="21"/>
      <w:color w:val="0A0A0A"/>
    </w:rPr>
    <w:pPr>
      <w:spacing w:before="60" w:after="120" w:line="288" w:lineRule="auto"/>
      <w:shd w:fill="EEF4FF"/>
      <w:pBdr>
        <w:left w:val="single" w:sz="14" w:space="8" w:color="0A59D2"/>
      </w:pBdr>
    </w:pPr>
  </w:style>
  <w:style w:type="paragraph" w:styleId="EmailSubject">
    <w:name w:val="Email Subject"/>
    <w:rPr>
      <w:rFonts w:ascii="Arial" w:hAnsi="Arial"/>
      <w:b/>
      <w:sz w:val="21"/>
      <w:color w:val="0A0A0A"/>
    </w:rPr>
    <w:pPr>
      <w:keepNext/>
      <w:spacing w:before="150" w:after="0" w:line="284" w:lineRule="auto"/>
      <w:shd w:fill="EEF4FF"/>
      <w:pBdr>
        <w:top w:val="single" w:sz="14" w:space="6" w:color="0A59D2"/>
        <w:left w:val="single" w:sz="14" w:space="8" w:color="0A59D2"/>
      </w:pBdr>
    </w:pPr>
  </w:style>
  <w:style w:type="paragraph" w:styleId="TableHeader">
    <w:name w:val="Table Header"/>
    <w:rPr>
      <w:rFonts w:ascii="Arial" w:hAnsi="Arial"/>
      <w:b/>
      <w:caps/>
      <w:sz w:val="18"/>
      <w:color w:val="FFFFFF"/>
      <w:spacing w:val="14"/>
    </w:rPr>
    <w:pPr>
      <w:spacing w:before="0" w:after="0" w:line="250" w:lineRule="auto"/>
    </w:pPr>
  </w:style>
  <w:style w:type="paragraph" w:styleId="TableCell">
    <w:name w:val="Table Cell"/>
    <w:rPr>
      <w:rFonts w:ascii="Arial" w:hAnsi="Arial"/>
      <w:sz w:val="20"/>
      <w:color w:val="0A0A0A"/>
    </w:rPr>
    <w:pPr>
      <w:spacing w:before="0" w:after="0" w:line="262" w:lineRule="auto"/>
    </w:pPr>
  </w:style>
  <w:style w:type="paragraph" w:styleId="TableLabel">
    <w:name w:val="Table Label"/>
    <w:rPr>
      <w:rFonts w:ascii="Arial" w:hAnsi="Arial"/>
      <w:b/>
      <w:sz w:val="20"/>
      <w:color w:val="0A0A0A"/>
    </w:rPr>
    <w:pPr>
      <w:spacing w:before="0" w:after="0" w:line="262" w:lineRule="auto"/>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er" Target="footer.xml"/>
</Relationships>
</file>

<file path=docProps/app.xml><?xml version="1.0" encoding="utf-8"?>
<Properties xmlns="http://schemas.openxmlformats.org/officeDocument/2006/extended-properties">
  <Application>Side Hustle Stephen Asset Generator</Application>
</Properties>
</file>

<file path=docProps/core.xml><?xml version="1.0" encoding="utf-8"?>
<cp:coreProperties xmlns:cp="http://schemas.openxmlformats.org/package/2006/metadata/core-properties" xmlns:dc="http://purl.org/dc/elements/1.1/" xmlns:dcterms="http://purl.org/dc/terms/">
  <dc:title>Client FAQs</dc:title>
  <dc:creator>Side Hustle Stephen</dc:creator>
  <dc:subject>Realtor Suburb Snapshot Reports</dc:subject>
  <dc:description>Buyer-facing answers on AI research, source verification, report limits, approvals, automation, and deliverables.</dc:description>
</cp:coreProperties>
</file>